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21DA" w:rsidR="00FC30FC" w:rsidP="003321DA" w:rsidRDefault="00804B47" w14:paraId="5194A83E" w14:textId="4C3D84FD">
      <w:pPr>
        <w:jc w:val="both"/>
        <w:rPr>
          <w:rFonts w:cs="Arial"/>
          <w:b/>
          <w:bCs/>
          <w:sz w:val="24"/>
          <w:szCs w:val="24"/>
          <w:u w:val="single"/>
        </w:rPr>
      </w:pPr>
      <w:r w:rsidRPr="003321DA">
        <w:rPr>
          <w:rFonts w:cs="Arial"/>
          <w:b/>
          <w:bCs/>
          <w:sz w:val="24"/>
          <w:szCs w:val="24"/>
          <w:u w:val="single"/>
        </w:rPr>
        <w:t xml:space="preserve">Budget Forum </w:t>
      </w:r>
      <w:r w:rsidR="008E08C8">
        <w:rPr>
          <w:rFonts w:cs="Arial"/>
          <w:b/>
          <w:bCs/>
          <w:sz w:val="24"/>
          <w:szCs w:val="24"/>
          <w:u w:val="single"/>
        </w:rPr>
        <w:t>–</w:t>
      </w:r>
      <w:r w:rsidR="002F2882">
        <w:rPr>
          <w:rFonts w:cs="Arial"/>
          <w:b/>
          <w:bCs/>
          <w:sz w:val="24"/>
          <w:szCs w:val="24"/>
          <w:u w:val="single"/>
        </w:rPr>
        <w:t xml:space="preserve"> 1</w:t>
      </w:r>
      <w:r w:rsidR="008E08C8">
        <w:rPr>
          <w:rFonts w:cs="Arial"/>
          <w:b/>
          <w:bCs/>
          <w:sz w:val="24"/>
          <w:szCs w:val="24"/>
          <w:u w:val="single"/>
        </w:rPr>
        <w:t>0</w:t>
      </w:r>
      <w:r w:rsidRPr="008E08C8" w:rsidR="008E08C8">
        <w:rPr>
          <w:rFonts w:cs="Arial"/>
          <w:b/>
          <w:bCs/>
          <w:sz w:val="24"/>
          <w:szCs w:val="24"/>
          <w:u w:val="single"/>
          <w:vertAlign w:val="superscript"/>
        </w:rPr>
        <w:t>th</w:t>
      </w:r>
      <w:r w:rsidR="008E08C8">
        <w:rPr>
          <w:rFonts w:cs="Arial"/>
          <w:b/>
          <w:bCs/>
          <w:sz w:val="24"/>
          <w:szCs w:val="24"/>
          <w:u w:val="single"/>
        </w:rPr>
        <w:t xml:space="preserve"> </w:t>
      </w:r>
      <w:r w:rsidR="00763965">
        <w:rPr>
          <w:rFonts w:cs="Arial"/>
          <w:b/>
          <w:bCs/>
          <w:sz w:val="24"/>
          <w:szCs w:val="24"/>
          <w:u w:val="single"/>
        </w:rPr>
        <w:t>December</w:t>
      </w:r>
      <w:r w:rsidR="002F2882">
        <w:rPr>
          <w:rFonts w:cs="Arial"/>
          <w:b/>
          <w:bCs/>
          <w:sz w:val="24"/>
          <w:szCs w:val="24"/>
          <w:u w:val="single"/>
        </w:rPr>
        <w:t xml:space="preserve"> 2025</w:t>
      </w:r>
    </w:p>
    <w:p w:rsidRPr="003321DA" w:rsidR="00804B47" w:rsidP="003321DA" w:rsidRDefault="00DB1E08" w14:paraId="6F005138" w14:textId="236C4D33">
      <w:pPr>
        <w:jc w:val="both"/>
        <w:rPr>
          <w:rFonts w:cs="Arial"/>
          <w:b/>
          <w:bCs/>
          <w:sz w:val="24"/>
          <w:szCs w:val="24"/>
          <w:u w:val="single"/>
        </w:rPr>
      </w:pPr>
      <w:r w:rsidRPr="003321DA">
        <w:rPr>
          <w:rFonts w:cs="Arial"/>
          <w:b/>
          <w:bCs/>
          <w:sz w:val="24"/>
          <w:szCs w:val="24"/>
          <w:u w:val="single"/>
        </w:rPr>
        <w:t>Grants update</w:t>
      </w:r>
      <w:r w:rsidRPr="003321DA" w:rsidR="00AE3CAF">
        <w:rPr>
          <w:rFonts w:cs="Arial"/>
          <w:b/>
          <w:bCs/>
          <w:sz w:val="24"/>
          <w:szCs w:val="24"/>
          <w:u w:val="single"/>
        </w:rPr>
        <w:t>s for 202</w:t>
      </w:r>
      <w:r w:rsidR="00973815">
        <w:rPr>
          <w:rFonts w:cs="Arial"/>
          <w:b/>
          <w:bCs/>
          <w:sz w:val="24"/>
          <w:szCs w:val="24"/>
          <w:u w:val="single"/>
        </w:rPr>
        <w:t>5</w:t>
      </w:r>
      <w:r w:rsidRPr="003321DA" w:rsidR="00AE3CAF">
        <w:rPr>
          <w:rFonts w:cs="Arial"/>
          <w:b/>
          <w:bCs/>
          <w:sz w:val="24"/>
          <w:szCs w:val="24"/>
          <w:u w:val="single"/>
        </w:rPr>
        <w:t>/2</w:t>
      </w:r>
      <w:r w:rsidR="00973815">
        <w:rPr>
          <w:rFonts w:cs="Arial"/>
          <w:b/>
          <w:bCs/>
          <w:sz w:val="24"/>
          <w:szCs w:val="24"/>
          <w:u w:val="single"/>
        </w:rPr>
        <w:t>6</w:t>
      </w:r>
      <w:r w:rsidRPr="003321DA" w:rsidR="00AE3CAF">
        <w:rPr>
          <w:rFonts w:cs="Arial"/>
          <w:b/>
          <w:bCs/>
          <w:sz w:val="24"/>
          <w:szCs w:val="24"/>
          <w:u w:val="single"/>
        </w:rPr>
        <w:t xml:space="preserve"> Financial year</w:t>
      </w:r>
      <w:r w:rsidR="007F3272">
        <w:rPr>
          <w:rFonts w:cs="Arial"/>
          <w:b/>
          <w:bCs/>
          <w:sz w:val="24"/>
          <w:szCs w:val="24"/>
          <w:u w:val="single"/>
        </w:rPr>
        <w:t xml:space="preserve"> – Carolyn Tapscott</w:t>
      </w:r>
    </w:p>
    <w:p w:rsidRPr="003321DA" w:rsidR="00F45CC5" w:rsidP="003321DA" w:rsidRDefault="00F45CC5" w14:paraId="211AD74E" w14:textId="77777777">
      <w:pPr>
        <w:jc w:val="both"/>
        <w:rPr>
          <w:rFonts w:cs="Arial"/>
          <w:b/>
          <w:sz w:val="24"/>
          <w:szCs w:val="24"/>
          <w:u w:val="single"/>
        </w:rPr>
      </w:pPr>
      <w:r w:rsidRPr="003321DA">
        <w:rPr>
          <w:rFonts w:cs="Arial"/>
          <w:b/>
          <w:sz w:val="24"/>
          <w:szCs w:val="24"/>
          <w:u w:val="single"/>
        </w:rPr>
        <w:t>General</w:t>
      </w:r>
    </w:p>
    <w:p w:rsidRPr="008555D4" w:rsidR="00F45CC5" w:rsidP="003321DA" w:rsidRDefault="006F3736" w14:paraId="1DC28628" w14:textId="2881FEAB">
      <w:pPr>
        <w:jc w:val="both"/>
        <w:rPr>
          <w:rFonts w:cs="Arial"/>
          <w:sz w:val="24"/>
          <w:szCs w:val="24"/>
        </w:rPr>
      </w:pPr>
      <w:r>
        <w:rPr>
          <w:rFonts w:cs="Arial"/>
          <w:sz w:val="24"/>
          <w:szCs w:val="24"/>
        </w:rPr>
        <w:t>Due to the grant changes from</w:t>
      </w:r>
      <w:r w:rsidRPr="008555D4" w:rsidR="00980C46">
        <w:rPr>
          <w:rFonts w:cs="Arial"/>
          <w:sz w:val="24"/>
          <w:szCs w:val="24"/>
        </w:rPr>
        <w:t xml:space="preserve"> </w:t>
      </w:r>
      <w:r w:rsidR="003A5D82">
        <w:rPr>
          <w:rFonts w:cs="Arial"/>
          <w:sz w:val="24"/>
          <w:szCs w:val="24"/>
        </w:rPr>
        <w:t>2024/25</w:t>
      </w:r>
      <w:r>
        <w:rPr>
          <w:rFonts w:cs="Arial"/>
          <w:sz w:val="24"/>
          <w:szCs w:val="24"/>
        </w:rPr>
        <w:t>, there is no longer</w:t>
      </w:r>
      <w:r w:rsidRPr="008555D4" w:rsidR="00AE3CAF">
        <w:rPr>
          <w:rFonts w:cs="Arial"/>
          <w:sz w:val="24"/>
          <w:szCs w:val="24"/>
        </w:rPr>
        <w:t xml:space="preserve"> </w:t>
      </w:r>
      <w:r>
        <w:rPr>
          <w:rFonts w:cs="Arial"/>
          <w:sz w:val="24"/>
          <w:szCs w:val="24"/>
        </w:rPr>
        <w:t xml:space="preserve">a </w:t>
      </w:r>
      <w:r w:rsidRPr="008555D4" w:rsidR="00980C46">
        <w:rPr>
          <w:rFonts w:cs="Arial"/>
          <w:sz w:val="24"/>
          <w:szCs w:val="24"/>
        </w:rPr>
        <w:t>link on the Central South Consortium website</w:t>
      </w:r>
      <w:r>
        <w:rPr>
          <w:rFonts w:cs="Arial"/>
          <w:sz w:val="24"/>
          <w:szCs w:val="24"/>
        </w:rPr>
        <w:t>, schools continue to be notified quarterly by finance of the project money received.</w:t>
      </w:r>
    </w:p>
    <w:p w:rsidRPr="0063689C" w:rsidR="006B5167" w:rsidP="006B5167" w:rsidRDefault="0063689C" w14:paraId="49535AAB" w14:textId="78CB5FE2">
      <w:pPr>
        <w:jc w:val="both"/>
        <w:rPr>
          <w:rFonts w:cs="Arial"/>
          <w:b/>
          <w:sz w:val="24"/>
          <w:szCs w:val="24"/>
          <w:u w:val="single"/>
        </w:rPr>
      </w:pPr>
      <w:r w:rsidRPr="0063689C">
        <w:rPr>
          <w:rFonts w:cs="Arial"/>
          <w:b/>
          <w:sz w:val="24"/>
          <w:szCs w:val="24"/>
          <w:u w:val="single"/>
        </w:rPr>
        <w:t>School Standards</w:t>
      </w:r>
      <w:r w:rsidR="00AF3EFA">
        <w:rPr>
          <w:rFonts w:cs="Arial"/>
          <w:b/>
          <w:sz w:val="24"/>
          <w:szCs w:val="24"/>
          <w:u w:val="single"/>
        </w:rPr>
        <w:t xml:space="preserve"> - £</w:t>
      </w:r>
      <w:r w:rsidR="000616CA">
        <w:rPr>
          <w:rFonts w:cs="Arial"/>
          <w:b/>
          <w:sz w:val="24"/>
          <w:szCs w:val="24"/>
          <w:u w:val="single"/>
        </w:rPr>
        <w:t>8,</w:t>
      </w:r>
      <w:r w:rsidR="00973815">
        <w:rPr>
          <w:rFonts w:cs="Arial"/>
          <w:b/>
          <w:sz w:val="24"/>
          <w:szCs w:val="24"/>
          <w:u w:val="single"/>
        </w:rPr>
        <w:t xml:space="preserve">399,413 </w:t>
      </w:r>
      <w:r w:rsidRPr="00973815" w:rsidR="00973815">
        <w:rPr>
          <w:rFonts w:cs="Arial"/>
          <w:b/>
          <w:u w:val="single"/>
        </w:rPr>
        <w:t xml:space="preserve">(Inc </w:t>
      </w:r>
      <w:proofErr w:type="spellStart"/>
      <w:proofErr w:type="gramStart"/>
      <w:r w:rsidRPr="00973815" w:rsidR="00973815">
        <w:rPr>
          <w:rFonts w:cs="Arial"/>
          <w:b/>
          <w:u w:val="single"/>
        </w:rPr>
        <w:t>matchfunding,schools</w:t>
      </w:r>
      <w:proofErr w:type="spellEnd"/>
      <w:proofErr w:type="gramEnd"/>
      <w:r w:rsidRPr="00973815" w:rsidR="00973815">
        <w:rPr>
          <w:rFonts w:cs="Arial"/>
          <w:b/>
          <w:u w:val="single"/>
        </w:rPr>
        <w:t xml:space="preserve"> and Regional PL body)</w:t>
      </w:r>
    </w:p>
    <w:p w:rsidR="00FD5212" w:rsidP="00FD5212" w:rsidRDefault="00FD5212" w14:paraId="73FF8C06" w14:textId="55808BC4">
      <w:pPr>
        <w:jc w:val="both"/>
        <w:rPr>
          <w:rFonts w:cs="Arial"/>
          <w:bCs/>
          <w:sz w:val="24"/>
          <w:szCs w:val="24"/>
        </w:rPr>
      </w:pPr>
      <w:proofErr w:type="gramStart"/>
      <w:r>
        <w:rPr>
          <w:rFonts w:cs="Arial"/>
          <w:bCs/>
          <w:sz w:val="24"/>
          <w:szCs w:val="24"/>
        </w:rPr>
        <w:t>Schools</w:t>
      </w:r>
      <w:proofErr w:type="gramEnd"/>
      <w:r>
        <w:rPr>
          <w:rFonts w:cs="Arial"/>
          <w:bCs/>
          <w:sz w:val="24"/>
          <w:szCs w:val="24"/>
        </w:rPr>
        <w:t xml:space="preserve"> allocations have been set by WG using a national formula, these have already been </w:t>
      </w:r>
      <w:r w:rsidR="00973815">
        <w:rPr>
          <w:rFonts w:cs="Arial"/>
          <w:bCs/>
          <w:sz w:val="24"/>
          <w:szCs w:val="24"/>
        </w:rPr>
        <w:t>allocated</w:t>
      </w:r>
      <w:r>
        <w:rPr>
          <w:rFonts w:cs="Arial"/>
          <w:bCs/>
          <w:sz w:val="24"/>
          <w:szCs w:val="24"/>
        </w:rPr>
        <w:t xml:space="preserve"> to schools for the new year budgets. </w:t>
      </w:r>
    </w:p>
    <w:tbl>
      <w:tblPr>
        <w:tblStyle w:val="TableGrid"/>
        <w:tblW w:w="0" w:type="auto"/>
        <w:tblLook w:val="04A0" w:firstRow="1" w:lastRow="0" w:firstColumn="1" w:lastColumn="0" w:noHBand="0" w:noVBand="1"/>
      </w:tblPr>
      <w:tblGrid>
        <w:gridCol w:w="5240"/>
        <w:gridCol w:w="1559"/>
        <w:gridCol w:w="2217"/>
      </w:tblGrid>
      <w:tr w:rsidRPr="003E6C28" w:rsidR="0019405B" w:rsidTr="00973815" w14:paraId="0F8FA561" w14:textId="2D2ED6B3">
        <w:tc>
          <w:tcPr>
            <w:tcW w:w="5240" w:type="dxa"/>
          </w:tcPr>
          <w:p w:rsidRPr="003E6C28" w:rsidR="0019405B" w:rsidP="00467472" w:rsidRDefault="0019405B" w14:paraId="184AF6A8" w14:textId="7D88E97D">
            <w:pPr>
              <w:rPr>
                <w:rFonts w:cs="Arial"/>
                <w:b/>
                <w:bCs/>
                <w:sz w:val="24"/>
                <w:szCs w:val="24"/>
              </w:rPr>
            </w:pPr>
            <w:r>
              <w:rPr>
                <w:rFonts w:cs="Arial"/>
                <w:b/>
                <w:bCs/>
                <w:sz w:val="24"/>
                <w:szCs w:val="24"/>
              </w:rPr>
              <w:t>Funding stream within School Standards</w:t>
            </w:r>
          </w:p>
        </w:tc>
        <w:tc>
          <w:tcPr>
            <w:tcW w:w="1559" w:type="dxa"/>
          </w:tcPr>
          <w:p w:rsidRPr="003E6C28" w:rsidR="0019405B" w:rsidP="00467472" w:rsidRDefault="0019405B" w14:paraId="0EE558E3" w14:textId="107F6472">
            <w:pPr>
              <w:jc w:val="center"/>
              <w:rPr>
                <w:rFonts w:cs="Arial"/>
                <w:b/>
                <w:bCs/>
                <w:sz w:val="24"/>
                <w:szCs w:val="24"/>
              </w:rPr>
            </w:pPr>
            <w:r>
              <w:rPr>
                <w:rFonts w:cs="Arial"/>
                <w:b/>
                <w:bCs/>
                <w:sz w:val="24"/>
                <w:szCs w:val="24"/>
              </w:rPr>
              <w:t>Allocation</w:t>
            </w:r>
          </w:p>
        </w:tc>
        <w:tc>
          <w:tcPr>
            <w:tcW w:w="2217" w:type="dxa"/>
          </w:tcPr>
          <w:p w:rsidR="0019405B" w:rsidP="00973815" w:rsidRDefault="0019405B" w14:paraId="78EF49D2" w14:textId="7FF4872F">
            <w:pPr>
              <w:jc w:val="center"/>
              <w:rPr>
                <w:rFonts w:cs="Arial"/>
                <w:b/>
                <w:bCs/>
                <w:sz w:val="24"/>
                <w:szCs w:val="24"/>
              </w:rPr>
            </w:pPr>
            <w:r>
              <w:rPr>
                <w:rFonts w:cs="Arial"/>
                <w:b/>
                <w:bCs/>
                <w:sz w:val="24"/>
                <w:szCs w:val="24"/>
              </w:rPr>
              <w:t>Where</w:t>
            </w:r>
          </w:p>
        </w:tc>
      </w:tr>
      <w:tr w:rsidRPr="00196801" w:rsidR="0019405B" w:rsidTr="00973815" w14:paraId="640AC6B7" w14:textId="0EEFF15B">
        <w:tc>
          <w:tcPr>
            <w:tcW w:w="5240" w:type="dxa"/>
          </w:tcPr>
          <w:p w:rsidRPr="00196801" w:rsidR="0019405B" w:rsidP="00467472" w:rsidRDefault="0019405B" w14:paraId="14C83476" w14:textId="3AD1B9E9">
            <w:pPr>
              <w:rPr>
                <w:rFonts w:cs="Arial"/>
                <w:sz w:val="24"/>
                <w:szCs w:val="24"/>
              </w:rPr>
            </w:pPr>
            <w:r>
              <w:rPr>
                <w:rFonts w:cs="Arial"/>
                <w:sz w:val="24"/>
                <w:szCs w:val="24"/>
              </w:rPr>
              <w:t>Schools</w:t>
            </w:r>
          </w:p>
        </w:tc>
        <w:tc>
          <w:tcPr>
            <w:tcW w:w="1559" w:type="dxa"/>
          </w:tcPr>
          <w:p w:rsidRPr="00196801" w:rsidR="0019405B" w:rsidP="00467472" w:rsidRDefault="0019405B" w14:paraId="5F914B83" w14:textId="2D0864FA">
            <w:pPr>
              <w:jc w:val="right"/>
              <w:rPr>
                <w:rFonts w:cs="Arial"/>
                <w:sz w:val="24"/>
                <w:szCs w:val="24"/>
              </w:rPr>
            </w:pPr>
            <w:r>
              <w:rPr>
                <w:rFonts w:cs="Arial"/>
                <w:sz w:val="24"/>
                <w:szCs w:val="24"/>
              </w:rPr>
              <w:t>£</w:t>
            </w:r>
            <w:r w:rsidR="00973815">
              <w:rPr>
                <w:rFonts w:cs="Arial"/>
                <w:sz w:val="24"/>
                <w:szCs w:val="24"/>
              </w:rPr>
              <w:t>7,464,573</w:t>
            </w:r>
          </w:p>
        </w:tc>
        <w:tc>
          <w:tcPr>
            <w:tcW w:w="2217" w:type="dxa"/>
          </w:tcPr>
          <w:p w:rsidR="0019405B" w:rsidP="00467472" w:rsidRDefault="0019405B" w14:paraId="260AF179" w14:textId="6759A356">
            <w:pPr>
              <w:jc w:val="right"/>
              <w:rPr>
                <w:rFonts w:cs="Arial"/>
                <w:sz w:val="24"/>
                <w:szCs w:val="24"/>
              </w:rPr>
            </w:pPr>
            <w:r>
              <w:rPr>
                <w:rFonts w:cs="Arial"/>
                <w:sz w:val="24"/>
                <w:szCs w:val="24"/>
              </w:rPr>
              <w:t>Schools</w:t>
            </w:r>
          </w:p>
        </w:tc>
      </w:tr>
      <w:tr w:rsidR="0019405B" w:rsidTr="00973815" w14:paraId="19963101" w14:textId="0CDE7864">
        <w:tc>
          <w:tcPr>
            <w:tcW w:w="5240" w:type="dxa"/>
          </w:tcPr>
          <w:p w:rsidRPr="00196801" w:rsidR="0019405B" w:rsidP="00467472" w:rsidRDefault="0019405B" w14:paraId="0C764A6D" w14:textId="3A9AE38D">
            <w:pPr>
              <w:rPr>
                <w:rFonts w:cs="Arial"/>
                <w:sz w:val="24"/>
                <w:szCs w:val="24"/>
              </w:rPr>
            </w:pPr>
            <w:r>
              <w:rPr>
                <w:rFonts w:cs="Arial"/>
                <w:sz w:val="24"/>
                <w:szCs w:val="24"/>
              </w:rPr>
              <w:t>Early Education</w:t>
            </w:r>
          </w:p>
        </w:tc>
        <w:tc>
          <w:tcPr>
            <w:tcW w:w="1559" w:type="dxa"/>
          </w:tcPr>
          <w:p w:rsidR="0019405B" w:rsidP="00467472" w:rsidRDefault="0019405B" w14:paraId="3111F950" w14:textId="3F20D509">
            <w:pPr>
              <w:jc w:val="right"/>
              <w:rPr>
                <w:rFonts w:cs="Arial"/>
                <w:sz w:val="24"/>
                <w:szCs w:val="24"/>
              </w:rPr>
            </w:pPr>
            <w:r>
              <w:rPr>
                <w:rFonts w:cs="Arial"/>
                <w:sz w:val="24"/>
                <w:szCs w:val="24"/>
              </w:rPr>
              <w:t>£</w:t>
            </w:r>
            <w:r w:rsidR="00973815">
              <w:rPr>
                <w:rFonts w:cs="Arial"/>
                <w:sz w:val="24"/>
                <w:szCs w:val="24"/>
              </w:rPr>
              <w:t>394,973</w:t>
            </w:r>
          </w:p>
        </w:tc>
        <w:tc>
          <w:tcPr>
            <w:tcW w:w="2217" w:type="dxa"/>
          </w:tcPr>
          <w:p w:rsidR="0019405B" w:rsidP="00467472" w:rsidRDefault="00916A0C" w14:paraId="4DBD481A" w14:textId="6596D402">
            <w:pPr>
              <w:jc w:val="right"/>
              <w:rPr>
                <w:rFonts w:cs="Arial"/>
                <w:sz w:val="24"/>
                <w:szCs w:val="24"/>
              </w:rPr>
            </w:pPr>
            <w:r>
              <w:rPr>
                <w:rFonts w:cs="Arial"/>
                <w:sz w:val="24"/>
                <w:szCs w:val="24"/>
              </w:rPr>
              <w:t>Schools</w:t>
            </w:r>
          </w:p>
        </w:tc>
      </w:tr>
      <w:tr w:rsidR="0019405B" w:rsidTr="00973815" w14:paraId="04C9B653" w14:textId="7183FAFD">
        <w:trPr>
          <w:trHeight w:val="79"/>
        </w:trPr>
        <w:tc>
          <w:tcPr>
            <w:tcW w:w="5240" w:type="dxa"/>
          </w:tcPr>
          <w:p w:rsidRPr="00196801" w:rsidR="0019405B" w:rsidP="00467472" w:rsidRDefault="0019405B" w14:paraId="31E2BD05" w14:textId="56DD9967">
            <w:pPr>
              <w:rPr>
                <w:rFonts w:cs="Arial"/>
                <w:sz w:val="24"/>
                <w:szCs w:val="24"/>
              </w:rPr>
            </w:pPr>
            <w:r>
              <w:rPr>
                <w:rFonts w:cs="Arial"/>
                <w:sz w:val="24"/>
                <w:szCs w:val="24"/>
              </w:rPr>
              <w:t>Standards in Education</w:t>
            </w:r>
          </w:p>
        </w:tc>
        <w:tc>
          <w:tcPr>
            <w:tcW w:w="1559" w:type="dxa"/>
          </w:tcPr>
          <w:p w:rsidR="0019405B" w:rsidP="00467472" w:rsidRDefault="0019405B" w14:paraId="627A317F" w14:textId="64A07409">
            <w:pPr>
              <w:jc w:val="right"/>
              <w:rPr>
                <w:rFonts w:cs="Arial"/>
                <w:sz w:val="24"/>
                <w:szCs w:val="24"/>
              </w:rPr>
            </w:pPr>
            <w:r>
              <w:rPr>
                <w:rFonts w:cs="Arial"/>
                <w:sz w:val="24"/>
                <w:szCs w:val="24"/>
              </w:rPr>
              <w:t>£</w:t>
            </w:r>
            <w:r w:rsidR="00973815">
              <w:rPr>
                <w:rFonts w:cs="Arial"/>
                <w:sz w:val="24"/>
                <w:szCs w:val="24"/>
              </w:rPr>
              <w:t>224,053</w:t>
            </w:r>
          </w:p>
        </w:tc>
        <w:tc>
          <w:tcPr>
            <w:tcW w:w="2217" w:type="dxa"/>
          </w:tcPr>
          <w:p w:rsidR="0019405B" w:rsidP="00467472" w:rsidRDefault="00973815" w14:paraId="6F40AB2D" w14:textId="54635DF5">
            <w:pPr>
              <w:jc w:val="right"/>
              <w:rPr>
                <w:rFonts w:cs="Arial"/>
                <w:sz w:val="24"/>
                <w:szCs w:val="24"/>
              </w:rPr>
            </w:pPr>
            <w:r>
              <w:rPr>
                <w:rFonts w:cs="Arial"/>
                <w:sz w:val="24"/>
                <w:szCs w:val="24"/>
              </w:rPr>
              <w:t>Regional PL body</w:t>
            </w:r>
          </w:p>
        </w:tc>
      </w:tr>
      <w:tr w:rsidR="0019405B" w:rsidTr="00973815" w14:paraId="216671BF" w14:textId="1EF3D383">
        <w:trPr>
          <w:trHeight w:val="79"/>
        </w:trPr>
        <w:tc>
          <w:tcPr>
            <w:tcW w:w="5240" w:type="dxa"/>
          </w:tcPr>
          <w:p w:rsidR="0019405B" w:rsidP="00467472" w:rsidRDefault="0019405B" w14:paraId="647D3E60" w14:textId="1F545915">
            <w:pPr>
              <w:rPr>
                <w:rFonts w:cs="Arial"/>
                <w:sz w:val="24"/>
                <w:szCs w:val="24"/>
              </w:rPr>
            </w:pPr>
            <w:r>
              <w:rPr>
                <w:rFonts w:cs="Arial"/>
                <w:sz w:val="24"/>
                <w:szCs w:val="24"/>
              </w:rPr>
              <w:t>LA Match funding</w:t>
            </w:r>
          </w:p>
        </w:tc>
        <w:tc>
          <w:tcPr>
            <w:tcW w:w="1559" w:type="dxa"/>
          </w:tcPr>
          <w:p w:rsidR="0019405B" w:rsidP="00467472" w:rsidRDefault="0019405B" w14:paraId="33CED8F8" w14:textId="2A21819B">
            <w:pPr>
              <w:jc w:val="right"/>
              <w:rPr>
                <w:rFonts w:cs="Arial"/>
                <w:sz w:val="24"/>
                <w:szCs w:val="24"/>
              </w:rPr>
            </w:pPr>
            <w:r>
              <w:rPr>
                <w:rFonts w:cs="Arial"/>
                <w:sz w:val="24"/>
                <w:szCs w:val="24"/>
              </w:rPr>
              <w:t>£315,814</w:t>
            </w:r>
          </w:p>
        </w:tc>
        <w:tc>
          <w:tcPr>
            <w:tcW w:w="2217" w:type="dxa"/>
          </w:tcPr>
          <w:p w:rsidR="0019405B" w:rsidP="00467472" w:rsidRDefault="0019405B" w14:paraId="0B060D4D" w14:textId="0120C05B">
            <w:pPr>
              <w:jc w:val="right"/>
              <w:rPr>
                <w:rFonts w:cs="Arial"/>
                <w:sz w:val="24"/>
                <w:szCs w:val="24"/>
              </w:rPr>
            </w:pPr>
            <w:r>
              <w:rPr>
                <w:rFonts w:cs="Arial"/>
                <w:sz w:val="24"/>
                <w:szCs w:val="24"/>
              </w:rPr>
              <w:t>Central</w:t>
            </w:r>
          </w:p>
        </w:tc>
      </w:tr>
    </w:tbl>
    <w:p w:rsidRPr="00FD5212" w:rsidR="00FD5212" w:rsidP="00FD5212" w:rsidRDefault="00FD5212" w14:paraId="6D7E1079" w14:textId="77777777">
      <w:pPr>
        <w:jc w:val="both"/>
        <w:rPr>
          <w:rFonts w:cs="Arial"/>
          <w:bCs/>
          <w:sz w:val="24"/>
          <w:szCs w:val="24"/>
        </w:rPr>
      </w:pPr>
    </w:p>
    <w:p w:rsidRPr="0063689C" w:rsidR="0063689C" w:rsidP="0063689C" w:rsidRDefault="0063689C" w14:paraId="16818851" w14:textId="387BADD8">
      <w:pPr>
        <w:jc w:val="both"/>
        <w:rPr>
          <w:rFonts w:cs="Arial"/>
          <w:b/>
          <w:sz w:val="24"/>
          <w:szCs w:val="24"/>
          <w:u w:val="single"/>
        </w:rPr>
      </w:pPr>
      <w:r w:rsidRPr="00555DF6">
        <w:rPr>
          <w:rFonts w:cs="Arial"/>
          <w:b/>
          <w:sz w:val="24"/>
          <w:szCs w:val="24"/>
          <w:u w:val="single"/>
        </w:rPr>
        <w:t>Equit</w:t>
      </w:r>
      <w:r w:rsidRPr="00555DF6" w:rsidR="00AF3EFA">
        <w:rPr>
          <w:rFonts w:cs="Arial"/>
          <w:b/>
          <w:sz w:val="24"/>
          <w:szCs w:val="24"/>
          <w:u w:val="single"/>
        </w:rPr>
        <w:t>y - £</w:t>
      </w:r>
      <w:r w:rsidR="00222355">
        <w:rPr>
          <w:rFonts w:cs="Arial"/>
          <w:b/>
          <w:sz w:val="24"/>
          <w:szCs w:val="24"/>
          <w:u w:val="single"/>
        </w:rPr>
        <w:t>6,010,823</w:t>
      </w:r>
      <w:r w:rsidR="00FD5212">
        <w:rPr>
          <w:rFonts w:cs="Arial"/>
          <w:b/>
          <w:sz w:val="24"/>
          <w:szCs w:val="24"/>
          <w:u w:val="single"/>
        </w:rPr>
        <w:t xml:space="preserve"> </w:t>
      </w:r>
      <w:r w:rsidRPr="00973815" w:rsidR="00FD5212">
        <w:rPr>
          <w:rFonts w:cs="Arial"/>
          <w:b/>
          <w:u w:val="single"/>
        </w:rPr>
        <w:t xml:space="preserve">(this includes schools </w:t>
      </w:r>
      <w:r w:rsidRPr="00973815" w:rsidR="00555DF6">
        <w:rPr>
          <w:rFonts w:cs="Arial"/>
          <w:b/>
          <w:u w:val="single"/>
        </w:rPr>
        <w:t>and centrally retained funding)</w:t>
      </w:r>
    </w:p>
    <w:p w:rsidRPr="00555DF6" w:rsidR="009D497A" w:rsidP="00555DF6" w:rsidRDefault="00555DF6" w14:paraId="1253C254" w14:textId="6B3F7A27">
      <w:pPr>
        <w:jc w:val="both"/>
        <w:rPr>
          <w:rFonts w:cs="Arial"/>
          <w:bCs/>
          <w:sz w:val="24"/>
          <w:szCs w:val="24"/>
        </w:rPr>
      </w:pPr>
      <w:r>
        <w:rPr>
          <w:rFonts w:cs="Arial"/>
          <w:bCs/>
          <w:sz w:val="24"/>
          <w:szCs w:val="24"/>
        </w:rPr>
        <w:t>PDG is based on PLASC 2</w:t>
      </w:r>
      <w:r w:rsidR="00973815">
        <w:rPr>
          <w:rFonts w:cs="Arial"/>
          <w:bCs/>
          <w:sz w:val="24"/>
          <w:szCs w:val="24"/>
        </w:rPr>
        <w:t>4</w:t>
      </w:r>
      <w:r>
        <w:rPr>
          <w:rFonts w:cs="Arial"/>
          <w:bCs/>
          <w:sz w:val="24"/>
          <w:szCs w:val="24"/>
        </w:rPr>
        <w:t>, which also includes</w:t>
      </w:r>
      <w:r w:rsidR="009D497A">
        <w:rPr>
          <w:rFonts w:cs="Arial"/>
          <w:bCs/>
          <w:sz w:val="24"/>
          <w:szCs w:val="24"/>
        </w:rPr>
        <w:t xml:space="preserve"> an element called PDG Smoothing this is to help reduce the impact for schools where there has been a decrease in PDG allocations between </w:t>
      </w:r>
      <w:r w:rsidR="00973815">
        <w:rPr>
          <w:rFonts w:cs="Arial"/>
          <w:bCs/>
          <w:sz w:val="24"/>
          <w:szCs w:val="24"/>
        </w:rPr>
        <w:t>the current and previous year</w:t>
      </w:r>
      <w:r w:rsidR="009D497A">
        <w:rPr>
          <w:rFonts w:cs="Arial"/>
          <w:bCs/>
          <w:sz w:val="24"/>
          <w:szCs w:val="24"/>
        </w:rPr>
        <w:t xml:space="preserve">.  </w:t>
      </w:r>
      <w:r w:rsidR="00973815">
        <w:rPr>
          <w:rFonts w:cs="Arial"/>
          <w:bCs/>
          <w:sz w:val="24"/>
          <w:szCs w:val="24"/>
        </w:rPr>
        <w:t xml:space="preserve">All schools have received </w:t>
      </w:r>
      <w:r w:rsidR="00442AAA">
        <w:rPr>
          <w:rFonts w:cs="Arial"/>
          <w:bCs/>
          <w:sz w:val="24"/>
          <w:szCs w:val="24"/>
        </w:rPr>
        <w:t xml:space="preserve">a lump sum of </w:t>
      </w:r>
      <w:r w:rsidR="00973815">
        <w:rPr>
          <w:rFonts w:cs="Arial"/>
          <w:bCs/>
          <w:sz w:val="24"/>
          <w:szCs w:val="24"/>
        </w:rPr>
        <w:t xml:space="preserve">£2,186 of </w:t>
      </w:r>
      <w:r w:rsidR="00442AAA">
        <w:rPr>
          <w:rFonts w:cs="Arial"/>
          <w:bCs/>
          <w:sz w:val="24"/>
          <w:szCs w:val="24"/>
        </w:rPr>
        <w:t>funding, with the balance of the grant being given to the schools where their PDG allocations is less than 24/25.</w:t>
      </w:r>
      <w:r w:rsidR="009D497A">
        <w:rPr>
          <w:rFonts w:cs="Arial"/>
          <w:bCs/>
          <w:sz w:val="24"/>
          <w:szCs w:val="24"/>
        </w:rPr>
        <w:t xml:space="preserve">  </w:t>
      </w:r>
    </w:p>
    <w:tbl>
      <w:tblPr>
        <w:tblStyle w:val="TableGrid"/>
        <w:tblW w:w="0" w:type="auto"/>
        <w:tblLook w:val="04A0" w:firstRow="1" w:lastRow="0" w:firstColumn="1" w:lastColumn="0" w:noHBand="0" w:noVBand="1"/>
      </w:tblPr>
      <w:tblGrid>
        <w:gridCol w:w="5098"/>
        <w:gridCol w:w="1560"/>
        <w:gridCol w:w="2358"/>
      </w:tblGrid>
      <w:tr w:rsidRPr="003E6C28" w:rsidR="0019405B" w:rsidTr="00222355" w14:paraId="1FDA2A22" w14:textId="51EF44D9">
        <w:tc>
          <w:tcPr>
            <w:tcW w:w="5098" w:type="dxa"/>
          </w:tcPr>
          <w:p w:rsidRPr="003E6C28" w:rsidR="0019405B" w:rsidP="00467472" w:rsidRDefault="0019405B" w14:paraId="3DE30648" w14:textId="2646565A">
            <w:pPr>
              <w:rPr>
                <w:rFonts w:cs="Arial"/>
                <w:b/>
                <w:bCs/>
                <w:sz w:val="24"/>
                <w:szCs w:val="24"/>
              </w:rPr>
            </w:pPr>
            <w:r>
              <w:rPr>
                <w:rFonts w:cs="Arial"/>
                <w:b/>
                <w:bCs/>
                <w:sz w:val="24"/>
                <w:szCs w:val="24"/>
              </w:rPr>
              <w:t xml:space="preserve">Funding stream within </w:t>
            </w:r>
            <w:r w:rsidR="00B81A77">
              <w:rPr>
                <w:rFonts w:cs="Arial"/>
                <w:b/>
                <w:bCs/>
                <w:sz w:val="24"/>
                <w:szCs w:val="24"/>
              </w:rPr>
              <w:t>Equity</w:t>
            </w:r>
          </w:p>
        </w:tc>
        <w:tc>
          <w:tcPr>
            <w:tcW w:w="1560" w:type="dxa"/>
          </w:tcPr>
          <w:p w:rsidRPr="003E6C28" w:rsidR="0019405B" w:rsidP="00467472" w:rsidRDefault="0019405B" w14:paraId="4974C5EE" w14:textId="77777777">
            <w:pPr>
              <w:jc w:val="center"/>
              <w:rPr>
                <w:rFonts w:cs="Arial"/>
                <w:b/>
                <w:bCs/>
                <w:sz w:val="24"/>
                <w:szCs w:val="24"/>
              </w:rPr>
            </w:pPr>
            <w:r>
              <w:rPr>
                <w:rFonts w:cs="Arial"/>
                <w:b/>
                <w:bCs/>
                <w:sz w:val="24"/>
                <w:szCs w:val="24"/>
              </w:rPr>
              <w:t>Allocation</w:t>
            </w:r>
          </w:p>
        </w:tc>
        <w:tc>
          <w:tcPr>
            <w:tcW w:w="2358" w:type="dxa"/>
          </w:tcPr>
          <w:p w:rsidR="0019405B" w:rsidP="00467472" w:rsidRDefault="0019405B" w14:paraId="63310D59" w14:textId="13C7D5C1">
            <w:pPr>
              <w:jc w:val="center"/>
              <w:rPr>
                <w:rFonts w:cs="Arial"/>
                <w:b/>
                <w:bCs/>
                <w:sz w:val="24"/>
                <w:szCs w:val="24"/>
              </w:rPr>
            </w:pPr>
            <w:r>
              <w:rPr>
                <w:rFonts w:cs="Arial"/>
                <w:b/>
                <w:bCs/>
                <w:sz w:val="24"/>
                <w:szCs w:val="24"/>
              </w:rPr>
              <w:t>Where</w:t>
            </w:r>
          </w:p>
        </w:tc>
      </w:tr>
      <w:tr w:rsidRPr="00196801" w:rsidR="0019405B" w:rsidTr="00222355" w14:paraId="57746602" w14:textId="6BDA0B56">
        <w:tc>
          <w:tcPr>
            <w:tcW w:w="5098" w:type="dxa"/>
          </w:tcPr>
          <w:p w:rsidRPr="00196801" w:rsidR="0019405B" w:rsidP="00467472" w:rsidRDefault="0019405B" w14:paraId="60F36FC1" w14:textId="1D36B5E2">
            <w:pPr>
              <w:rPr>
                <w:rFonts w:cs="Arial"/>
                <w:sz w:val="24"/>
                <w:szCs w:val="24"/>
              </w:rPr>
            </w:pPr>
            <w:r>
              <w:rPr>
                <w:rFonts w:cs="Arial"/>
                <w:sz w:val="24"/>
                <w:szCs w:val="24"/>
              </w:rPr>
              <w:t>Elective Home Education</w:t>
            </w:r>
          </w:p>
        </w:tc>
        <w:tc>
          <w:tcPr>
            <w:tcW w:w="1560" w:type="dxa"/>
          </w:tcPr>
          <w:p w:rsidRPr="00196801" w:rsidR="0019405B" w:rsidP="00467472" w:rsidRDefault="0019405B" w14:paraId="761324B7" w14:textId="0696F50F">
            <w:pPr>
              <w:jc w:val="right"/>
              <w:rPr>
                <w:rFonts w:cs="Arial"/>
                <w:sz w:val="24"/>
                <w:szCs w:val="24"/>
              </w:rPr>
            </w:pPr>
            <w:r>
              <w:rPr>
                <w:rFonts w:cs="Arial"/>
                <w:sz w:val="24"/>
                <w:szCs w:val="24"/>
              </w:rPr>
              <w:t>£67,696</w:t>
            </w:r>
          </w:p>
        </w:tc>
        <w:tc>
          <w:tcPr>
            <w:tcW w:w="2358" w:type="dxa"/>
          </w:tcPr>
          <w:p w:rsidR="0019405B" w:rsidP="00467472" w:rsidRDefault="0019405B" w14:paraId="26F1D3AF" w14:textId="74E5175F">
            <w:pPr>
              <w:jc w:val="right"/>
              <w:rPr>
                <w:rFonts w:cs="Arial"/>
                <w:sz w:val="24"/>
                <w:szCs w:val="24"/>
              </w:rPr>
            </w:pPr>
            <w:r>
              <w:rPr>
                <w:rFonts w:cs="Arial"/>
                <w:sz w:val="24"/>
                <w:szCs w:val="24"/>
              </w:rPr>
              <w:t>Central</w:t>
            </w:r>
          </w:p>
        </w:tc>
      </w:tr>
      <w:tr w:rsidRPr="00196801" w:rsidR="0019405B" w:rsidTr="00222355" w14:paraId="2C6058BA" w14:textId="2652BAB7">
        <w:tc>
          <w:tcPr>
            <w:tcW w:w="5098" w:type="dxa"/>
          </w:tcPr>
          <w:p w:rsidRPr="00196801" w:rsidR="0019405B" w:rsidP="00467472" w:rsidRDefault="0019405B" w14:paraId="277A395D" w14:textId="6E03935C">
            <w:pPr>
              <w:rPr>
                <w:rFonts w:cs="Arial"/>
                <w:sz w:val="24"/>
                <w:szCs w:val="24"/>
              </w:rPr>
            </w:pPr>
            <w:r>
              <w:rPr>
                <w:rFonts w:cs="Arial"/>
                <w:sz w:val="24"/>
                <w:szCs w:val="24"/>
              </w:rPr>
              <w:t>Family Engagement Officers</w:t>
            </w:r>
          </w:p>
        </w:tc>
        <w:tc>
          <w:tcPr>
            <w:tcW w:w="1560" w:type="dxa"/>
          </w:tcPr>
          <w:p w:rsidRPr="00196801" w:rsidR="0019405B" w:rsidP="00467472" w:rsidRDefault="0019405B" w14:paraId="16F76813" w14:textId="36C5A8D4">
            <w:pPr>
              <w:jc w:val="right"/>
              <w:rPr>
                <w:rFonts w:cs="Arial"/>
                <w:sz w:val="24"/>
                <w:szCs w:val="24"/>
              </w:rPr>
            </w:pPr>
            <w:r>
              <w:rPr>
                <w:rFonts w:cs="Arial"/>
                <w:sz w:val="24"/>
                <w:szCs w:val="24"/>
              </w:rPr>
              <w:t>£</w:t>
            </w:r>
            <w:r w:rsidR="00442AAA">
              <w:rPr>
                <w:rFonts w:cs="Arial"/>
                <w:sz w:val="24"/>
                <w:szCs w:val="24"/>
              </w:rPr>
              <w:t>415,798</w:t>
            </w:r>
          </w:p>
        </w:tc>
        <w:tc>
          <w:tcPr>
            <w:tcW w:w="2358" w:type="dxa"/>
          </w:tcPr>
          <w:p w:rsidR="0019405B" w:rsidP="00467472" w:rsidRDefault="00222355" w14:paraId="4ED1C5A9" w14:textId="1E61696A">
            <w:pPr>
              <w:jc w:val="right"/>
              <w:rPr>
                <w:rFonts w:cs="Arial"/>
                <w:sz w:val="24"/>
                <w:szCs w:val="24"/>
              </w:rPr>
            </w:pPr>
            <w:r>
              <w:rPr>
                <w:rFonts w:cs="Arial"/>
                <w:sz w:val="24"/>
                <w:szCs w:val="24"/>
              </w:rPr>
              <w:t>Schools/Central</w:t>
            </w:r>
          </w:p>
        </w:tc>
      </w:tr>
      <w:tr w:rsidRPr="00196801" w:rsidR="0019405B" w:rsidTr="00222355" w14:paraId="4D37D541" w14:textId="6098D3A9">
        <w:tc>
          <w:tcPr>
            <w:tcW w:w="5098" w:type="dxa"/>
          </w:tcPr>
          <w:p w:rsidRPr="00196801" w:rsidR="0019405B" w:rsidP="00467472" w:rsidRDefault="0019405B" w14:paraId="0738976A" w14:textId="5E3C5FBE">
            <w:pPr>
              <w:rPr>
                <w:rFonts w:cs="Arial"/>
                <w:sz w:val="24"/>
                <w:szCs w:val="24"/>
              </w:rPr>
            </w:pPr>
            <w:r>
              <w:rPr>
                <w:rFonts w:cs="Arial"/>
                <w:sz w:val="24"/>
                <w:szCs w:val="24"/>
              </w:rPr>
              <w:t>Community Focused Schools Manager</w:t>
            </w:r>
          </w:p>
        </w:tc>
        <w:tc>
          <w:tcPr>
            <w:tcW w:w="1560" w:type="dxa"/>
          </w:tcPr>
          <w:p w:rsidRPr="00196801" w:rsidR="0019405B" w:rsidP="00467472" w:rsidRDefault="0019405B" w14:paraId="211567B2" w14:textId="4A9BBFF1">
            <w:pPr>
              <w:jc w:val="right"/>
              <w:rPr>
                <w:rFonts w:cs="Arial"/>
                <w:sz w:val="24"/>
                <w:szCs w:val="24"/>
              </w:rPr>
            </w:pPr>
            <w:r>
              <w:rPr>
                <w:rFonts w:cs="Arial"/>
                <w:sz w:val="24"/>
                <w:szCs w:val="24"/>
              </w:rPr>
              <w:t>£31,500</w:t>
            </w:r>
          </w:p>
        </w:tc>
        <w:tc>
          <w:tcPr>
            <w:tcW w:w="2358" w:type="dxa"/>
          </w:tcPr>
          <w:p w:rsidR="0019405B" w:rsidP="00467472" w:rsidRDefault="00222355" w14:paraId="61FCF07B" w14:textId="78DA24DC">
            <w:pPr>
              <w:jc w:val="right"/>
              <w:rPr>
                <w:rFonts w:cs="Arial"/>
                <w:sz w:val="24"/>
                <w:szCs w:val="24"/>
              </w:rPr>
            </w:pPr>
            <w:r>
              <w:rPr>
                <w:rFonts w:cs="Arial"/>
                <w:sz w:val="24"/>
                <w:szCs w:val="24"/>
              </w:rPr>
              <w:t>Schools/Central</w:t>
            </w:r>
          </w:p>
        </w:tc>
      </w:tr>
      <w:tr w:rsidRPr="00196801" w:rsidR="00442AAA" w:rsidTr="00222355" w14:paraId="6FBE01D0" w14:textId="77777777">
        <w:tc>
          <w:tcPr>
            <w:tcW w:w="5098" w:type="dxa"/>
          </w:tcPr>
          <w:p w:rsidR="00442AAA" w:rsidP="00467472" w:rsidRDefault="00442AAA" w14:paraId="5F643E12" w14:textId="4F8B1048">
            <w:pPr>
              <w:rPr>
                <w:rFonts w:cs="Arial"/>
                <w:sz w:val="24"/>
                <w:szCs w:val="24"/>
              </w:rPr>
            </w:pPr>
            <w:r>
              <w:rPr>
                <w:rFonts w:cs="Arial"/>
                <w:sz w:val="24"/>
                <w:szCs w:val="24"/>
              </w:rPr>
              <w:t>Community Focused Schools PL</w:t>
            </w:r>
          </w:p>
        </w:tc>
        <w:tc>
          <w:tcPr>
            <w:tcW w:w="1560" w:type="dxa"/>
          </w:tcPr>
          <w:p w:rsidR="00442AAA" w:rsidP="00467472" w:rsidRDefault="00442AAA" w14:paraId="23AE336C" w14:textId="7C0D465E">
            <w:pPr>
              <w:jc w:val="right"/>
              <w:rPr>
                <w:rFonts w:cs="Arial"/>
                <w:sz w:val="24"/>
                <w:szCs w:val="24"/>
              </w:rPr>
            </w:pPr>
            <w:r>
              <w:rPr>
                <w:rFonts w:cs="Arial"/>
                <w:sz w:val="24"/>
                <w:szCs w:val="24"/>
              </w:rPr>
              <w:t>£49,526</w:t>
            </w:r>
          </w:p>
        </w:tc>
        <w:tc>
          <w:tcPr>
            <w:tcW w:w="2358" w:type="dxa"/>
          </w:tcPr>
          <w:p w:rsidR="00442AAA" w:rsidP="00467472" w:rsidRDefault="00222355" w14:paraId="6CF78BE0" w14:textId="163C567D">
            <w:pPr>
              <w:jc w:val="right"/>
              <w:rPr>
                <w:rFonts w:cs="Arial"/>
                <w:sz w:val="24"/>
                <w:szCs w:val="24"/>
              </w:rPr>
            </w:pPr>
            <w:r>
              <w:rPr>
                <w:rFonts w:cs="Arial"/>
                <w:sz w:val="24"/>
                <w:szCs w:val="24"/>
              </w:rPr>
              <w:t>Schools</w:t>
            </w:r>
          </w:p>
        </w:tc>
      </w:tr>
      <w:tr w:rsidRPr="00196801" w:rsidR="0019405B" w:rsidTr="00222355" w14:paraId="72249FAA" w14:textId="3FA282B7">
        <w:tc>
          <w:tcPr>
            <w:tcW w:w="5098" w:type="dxa"/>
          </w:tcPr>
          <w:p w:rsidRPr="00196801" w:rsidR="0019405B" w:rsidP="00467472" w:rsidRDefault="0019405B" w14:paraId="00588DEB" w14:textId="3F07AA40">
            <w:pPr>
              <w:rPr>
                <w:rFonts w:cs="Arial"/>
                <w:sz w:val="24"/>
                <w:szCs w:val="24"/>
              </w:rPr>
            </w:pPr>
            <w:r>
              <w:rPr>
                <w:rFonts w:cs="Arial"/>
                <w:sz w:val="24"/>
                <w:szCs w:val="24"/>
              </w:rPr>
              <w:t>Education Welfare Officers</w:t>
            </w:r>
          </w:p>
        </w:tc>
        <w:tc>
          <w:tcPr>
            <w:tcW w:w="1560" w:type="dxa"/>
          </w:tcPr>
          <w:p w:rsidRPr="00196801" w:rsidR="0019405B" w:rsidP="00467472" w:rsidRDefault="0019405B" w14:paraId="60492BDD" w14:textId="3BD54B07">
            <w:pPr>
              <w:jc w:val="right"/>
              <w:rPr>
                <w:rFonts w:cs="Arial"/>
                <w:sz w:val="24"/>
                <w:szCs w:val="24"/>
              </w:rPr>
            </w:pPr>
            <w:r>
              <w:rPr>
                <w:rFonts w:cs="Arial"/>
                <w:sz w:val="24"/>
                <w:szCs w:val="24"/>
              </w:rPr>
              <w:t>£10</w:t>
            </w:r>
            <w:r w:rsidR="00442AAA">
              <w:rPr>
                <w:rFonts w:cs="Arial"/>
                <w:sz w:val="24"/>
                <w:szCs w:val="24"/>
              </w:rPr>
              <w:t>9,053</w:t>
            </w:r>
          </w:p>
        </w:tc>
        <w:tc>
          <w:tcPr>
            <w:tcW w:w="2358" w:type="dxa"/>
          </w:tcPr>
          <w:p w:rsidR="0019405B" w:rsidP="00467472" w:rsidRDefault="00710E30" w14:paraId="587D6CC3" w14:textId="72732570">
            <w:pPr>
              <w:jc w:val="right"/>
              <w:rPr>
                <w:rFonts w:cs="Arial"/>
                <w:sz w:val="24"/>
                <w:szCs w:val="24"/>
              </w:rPr>
            </w:pPr>
            <w:r>
              <w:rPr>
                <w:rFonts w:cs="Arial"/>
                <w:sz w:val="24"/>
                <w:szCs w:val="24"/>
              </w:rPr>
              <w:t>Central</w:t>
            </w:r>
          </w:p>
        </w:tc>
      </w:tr>
      <w:tr w:rsidRPr="00196801" w:rsidR="00442AAA" w:rsidTr="00222355" w14:paraId="6150FB85" w14:textId="77777777">
        <w:tc>
          <w:tcPr>
            <w:tcW w:w="5098" w:type="dxa"/>
          </w:tcPr>
          <w:p w:rsidR="00442AAA" w:rsidP="00467472" w:rsidRDefault="00442AAA" w14:paraId="0D0BDEF1" w14:textId="1BA852FF">
            <w:pPr>
              <w:rPr>
                <w:rFonts w:cs="Arial"/>
                <w:sz w:val="24"/>
                <w:szCs w:val="24"/>
              </w:rPr>
            </w:pPr>
            <w:r>
              <w:rPr>
                <w:rFonts w:cs="Arial"/>
                <w:sz w:val="24"/>
                <w:szCs w:val="24"/>
              </w:rPr>
              <w:t>Enrichment Opportunities</w:t>
            </w:r>
          </w:p>
        </w:tc>
        <w:tc>
          <w:tcPr>
            <w:tcW w:w="1560" w:type="dxa"/>
          </w:tcPr>
          <w:p w:rsidR="00442AAA" w:rsidP="00467472" w:rsidRDefault="00442AAA" w14:paraId="1B746F63" w14:textId="11BB37BB">
            <w:pPr>
              <w:jc w:val="right"/>
              <w:rPr>
                <w:rFonts w:cs="Arial"/>
                <w:sz w:val="24"/>
                <w:szCs w:val="24"/>
              </w:rPr>
            </w:pPr>
            <w:r>
              <w:rPr>
                <w:rFonts w:cs="Arial"/>
                <w:sz w:val="24"/>
                <w:szCs w:val="24"/>
              </w:rPr>
              <w:t>£91,427</w:t>
            </w:r>
          </w:p>
        </w:tc>
        <w:tc>
          <w:tcPr>
            <w:tcW w:w="2358" w:type="dxa"/>
          </w:tcPr>
          <w:p w:rsidR="00442AAA" w:rsidP="00467472" w:rsidRDefault="00222355" w14:paraId="5CE1E668" w14:textId="416AE73C">
            <w:pPr>
              <w:jc w:val="right"/>
              <w:rPr>
                <w:rFonts w:cs="Arial"/>
                <w:sz w:val="24"/>
                <w:szCs w:val="24"/>
              </w:rPr>
            </w:pPr>
            <w:r>
              <w:rPr>
                <w:rFonts w:cs="Arial"/>
                <w:sz w:val="24"/>
                <w:szCs w:val="24"/>
              </w:rPr>
              <w:t>Central for Schools</w:t>
            </w:r>
          </w:p>
        </w:tc>
      </w:tr>
      <w:tr w:rsidRPr="00196801" w:rsidR="0019405B" w:rsidTr="00222355" w14:paraId="63205159" w14:textId="5EC25D37">
        <w:tc>
          <w:tcPr>
            <w:tcW w:w="5098" w:type="dxa"/>
          </w:tcPr>
          <w:p w:rsidRPr="00196801" w:rsidR="0019405B" w:rsidP="00467472" w:rsidRDefault="0019405B" w14:paraId="020E37F2" w14:textId="17F5C56E">
            <w:pPr>
              <w:rPr>
                <w:rFonts w:cs="Arial"/>
                <w:sz w:val="24"/>
                <w:szCs w:val="24"/>
              </w:rPr>
            </w:pPr>
            <w:r>
              <w:rPr>
                <w:rFonts w:cs="Arial"/>
                <w:sz w:val="24"/>
                <w:szCs w:val="24"/>
              </w:rPr>
              <w:t>MEGRT</w:t>
            </w:r>
          </w:p>
        </w:tc>
        <w:tc>
          <w:tcPr>
            <w:tcW w:w="1560" w:type="dxa"/>
          </w:tcPr>
          <w:p w:rsidRPr="00196801" w:rsidR="0019405B" w:rsidP="00467472" w:rsidRDefault="0019405B" w14:paraId="7684E3B3" w14:textId="58C0ECAC">
            <w:pPr>
              <w:jc w:val="right"/>
              <w:rPr>
                <w:rFonts w:cs="Arial"/>
                <w:sz w:val="24"/>
                <w:szCs w:val="24"/>
              </w:rPr>
            </w:pPr>
            <w:r>
              <w:rPr>
                <w:rFonts w:cs="Arial"/>
                <w:sz w:val="24"/>
                <w:szCs w:val="24"/>
              </w:rPr>
              <w:t>£35</w:t>
            </w:r>
            <w:r w:rsidR="00442AAA">
              <w:rPr>
                <w:rFonts w:cs="Arial"/>
                <w:sz w:val="24"/>
                <w:szCs w:val="24"/>
              </w:rPr>
              <w:t>1,609</w:t>
            </w:r>
          </w:p>
        </w:tc>
        <w:tc>
          <w:tcPr>
            <w:tcW w:w="2358" w:type="dxa"/>
          </w:tcPr>
          <w:p w:rsidR="0019405B" w:rsidP="00467472" w:rsidRDefault="00710E30" w14:paraId="617EE1CB" w14:textId="46F9A41A">
            <w:pPr>
              <w:jc w:val="right"/>
              <w:rPr>
                <w:rFonts w:cs="Arial"/>
                <w:sz w:val="24"/>
                <w:szCs w:val="24"/>
              </w:rPr>
            </w:pPr>
            <w:r>
              <w:rPr>
                <w:rFonts w:cs="Arial"/>
                <w:sz w:val="24"/>
                <w:szCs w:val="24"/>
              </w:rPr>
              <w:t>Central</w:t>
            </w:r>
          </w:p>
        </w:tc>
      </w:tr>
      <w:tr w:rsidRPr="00196801" w:rsidR="0019405B" w:rsidTr="00222355" w14:paraId="5876F057" w14:textId="5BA90847">
        <w:tc>
          <w:tcPr>
            <w:tcW w:w="5098" w:type="dxa"/>
          </w:tcPr>
          <w:p w:rsidRPr="00196801" w:rsidR="0019405B" w:rsidP="00467472" w:rsidRDefault="0019405B" w14:paraId="69DDB5E5" w14:textId="72C52CC5">
            <w:pPr>
              <w:rPr>
                <w:rFonts w:cs="Arial"/>
                <w:sz w:val="24"/>
                <w:szCs w:val="24"/>
              </w:rPr>
            </w:pPr>
            <w:r>
              <w:rPr>
                <w:rFonts w:cs="Arial"/>
                <w:sz w:val="24"/>
                <w:szCs w:val="24"/>
              </w:rPr>
              <w:t xml:space="preserve">PDG </w:t>
            </w:r>
          </w:p>
        </w:tc>
        <w:tc>
          <w:tcPr>
            <w:tcW w:w="1560" w:type="dxa"/>
          </w:tcPr>
          <w:p w:rsidRPr="00196801" w:rsidR="0019405B" w:rsidP="00467472" w:rsidRDefault="0019405B" w14:paraId="799807FA" w14:textId="11F1DA89">
            <w:pPr>
              <w:jc w:val="right"/>
              <w:rPr>
                <w:rFonts w:cs="Arial"/>
                <w:sz w:val="24"/>
                <w:szCs w:val="24"/>
              </w:rPr>
            </w:pPr>
            <w:r>
              <w:rPr>
                <w:rFonts w:cs="Arial"/>
                <w:sz w:val="24"/>
                <w:szCs w:val="24"/>
              </w:rPr>
              <w:t>£4,</w:t>
            </w:r>
            <w:r w:rsidR="00442AAA">
              <w:rPr>
                <w:rFonts w:cs="Arial"/>
                <w:sz w:val="24"/>
                <w:szCs w:val="24"/>
              </w:rPr>
              <w:t>000,850</w:t>
            </w:r>
          </w:p>
        </w:tc>
        <w:tc>
          <w:tcPr>
            <w:tcW w:w="2358" w:type="dxa"/>
          </w:tcPr>
          <w:p w:rsidR="0019405B" w:rsidP="00467472" w:rsidRDefault="00710E30" w14:paraId="7EAF7C55" w14:textId="31339C20">
            <w:pPr>
              <w:jc w:val="right"/>
              <w:rPr>
                <w:rFonts w:cs="Arial"/>
                <w:sz w:val="24"/>
                <w:szCs w:val="24"/>
              </w:rPr>
            </w:pPr>
            <w:r>
              <w:rPr>
                <w:rFonts w:cs="Arial"/>
                <w:sz w:val="24"/>
                <w:szCs w:val="24"/>
              </w:rPr>
              <w:t>Schools</w:t>
            </w:r>
          </w:p>
        </w:tc>
      </w:tr>
      <w:tr w:rsidRPr="00196801" w:rsidR="0019405B" w:rsidTr="00222355" w14:paraId="1569E67A" w14:textId="2D41C257">
        <w:tc>
          <w:tcPr>
            <w:tcW w:w="5098" w:type="dxa"/>
          </w:tcPr>
          <w:p w:rsidRPr="00196801" w:rsidR="0019405B" w:rsidP="00467472" w:rsidRDefault="0019405B" w14:paraId="0F8F18B2" w14:textId="5C1B3F02">
            <w:pPr>
              <w:rPr>
                <w:rFonts w:cs="Arial"/>
                <w:sz w:val="24"/>
                <w:szCs w:val="24"/>
              </w:rPr>
            </w:pPr>
            <w:r>
              <w:rPr>
                <w:rFonts w:cs="Arial"/>
                <w:sz w:val="24"/>
                <w:szCs w:val="24"/>
              </w:rPr>
              <w:t>PDG Smoothing</w:t>
            </w:r>
          </w:p>
        </w:tc>
        <w:tc>
          <w:tcPr>
            <w:tcW w:w="1560" w:type="dxa"/>
          </w:tcPr>
          <w:p w:rsidRPr="00196801" w:rsidR="0019405B" w:rsidP="00467472" w:rsidRDefault="0019405B" w14:paraId="7FB31CEF" w14:textId="061ED2BC">
            <w:pPr>
              <w:jc w:val="right"/>
              <w:rPr>
                <w:rFonts w:cs="Arial"/>
                <w:sz w:val="24"/>
                <w:szCs w:val="24"/>
              </w:rPr>
            </w:pPr>
            <w:r>
              <w:rPr>
                <w:rFonts w:cs="Arial"/>
                <w:sz w:val="24"/>
                <w:szCs w:val="24"/>
              </w:rPr>
              <w:t>£</w:t>
            </w:r>
            <w:r w:rsidR="00442AAA">
              <w:rPr>
                <w:rFonts w:cs="Arial"/>
                <w:sz w:val="24"/>
                <w:szCs w:val="24"/>
              </w:rPr>
              <w:t>594,691</w:t>
            </w:r>
          </w:p>
        </w:tc>
        <w:tc>
          <w:tcPr>
            <w:tcW w:w="2358" w:type="dxa"/>
          </w:tcPr>
          <w:p w:rsidR="0019405B" w:rsidP="00467472" w:rsidRDefault="00710E30" w14:paraId="4EC94804" w14:textId="23F941F5">
            <w:pPr>
              <w:jc w:val="right"/>
              <w:rPr>
                <w:rFonts w:cs="Arial"/>
                <w:sz w:val="24"/>
                <w:szCs w:val="24"/>
              </w:rPr>
            </w:pPr>
            <w:r>
              <w:rPr>
                <w:rFonts w:cs="Arial"/>
                <w:sz w:val="24"/>
                <w:szCs w:val="24"/>
              </w:rPr>
              <w:t>Schools</w:t>
            </w:r>
          </w:p>
        </w:tc>
      </w:tr>
      <w:tr w:rsidR="0019405B" w:rsidTr="00222355" w14:paraId="6B842B7C" w14:textId="1ADC9513">
        <w:tc>
          <w:tcPr>
            <w:tcW w:w="5098" w:type="dxa"/>
          </w:tcPr>
          <w:p w:rsidRPr="00196801" w:rsidR="0019405B" w:rsidP="00467472" w:rsidRDefault="0019405B" w14:paraId="1ABB8E4B" w14:textId="54547505">
            <w:pPr>
              <w:rPr>
                <w:rFonts w:cs="Arial"/>
                <w:sz w:val="24"/>
                <w:szCs w:val="24"/>
              </w:rPr>
            </w:pPr>
            <w:r>
              <w:rPr>
                <w:rFonts w:cs="Arial"/>
                <w:sz w:val="24"/>
                <w:szCs w:val="24"/>
              </w:rPr>
              <w:t xml:space="preserve">PDG </w:t>
            </w:r>
            <w:r w:rsidR="00241A65">
              <w:rPr>
                <w:rFonts w:cs="Arial"/>
                <w:sz w:val="24"/>
                <w:szCs w:val="24"/>
              </w:rPr>
              <w:t>CLA</w:t>
            </w:r>
          </w:p>
        </w:tc>
        <w:tc>
          <w:tcPr>
            <w:tcW w:w="1560" w:type="dxa"/>
          </w:tcPr>
          <w:p w:rsidR="0019405B" w:rsidP="00467472" w:rsidRDefault="0019405B" w14:paraId="284EA106" w14:textId="13318BB8">
            <w:pPr>
              <w:jc w:val="right"/>
              <w:rPr>
                <w:rFonts w:cs="Arial"/>
                <w:sz w:val="24"/>
                <w:szCs w:val="24"/>
              </w:rPr>
            </w:pPr>
            <w:r>
              <w:rPr>
                <w:rFonts w:cs="Arial"/>
                <w:sz w:val="24"/>
                <w:szCs w:val="24"/>
              </w:rPr>
              <w:t>£2</w:t>
            </w:r>
            <w:r w:rsidR="00442AAA">
              <w:rPr>
                <w:rFonts w:cs="Arial"/>
                <w:sz w:val="24"/>
                <w:szCs w:val="24"/>
              </w:rPr>
              <w:t>71,400</w:t>
            </w:r>
          </w:p>
        </w:tc>
        <w:tc>
          <w:tcPr>
            <w:tcW w:w="2358" w:type="dxa"/>
          </w:tcPr>
          <w:p w:rsidR="0019405B" w:rsidP="00467472" w:rsidRDefault="00710E30" w14:paraId="1B4FC8A8" w14:textId="3A895D2D">
            <w:pPr>
              <w:jc w:val="right"/>
              <w:rPr>
                <w:rFonts w:cs="Arial"/>
                <w:sz w:val="24"/>
                <w:szCs w:val="24"/>
              </w:rPr>
            </w:pPr>
            <w:r>
              <w:rPr>
                <w:rFonts w:cs="Arial"/>
                <w:sz w:val="24"/>
                <w:szCs w:val="24"/>
              </w:rPr>
              <w:t>Schools/</w:t>
            </w:r>
            <w:r w:rsidR="00241A65">
              <w:rPr>
                <w:rFonts w:cs="Arial"/>
                <w:sz w:val="24"/>
                <w:szCs w:val="24"/>
              </w:rPr>
              <w:t>C</w:t>
            </w:r>
            <w:r>
              <w:rPr>
                <w:rFonts w:cs="Arial"/>
                <w:sz w:val="24"/>
                <w:szCs w:val="24"/>
              </w:rPr>
              <w:t>entral</w:t>
            </w:r>
          </w:p>
        </w:tc>
      </w:tr>
      <w:tr w:rsidR="00442AAA" w:rsidTr="00222355" w14:paraId="422F2537" w14:textId="77777777">
        <w:tc>
          <w:tcPr>
            <w:tcW w:w="5098" w:type="dxa"/>
          </w:tcPr>
          <w:p w:rsidR="00442AAA" w:rsidP="00467472" w:rsidRDefault="00442AAA" w14:paraId="54C520DB" w14:textId="426648B9">
            <w:pPr>
              <w:rPr>
                <w:rFonts w:cs="Arial"/>
                <w:sz w:val="24"/>
                <w:szCs w:val="24"/>
              </w:rPr>
            </w:pPr>
            <w:r>
              <w:rPr>
                <w:rFonts w:cs="Arial"/>
                <w:sz w:val="24"/>
                <w:szCs w:val="24"/>
              </w:rPr>
              <w:t>PDG Advisors</w:t>
            </w:r>
          </w:p>
        </w:tc>
        <w:tc>
          <w:tcPr>
            <w:tcW w:w="1560" w:type="dxa"/>
          </w:tcPr>
          <w:p w:rsidR="00442AAA" w:rsidP="00467472" w:rsidRDefault="00442AAA" w14:paraId="298A5165" w14:textId="1060F9E3">
            <w:pPr>
              <w:jc w:val="right"/>
              <w:rPr>
                <w:rFonts w:cs="Arial"/>
                <w:sz w:val="24"/>
                <w:szCs w:val="24"/>
              </w:rPr>
            </w:pPr>
            <w:r>
              <w:rPr>
                <w:rFonts w:cs="Arial"/>
                <w:sz w:val="24"/>
                <w:szCs w:val="24"/>
              </w:rPr>
              <w:t>£27,273</w:t>
            </w:r>
          </w:p>
        </w:tc>
        <w:tc>
          <w:tcPr>
            <w:tcW w:w="2358" w:type="dxa"/>
          </w:tcPr>
          <w:p w:rsidR="00442AAA" w:rsidP="00467472" w:rsidRDefault="00442AAA" w14:paraId="3A614F62" w14:textId="48F4CE5C">
            <w:pPr>
              <w:jc w:val="right"/>
              <w:rPr>
                <w:rFonts w:cs="Arial"/>
                <w:sz w:val="24"/>
                <w:szCs w:val="24"/>
              </w:rPr>
            </w:pPr>
            <w:r>
              <w:rPr>
                <w:rFonts w:cs="Arial"/>
                <w:sz w:val="24"/>
                <w:szCs w:val="24"/>
              </w:rPr>
              <w:t>Central</w:t>
            </w:r>
          </w:p>
        </w:tc>
      </w:tr>
    </w:tbl>
    <w:p w:rsidRPr="00555DF6" w:rsidR="00555DF6" w:rsidP="00555DF6" w:rsidRDefault="00555DF6" w14:paraId="4922249A" w14:textId="77777777">
      <w:pPr>
        <w:jc w:val="both"/>
        <w:rPr>
          <w:rFonts w:cs="Arial"/>
          <w:bCs/>
          <w:sz w:val="24"/>
          <w:szCs w:val="24"/>
        </w:rPr>
      </w:pPr>
    </w:p>
    <w:p w:rsidRPr="0063689C" w:rsidR="0063689C" w:rsidP="0063689C" w:rsidRDefault="0063689C" w14:paraId="0648754E" w14:textId="2B5748A6">
      <w:pPr>
        <w:jc w:val="both"/>
        <w:rPr>
          <w:rFonts w:cs="Arial"/>
          <w:b/>
          <w:sz w:val="24"/>
          <w:szCs w:val="24"/>
          <w:u w:val="single"/>
        </w:rPr>
      </w:pPr>
      <w:r w:rsidRPr="00710E30">
        <w:rPr>
          <w:rFonts w:cs="Arial"/>
          <w:b/>
          <w:sz w:val="24"/>
          <w:szCs w:val="24"/>
          <w:u w:val="single"/>
        </w:rPr>
        <w:t>Reform</w:t>
      </w:r>
      <w:r w:rsidRPr="00710E30" w:rsidR="00AF3EFA">
        <w:rPr>
          <w:rFonts w:cs="Arial"/>
          <w:b/>
          <w:sz w:val="24"/>
          <w:szCs w:val="24"/>
          <w:u w:val="single"/>
        </w:rPr>
        <w:t xml:space="preserve"> - £</w:t>
      </w:r>
      <w:r w:rsidR="00916A0C">
        <w:rPr>
          <w:rFonts w:cs="Arial"/>
          <w:b/>
          <w:sz w:val="24"/>
          <w:szCs w:val="24"/>
          <w:u w:val="single"/>
        </w:rPr>
        <w:t>3,</w:t>
      </w:r>
      <w:r w:rsidR="004B016C">
        <w:rPr>
          <w:rFonts w:cs="Arial"/>
          <w:b/>
          <w:sz w:val="24"/>
          <w:szCs w:val="24"/>
          <w:u w:val="single"/>
        </w:rPr>
        <w:t>136,604</w:t>
      </w:r>
      <w:r w:rsidR="0019405B">
        <w:rPr>
          <w:rFonts w:cs="Arial"/>
          <w:b/>
          <w:sz w:val="24"/>
          <w:szCs w:val="24"/>
          <w:u w:val="single"/>
        </w:rPr>
        <w:t xml:space="preserve"> </w:t>
      </w:r>
      <w:r w:rsidRPr="003751DA" w:rsidR="0019405B">
        <w:rPr>
          <w:rFonts w:cs="Arial"/>
          <w:b/>
          <w:u w:val="single"/>
        </w:rPr>
        <w:t xml:space="preserve">(includes schools, centrally retained and </w:t>
      </w:r>
      <w:r w:rsidR="003751DA">
        <w:rPr>
          <w:rFonts w:cs="Arial"/>
          <w:b/>
          <w:u w:val="single"/>
        </w:rPr>
        <w:t>regional PL body</w:t>
      </w:r>
      <w:r w:rsidRPr="003751DA" w:rsidR="0019405B">
        <w:rPr>
          <w:rFonts w:cs="Arial"/>
          <w:b/>
          <w:u w:val="single"/>
        </w:rPr>
        <w:t>)</w:t>
      </w:r>
    </w:p>
    <w:p w:rsidRPr="004F3461" w:rsidR="00735A54" w:rsidP="004F3461" w:rsidRDefault="004F3461" w14:paraId="4C70EAAC" w14:textId="0C9E5DC0">
      <w:pPr>
        <w:jc w:val="both"/>
        <w:rPr>
          <w:rFonts w:cs="Arial"/>
          <w:bCs/>
          <w:sz w:val="24"/>
          <w:szCs w:val="24"/>
        </w:rPr>
      </w:pPr>
      <w:r>
        <w:rPr>
          <w:rFonts w:cs="Arial"/>
          <w:bCs/>
          <w:sz w:val="24"/>
          <w:szCs w:val="24"/>
        </w:rPr>
        <w:t xml:space="preserve">Allocations for schools have been provided by </w:t>
      </w:r>
      <w:proofErr w:type="gramStart"/>
      <w:r>
        <w:rPr>
          <w:rFonts w:cs="Arial"/>
          <w:bCs/>
          <w:sz w:val="24"/>
          <w:szCs w:val="24"/>
        </w:rPr>
        <w:t>W</w:t>
      </w:r>
      <w:r w:rsidR="00735A54">
        <w:rPr>
          <w:rFonts w:cs="Arial"/>
          <w:bCs/>
          <w:sz w:val="24"/>
          <w:szCs w:val="24"/>
        </w:rPr>
        <w:t>G</w:t>
      </w:r>
      <w:proofErr w:type="gramEnd"/>
      <w:r w:rsidR="00735A54">
        <w:rPr>
          <w:rFonts w:cs="Arial"/>
          <w:bCs/>
          <w:sz w:val="24"/>
          <w:szCs w:val="24"/>
        </w:rPr>
        <w:t xml:space="preserve"> and these have been given to schools, with exception of Curriculum schools, this is for the LA to determine the allocations</w:t>
      </w:r>
      <w:r w:rsidR="003751DA">
        <w:rPr>
          <w:rFonts w:cs="Arial"/>
          <w:bCs/>
          <w:sz w:val="24"/>
          <w:szCs w:val="24"/>
        </w:rPr>
        <w:t>.  Allocations are based on PLASC 24.</w:t>
      </w:r>
    </w:p>
    <w:tbl>
      <w:tblPr>
        <w:tblStyle w:val="TableGrid"/>
        <w:tblW w:w="9067" w:type="dxa"/>
        <w:tblLook w:val="04A0" w:firstRow="1" w:lastRow="0" w:firstColumn="1" w:lastColumn="0" w:noHBand="0" w:noVBand="1"/>
      </w:tblPr>
      <w:tblGrid>
        <w:gridCol w:w="6232"/>
        <w:gridCol w:w="1560"/>
        <w:gridCol w:w="1275"/>
      </w:tblGrid>
      <w:tr w:rsidR="00B81A77" w:rsidTr="004B016C" w14:paraId="27B1F051" w14:textId="77777777">
        <w:tc>
          <w:tcPr>
            <w:tcW w:w="6232" w:type="dxa"/>
          </w:tcPr>
          <w:p w:rsidRPr="003E6C28" w:rsidR="00B81A77" w:rsidP="00467472" w:rsidRDefault="00B81A77" w14:paraId="394809D2" w14:textId="70792362">
            <w:pPr>
              <w:rPr>
                <w:rFonts w:cs="Arial"/>
                <w:b/>
                <w:bCs/>
                <w:sz w:val="24"/>
                <w:szCs w:val="24"/>
              </w:rPr>
            </w:pPr>
            <w:r>
              <w:rPr>
                <w:rFonts w:cs="Arial"/>
                <w:b/>
                <w:bCs/>
                <w:sz w:val="24"/>
                <w:szCs w:val="24"/>
              </w:rPr>
              <w:lastRenderedPageBreak/>
              <w:t>Funding stream within Reform</w:t>
            </w:r>
          </w:p>
        </w:tc>
        <w:tc>
          <w:tcPr>
            <w:tcW w:w="1560" w:type="dxa"/>
          </w:tcPr>
          <w:p w:rsidRPr="003E6C28" w:rsidR="00B81A77" w:rsidP="00467472" w:rsidRDefault="00B81A77" w14:paraId="1BAD97A8" w14:textId="77777777">
            <w:pPr>
              <w:jc w:val="center"/>
              <w:rPr>
                <w:rFonts w:cs="Arial"/>
                <w:b/>
                <w:bCs/>
                <w:sz w:val="24"/>
                <w:szCs w:val="24"/>
              </w:rPr>
            </w:pPr>
            <w:r>
              <w:rPr>
                <w:rFonts w:cs="Arial"/>
                <w:b/>
                <w:bCs/>
                <w:sz w:val="24"/>
                <w:szCs w:val="24"/>
              </w:rPr>
              <w:t>Allocation</w:t>
            </w:r>
          </w:p>
        </w:tc>
        <w:tc>
          <w:tcPr>
            <w:tcW w:w="1275" w:type="dxa"/>
          </w:tcPr>
          <w:p w:rsidR="00B81A77" w:rsidP="00467472" w:rsidRDefault="00B81A77" w14:paraId="6D9FD4C1" w14:textId="77777777">
            <w:pPr>
              <w:jc w:val="center"/>
              <w:rPr>
                <w:rFonts w:cs="Arial"/>
                <w:b/>
                <w:bCs/>
                <w:sz w:val="24"/>
                <w:szCs w:val="24"/>
              </w:rPr>
            </w:pPr>
            <w:r>
              <w:rPr>
                <w:rFonts w:cs="Arial"/>
                <w:b/>
                <w:bCs/>
                <w:sz w:val="24"/>
                <w:szCs w:val="24"/>
              </w:rPr>
              <w:t>Where</w:t>
            </w:r>
          </w:p>
        </w:tc>
      </w:tr>
      <w:tr w:rsidR="00B81A77" w:rsidTr="004B016C" w14:paraId="6E3C27C5" w14:textId="77777777">
        <w:tc>
          <w:tcPr>
            <w:tcW w:w="6232" w:type="dxa"/>
          </w:tcPr>
          <w:p w:rsidRPr="00196801" w:rsidR="00B81A77" w:rsidP="00467472" w:rsidRDefault="00B81A77" w14:paraId="705D252C" w14:textId="335C2FEB">
            <w:pPr>
              <w:rPr>
                <w:rFonts w:cs="Arial"/>
                <w:sz w:val="24"/>
                <w:szCs w:val="24"/>
              </w:rPr>
            </w:pPr>
            <w:r>
              <w:rPr>
                <w:rFonts w:cs="Arial"/>
                <w:sz w:val="24"/>
                <w:szCs w:val="24"/>
              </w:rPr>
              <w:t xml:space="preserve">ALN </w:t>
            </w:r>
            <w:r w:rsidR="00C42F1E">
              <w:rPr>
                <w:rFonts w:cs="Arial"/>
                <w:sz w:val="24"/>
                <w:szCs w:val="24"/>
              </w:rPr>
              <w:t xml:space="preserve">Implementation </w:t>
            </w:r>
            <w:r>
              <w:rPr>
                <w:rFonts w:cs="Arial"/>
                <w:sz w:val="24"/>
                <w:szCs w:val="24"/>
              </w:rPr>
              <w:t>Schools</w:t>
            </w:r>
          </w:p>
        </w:tc>
        <w:tc>
          <w:tcPr>
            <w:tcW w:w="1560" w:type="dxa"/>
          </w:tcPr>
          <w:p w:rsidRPr="00196801" w:rsidR="00B81A77" w:rsidP="00467472" w:rsidRDefault="00B81A77" w14:paraId="4067E958" w14:textId="1AD2BC10">
            <w:pPr>
              <w:jc w:val="right"/>
              <w:rPr>
                <w:rFonts w:cs="Arial"/>
                <w:sz w:val="24"/>
                <w:szCs w:val="24"/>
              </w:rPr>
            </w:pPr>
            <w:r>
              <w:rPr>
                <w:rFonts w:cs="Arial"/>
                <w:sz w:val="24"/>
                <w:szCs w:val="24"/>
              </w:rPr>
              <w:t>£47</w:t>
            </w:r>
            <w:r w:rsidR="004B016C">
              <w:rPr>
                <w:rFonts w:cs="Arial"/>
                <w:sz w:val="24"/>
                <w:szCs w:val="24"/>
              </w:rPr>
              <w:t>8,808</w:t>
            </w:r>
          </w:p>
        </w:tc>
        <w:tc>
          <w:tcPr>
            <w:tcW w:w="1275" w:type="dxa"/>
          </w:tcPr>
          <w:p w:rsidR="00B81A77" w:rsidP="00467472" w:rsidRDefault="00B81A77" w14:paraId="6D6F9F38" w14:textId="1E85F93C">
            <w:pPr>
              <w:jc w:val="right"/>
              <w:rPr>
                <w:rFonts w:cs="Arial"/>
                <w:sz w:val="24"/>
                <w:szCs w:val="24"/>
              </w:rPr>
            </w:pPr>
            <w:r>
              <w:rPr>
                <w:rFonts w:cs="Arial"/>
                <w:sz w:val="24"/>
                <w:szCs w:val="24"/>
              </w:rPr>
              <w:t>Schools</w:t>
            </w:r>
          </w:p>
        </w:tc>
      </w:tr>
      <w:tr w:rsidR="00B81A77" w:rsidTr="004B016C" w14:paraId="339B7C66" w14:textId="77777777">
        <w:tc>
          <w:tcPr>
            <w:tcW w:w="6232" w:type="dxa"/>
          </w:tcPr>
          <w:p w:rsidRPr="00196801" w:rsidR="00B81A77" w:rsidP="00467472" w:rsidRDefault="00B81A77" w14:paraId="14CE974C" w14:textId="5159A23E">
            <w:pPr>
              <w:rPr>
                <w:rFonts w:cs="Arial"/>
                <w:sz w:val="24"/>
                <w:szCs w:val="24"/>
              </w:rPr>
            </w:pPr>
            <w:r>
              <w:rPr>
                <w:rFonts w:cs="Arial"/>
                <w:sz w:val="24"/>
                <w:szCs w:val="24"/>
              </w:rPr>
              <w:t>ALN</w:t>
            </w:r>
            <w:r w:rsidR="00C42F1E">
              <w:rPr>
                <w:rFonts w:cs="Arial"/>
                <w:sz w:val="24"/>
                <w:szCs w:val="24"/>
              </w:rPr>
              <w:t xml:space="preserve"> Implementation</w:t>
            </w:r>
            <w:r>
              <w:rPr>
                <w:rFonts w:cs="Arial"/>
                <w:sz w:val="24"/>
                <w:szCs w:val="24"/>
              </w:rPr>
              <w:t xml:space="preserve"> LA’s</w:t>
            </w:r>
          </w:p>
        </w:tc>
        <w:tc>
          <w:tcPr>
            <w:tcW w:w="1560" w:type="dxa"/>
          </w:tcPr>
          <w:p w:rsidRPr="00196801" w:rsidR="00B81A77" w:rsidP="00467472" w:rsidRDefault="00B81A77" w14:paraId="548EF348" w14:textId="6E06F10B">
            <w:pPr>
              <w:jc w:val="right"/>
              <w:rPr>
                <w:rFonts w:cs="Arial"/>
                <w:sz w:val="24"/>
                <w:szCs w:val="24"/>
              </w:rPr>
            </w:pPr>
            <w:r>
              <w:rPr>
                <w:rFonts w:cs="Arial"/>
                <w:sz w:val="24"/>
                <w:szCs w:val="24"/>
              </w:rPr>
              <w:t>£112,000</w:t>
            </w:r>
          </w:p>
        </w:tc>
        <w:tc>
          <w:tcPr>
            <w:tcW w:w="1275" w:type="dxa"/>
          </w:tcPr>
          <w:p w:rsidR="00B81A77" w:rsidP="00467472" w:rsidRDefault="00B81A77" w14:paraId="0B180599" w14:textId="2171A98F">
            <w:pPr>
              <w:jc w:val="right"/>
              <w:rPr>
                <w:rFonts w:cs="Arial"/>
                <w:sz w:val="24"/>
                <w:szCs w:val="24"/>
              </w:rPr>
            </w:pPr>
            <w:r>
              <w:rPr>
                <w:rFonts w:cs="Arial"/>
                <w:sz w:val="24"/>
                <w:szCs w:val="24"/>
              </w:rPr>
              <w:t>Central</w:t>
            </w:r>
          </w:p>
        </w:tc>
      </w:tr>
      <w:tr w:rsidR="00B81A77" w:rsidTr="004B016C" w14:paraId="11376ED0" w14:textId="77777777">
        <w:tc>
          <w:tcPr>
            <w:tcW w:w="6232" w:type="dxa"/>
          </w:tcPr>
          <w:p w:rsidRPr="00196801" w:rsidR="00B81A77" w:rsidP="00467472" w:rsidRDefault="00B81A77" w14:paraId="6F002946" w14:textId="12E4CEB7">
            <w:pPr>
              <w:rPr>
                <w:rFonts w:cs="Arial"/>
                <w:sz w:val="24"/>
                <w:szCs w:val="24"/>
              </w:rPr>
            </w:pPr>
            <w:r>
              <w:rPr>
                <w:rFonts w:cs="Arial"/>
                <w:sz w:val="24"/>
                <w:szCs w:val="24"/>
              </w:rPr>
              <w:t>ALN Provision</w:t>
            </w:r>
          </w:p>
        </w:tc>
        <w:tc>
          <w:tcPr>
            <w:tcW w:w="1560" w:type="dxa"/>
          </w:tcPr>
          <w:p w:rsidRPr="00196801" w:rsidR="00B81A77" w:rsidP="00467472" w:rsidRDefault="00B81A77" w14:paraId="743C428F" w14:textId="5F0FA939">
            <w:pPr>
              <w:jc w:val="right"/>
              <w:rPr>
                <w:rFonts w:cs="Arial"/>
                <w:sz w:val="24"/>
                <w:szCs w:val="24"/>
              </w:rPr>
            </w:pPr>
            <w:r>
              <w:rPr>
                <w:rFonts w:cs="Arial"/>
                <w:sz w:val="24"/>
                <w:szCs w:val="24"/>
              </w:rPr>
              <w:t>£</w:t>
            </w:r>
            <w:r w:rsidR="00916A0C">
              <w:rPr>
                <w:rFonts w:cs="Arial"/>
                <w:sz w:val="24"/>
                <w:szCs w:val="24"/>
              </w:rPr>
              <w:t>8</w:t>
            </w:r>
            <w:r w:rsidR="004B016C">
              <w:rPr>
                <w:rFonts w:cs="Arial"/>
                <w:sz w:val="24"/>
                <w:szCs w:val="24"/>
              </w:rPr>
              <w:t>33,099</w:t>
            </w:r>
          </w:p>
        </w:tc>
        <w:tc>
          <w:tcPr>
            <w:tcW w:w="1275" w:type="dxa"/>
          </w:tcPr>
          <w:p w:rsidR="00B81A77" w:rsidP="00467472" w:rsidRDefault="00B81A77" w14:paraId="46D269F3" w14:textId="4C90DC91">
            <w:pPr>
              <w:jc w:val="right"/>
              <w:rPr>
                <w:rFonts w:cs="Arial"/>
                <w:sz w:val="24"/>
                <w:szCs w:val="24"/>
              </w:rPr>
            </w:pPr>
            <w:r>
              <w:rPr>
                <w:rFonts w:cs="Arial"/>
                <w:sz w:val="24"/>
                <w:szCs w:val="24"/>
              </w:rPr>
              <w:t>Central</w:t>
            </w:r>
          </w:p>
        </w:tc>
      </w:tr>
      <w:tr w:rsidR="00B81A77" w:rsidTr="004B016C" w14:paraId="745C223C" w14:textId="77777777">
        <w:tc>
          <w:tcPr>
            <w:tcW w:w="6232" w:type="dxa"/>
          </w:tcPr>
          <w:p w:rsidRPr="00196801" w:rsidR="00B81A77" w:rsidP="00467472" w:rsidRDefault="00B81A77" w14:paraId="16A2EBBF" w14:textId="71CF6BB7">
            <w:pPr>
              <w:rPr>
                <w:rFonts w:cs="Arial"/>
                <w:sz w:val="24"/>
                <w:szCs w:val="24"/>
              </w:rPr>
            </w:pPr>
            <w:r>
              <w:rPr>
                <w:rFonts w:cs="Arial"/>
                <w:sz w:val="24"/>
                <w:szCs w:val="24"/>
              </w:rPr>
              <w:t>Wellbeing Counselling</w:t>
            </w:r>
          </w:p>
        </w:tc>
        <w:tc>
          <w:tcPr>
            <w:tcW w:w="1560" w:type="dxa"/>
          </w:tcPr>
          <w:p w:rsidRPr="00196801" w:rsidR="00B81A77" w:rsidP="00467472" w:rsidRDefault="00B81A77" w14:paraId="033AAB1F" w14:textId="4FC4A8AB">
            <w:pPr>
              <w:jc w:val="right"/>
              <w:rPr>
                <w:rFonts w:cs="Arial"/>
                <w:sz w:val="24"/>
                <w:szCs w:val="24"/>
              </w:rPr>
            </w:pPr>
            <w:r>
              <w:rPr>
                <w:rFonts w:cs="Arial"/>
                <w:sz w:val="24"/>
                <w:szCs w:val="24"/>
              </w:rPr>
              <w:t>£16</w:t>
            </w:r>
            <w:r w:rsidR="004B016C">
              <w:rPr>
                <w:rFonts w:cs="Arial"/>
                <w:sz w:val="24"/>
                <w:szCs w:val="24"/>
              </w:rPr>
              <w:t>6,895</w:t>
            </w:r>
          </w:p>
        </w:tc>
        <w:tc>
          <w:tcPr>
            <w:tcW w:w="1275" w:type="dxa"/>
          </w:tcPr>
          <w:p w:rsidR="00B81A77" w:rsidP="00467472" w:rsidRDefault="00B81A77" w14:paraId="7CC38898" w14:textId="6C6A9292">
            <w:pPr>
              <w:jc w:val="right"/>
              <w:rPr>
                <w:rFonts w:cs="Arial"/>
                <w:sz w:val="24"/>
                <w:szCs w:val="24"/>
              </w:rPr>
            </w:pPr>
            <w:r>
              <w:rPr>
                <w:rFonts w:cs="Arial"/>
                <w:sz w:val="24"/>
                <w:szCs w:val="24"/>
              </w:rPr>
              <w:t>Central</w:t>
            </w:r>
          </w:p>
        </w:tc>
      </w:tr>
      <w:tr w:rsidR="00B81A77" w:rsidTr="004B016C" w14:paraId="4E620111" w14:textId="77777777">
        <w:tc>
          <w:tcPr>
            <w:tcW w:w="6232" w:type="dxa"/>
          </w:tcPr>
          <w:p w:rsidRPr="00196801" w:rsidR="00B81A77" w:rsidP="00467472" w:rsidRDefault="00B81A77" w14:paraId="0D9A41AD" w14:textId="0577A7E2">
            <w:pPr>
              <w:rPr>
                <w:rFonts w:cs="Arial"/>
                <w:sz w:val="24"/>
                <w:szCs w:val="24"/>
              </w:rPr>
            </w:pPr>
            <w:r>
              <w:rPr>
                <w:rFonts w:cs="Arial"/>
                <w:sz w:val="24"/>
                <w:szCs w:val="24"/>
              </w:rPr>
              <w:t>Wellbeing PRU/EOTAS</w:t>
            </w:r>
          </w:p>
        </w:tc>
        <w:tc>
          <w:tcPr>
            <w:tcW w:w="1560" w:type="dxa"/>
          </w:tcPr>
          <w:p w:rsidRPr="00196801" w:rsidR="00B81A77" w:rsidP="00467472" w:rsidRDefault="00B81A77" w14:paraId="71D63048" w14:textId="79063B4F">
            <w:pPr>
              <w:jc w:val="right"/>
              <w:rPr>
                <w:rFonts w:cs="Arial"/>
                <w:sz w:val="24"/>
                <w:szCs w:val="24"/>
              </w:rPr>
            </w:pPr>
            <w:r>
              <w:rPr>
                <w:rFonts w:cs="Arial"/>
                <w:sz w:val="24"/>
                <w:szCs w:val="24"/>
              </w:rPr>
              <w:t>£</w:t>
            </w:r>
            <w:r w:rsidR="004B016C">
              <w:rPr>
                <w:rFonts w:cs="Arial"/>
                <w:sz w:val="24"/>
                <w:szCs w:val="24"/>
              </w:rPr>
              <w:t>6,746</w:t>
            </w:r>
          </w:p>
        </w:tc>
        <w:tc>
          <w:tcPr>
            <w:tcW w:w="1275" w:type="dxa"/>
          </w:tcPr>
          <w:p w:rsidR="00B81A77" w:rsidP="00467472" w:rsidRDefault="00B81A77" w14:paraId="41074154" w14:textId="7B9F2BDC">
            <w:pPr>
              <w:jc w:val="right"/>
              <w:rPr>
                <w:rFonts w:cs="Arial"/>
                <w:sz w:val="24"/>
                <w:szCs w:val="24"/>
              </w:rPr>
            </w:pPr>
            <w:r>
              <w:rPr>
                <w:rFonts w:cs="Arial"/>
                <w:sz w:val="24"/>
                <w:szCs w:val="24"/>
              </w:rPr>
              <w:t>EOTAS</w:t>
            </w:r>
          </w:p>
        </w:tc>
      </w:tr>
      <w:tr w:rsidR="00B81A77" w:rsidTr="004B016C" w14:paraId="3396DA7A" w14:textId="77777777">
        <w:tc>
          <w:tcPr>
            <w:tcW w:w="6232" w:type="dxa"/>
          </w:tcPr>
          <w:p w:rsidRPr="00B81A77" w:rsidR="00B81A77" w:rsidP="00467472" w:rsidRDefault="00B81A77" w14:paraId="20CFC2F1" w14:textId="77341817">
            <w:pPr>
              <w:rPr>
                <w:rFonts w:cs="Arial"/>
                <w:sz w:val="24"/>
                <w:szCs w:val="24"/>
              </w:rPr>
            </w:pPr>
            <w:r w:rsidRPr="00B81A77">
              <w:rPr>
                <w:rFonts w:cs="Arial"/>
                <w:sz w:val="24"/>
                <w:szCs w:val="24"/>
              </w:rPr>
              <w:t>Wellbeing interventions</w:t>
            </w:r>
          </w:p>
        </w:tc>
        <w:tc>
          <w:tcPr>
            <w:tcW w:w="1560" w:type="dxa"/>
          </w:tcPr>
          <w:p w:rsidRPr="00196801" w:rsidR="00B81A77" w:rsidP="00467472" w:rsidRDefault="00B81A77" w14:paraId="5D766241" w14:textId="30D83CB5">
            <w:pPr>
              <w:jc w:val="right"/>
              <w:rPr>
                <w:rFonts w:cs="Arial"/>
                <w:sz w:val="24"/>
                <w:szCs w:val="24"/>
              </w:rPr>
            </w:pPr>
            <w:r>
              <w:rPr>
                <w:rFonts w:cs="Arial"/>
                <w:sz w:val="24"/>
                <w:szCs w:val="24"/>
              </w:rPr>
              <w:t>£52,9</w:t>
            </w:r>
            <w:r w:rsidR="004B016C">
              <w:rPr>
                <w:rFonts w:cs="Arial"/>
                <w:sz w:val="24"/>
                <w:szCs w:val="24"/>
              </w:rPr>
              <w:t>56</w:t>
            </w:r>
          </w:p>
        </w:tc>
        <w:tc>
          <w:tcPr>
            <w:tcW w:w="1275" w:type="dxa"/>
          </w:tcPr>
          <w:p w:rsidR="00B81A77" w:rsidP="00467472" w:rsidRDefault="00B81A77" w14:paraId="21A43520" w14:textId="246291BB">
            <w:pPr>
              <w:jc w:val="right"/>
              <w:rPr>
                <w:rFonts w:cs="Arial"/>
                <w:sz w:val="24"/>
                <w:szCs w:val="24"/>
              </w:rPr>
            </w:pPr>
            <w:r>
              <w:rPr>
                <w:rFonts w:cs="Arial"/>
                <w:sz w:val="24"/>
                <w:szCs w:val="24"/>
              </w:rPr>
              <w:t>Central</w:t>
            </w:r>
          </w:p>
        </w:tc>
      </w:tr>
      <w:tr w:rsidR="00B81A77" w:rsidTr="004B016C" w14:paraId="6CF86746" w14:textId="77777777">
        <w:tc>
          <w:tcPr>
            <w:tcW w:w="6232" w:type="dxa"/>
          </w:tcPr>
          <w:p w:rsidRPr="00B81A77" w:rsidR="00B81A77" w:rsidP="00467472" w:rsidRDefault="00B81A77" w14:paraId="7FC49A32" w14:textId="67C826C0">
            <w:pPr>
              <w:rPr>
                <w:rFonts w:cs="Arial"/>
                <w:color w:val="000000"/>
                <w:sz w:val="24"/>
                <w:szCs w:val="24"/>
              </w:rPr>
            </w:pPr>
            <w:r w:rsidRPr="00B81A77">
              <w:rPr>
                <w:rFonts w:cs="Arial"/>
                <w:color w:val="000000"/>
                <w:sz w:val="24"/>
                <w:szCs w:val="24"/>
              </w:rPr>
              <w:t>Curriculum schools</w:t>
            </w:r>
          </w:p>
        </w:tc>
        <w:tc>
          <w:tcPr>
            <w:tcW w:w="1560" w:type="dxa"/>
          </w:tcPr>
          <w:p w:rsidR="00B81A77" w:rsidP="00467472" w:rsidRDefault="00B81A77" w14:paraId="345C7C35" w14:textId="2F0FEFF6">
            <w:pPr>
              <w:jc w:val="right"/>
              <w:rPr>
                <w:rFonts w:cs="Arial"/>
                <w:sz w:val="24"/>
                <w:szCs w:val="24"/>
              </w:rPr>
            </w:pPr>
            <w:r>
              <w:rPr>
                <w:rFonts w:cs="Arial"/>
                <w:sz w:val="24"/>
                <w:szCs w:val="24"/>
              </w:rPr>
              <w:t>£261,</w:t>
            </w:r>
            <w:r w:rsidR="004B016C">
              <w:rPr>
                <w:rFonts w:cs="Arial"/>
                <w:sz w:val="24"/>
                <w:szCs w:val="24"/>
              </w:rPr>
              <w:t>698</w:t>
            </w:r>
          </w:p>
        </w:tc>
        <w:tc>
          <w:tcPr>
            <w:tcW w:w="1275" w:type="dxa"/>
          </w:tcPr>
          <w:p w:rsidR="00B81A77" w:rsidP="00467472" w:rsidRDefault="00B81A77" w14:paraId="5B15C376" w14:textId="75E24675">
            <w:pPr>
              <w:jc w:val="right"/>
              <w:rPr>
                <w:rFonts w:cs="Arial"/>
                <w:sz w:val="24"/>
                <w:szCs w:val="24"/>
              </w:rPr>
            </w:pPr>
            <w:r>
              <w:rPr>
                <w:rFonts w:cs="Arial"/>
                <w:sz w:val="24"/>
                <w:szCs w:val="24"/>
              </w:rPr>
              <w:t>Schools</w:t>
            </w:r>
          </w:p>
        </w:tc>
      </w:tr>
      <w:tr w:rsidR="00B81A77" w:rsidTr="004B016C" w14:paraId="5E0F155B" w14:textId="77777777">
        <w:tc>
          <w:tcPr>
            <w:tcW w:w="6232" w:type="dxa"/>
          </w:tcPr>
          <w:p w:rsidRPr="00B81A77" w:rsidR="00B81A77" w:rsidP="00467472" w:rsidRDefault="004B016C" w14:paraId="6F3C9C33" w14:textId="6685093F">
            <w:pPr>
              <w:rPr>
                <w:rFonts w:cs="Arial"/>
                <w:color w:val="000000"/>
                <w:sz w:val="24"/>
                <w:szCs w:val="24"/>
              </w:rPr>
            </w:pPr>
            <w:r>
              <w:rPr>
                <w:rFonts w:cs="Arial"/>
                <w:color w:val="000000"/>
                <w:sz w:val="24"/>
                <w:szCs w:val="24"/>
              </w:rPr>
              <w:t xml:space="preserve">Reform Programmes - </w:t>
            </w:r>
            <w:r w:rsidRPr="00B81A77" w:rsidR="00B81A77">
              <w:rPr>
                <w:rFonts w:cs="Arial"/>
                <w:color w:val="000000"/>
                <w:sz w:val="24"/>
                <w:szCs w:val="24"/>
              </w:rPr>
              <w:t xml:space="preserve">Curriculum </w:t>
            </w:r>
            <w:r>
              <w:rPr>
                <w:rFonts w:cs="Arial"/>
                <w:color w:val="000000"/>
                <w:sz w:val="24"/>
                <w:szCs w:val="24"/>
              </w:rPr>
              <w:t>support</w:t>
            </w:r>
            <w:r w:rsidRPr="00B81A77" w:rsidR="00B81A77">
              <w:rPr>
                <w:rFonts w:cs="Arial"/>
                <w:color w:val="000000"/>
                <w:sz w:val="24"/>
                <w:szCs w:val="24"/>
              </w:rPr>
              <w:t xml:space="preserve"> </w:t>
            </w:r>
          </w:p>
        </w:tc>
        <w:tc>
          <w:tcPr>
            <w:tcW w:w="1560" w:type="dxa"/>
          </w:tcPr>
          <w:p w:rsidRPr="004B016C" w:rsidR="00B81A77" w:rsidP="00467472" w:rsidRDefault="00B81A77" w14:paraId="034130F7" w14:textId="62630BCE">
            <w:pPr>
              <w:jc w:val="right"/>
              <w:rPr>
                <w:rFonts w:cs="Arial"/>
                <w:sz w:val="24"/>
                <w:szCs w:val="24"/>
              </w:rPr>
            </w:pPr>
            <w:r w:rsidRPr="004B016C">
              <w:rPr>
                <w:rFonts w:cs="Arial"/>
                <w:sz w:val="24"/>
                <w:szCs w:val="24"/>
              </w:rPr>
              <w:t>£</w:t>
            </w:r>
            <w:r w:rsidRPr="004B016C" w:rsidR="004B016C">
              <w:rPr>
                <w:rFonts w:cs="Arial"/>
                <w:sz w:val="24"/>
                <w:szCs w:val="24"/>
              </w:rPr>
              <w:t>261,012</w:t>
            </w:r>
          </w:p>
        </w:tc>
        <w:tc>
          <w:tcPr>
            <w:tcW w:w="1275" w:type="dxa"/>
          </w:tcPr>
          <w:p w:rsidRPr="004B016C" w:rsidR="00B81A77" w:rsidP="00467472" w:rsidRDefault="004B016C" w14:paraId="77003571" w14:textId="7659DAFD">
            <w:pPr>
              <w:jc w:val="right"/>
              <w:rPr>
                <w:rFonts w:cs="Arial"/>
                <w:sz w:val="24"/>
                <w:szCs w:val="24"/>
              </w:rPr>
            </w:pPr>
            <w:r w:rsidRPr="004B016C">
              <w:rPr>
                <w:rFonts w:cs="Arial"/>
                <w:sz w:val="24"/>
                <w:szCs w:val="24"/>
              </w:rPr>
              <w:t>Regional PL body</w:t>
            </w:r>
          </w:p>
        </w:tc>
      </w:tr>
      <w:tr w:rsidR="00B81A77" w:rsidTr="004B016C" w14:paraId="740753BE" w14:textId="77777777">
        <w:tc>
          <w:tcPr>
            <w:tcW w:w="6232" w:type="dxa"/>
          </w:tcPr>
          <w:p w:rsidRPr="00B81A77" w:rsidR="00B81A77" w:rsidP="00467472" w:rsidRDefault="00B81A77" w14:paraId="03B324CC" w14:textId="4B555506">
            <w:pPr>
              <w:rPr>
                <w:rFonts w:cs="Arial"/>
                <w:color w:val="000000"/>
                <w:sz w:val="24"/>
                <w:szCs w:val="24"/>
              </w:rPr>
            </w:pPr>
            <w:r w:rsidRPr="00B81A77">
              <w:rPr>
                <w:rFonts w:cs="Arial"/>
                <w:color w:val="000000"/>
                <w:sz w:val="24"/>
                <w:szCs w:val="24"/>
              </w:rPr>
              <w:t xml:space="preserve">Curriculum reform programme </w:t>
            </w:r>
            <w:r w:rsidR="004B016C">
              <w:rPr>
                <w:rFonts w:cs="Arial"/>
                <w:color w:val="000000"/>
                <w:sz w:val="24"/>
                <w:szCs w:val="24"/>
              </w:rPr>
              <w:t>–</w:t>
            </w:r>
            <w:r w:rsidRPr="00B81A77">
              <w:rPr>
                <w:rFonts w:cs="Arial"/>
                <w:color w:val="000000"/>
                <w:sz w:val="24"/>
                <w:szCs w:val="24"/>
              </w:rPr>
              <w:t xml:space="preserve"> </w:t>
            </w:r>
            <w:r w:rsidR="004B016C">
              <w:rPr>
                <w:rFonts w:cs="Arial"/>
                <w:color w:val="000000"/>
                <w:sz w:val="24"/>
                <w:szCs w:val="24"/>
              </w:rPr>
              <w:t>LA Literacy &amp; Numeracy Capacity</w:t>
            </w:r>
          </w:p>
        </w:tc>
        <w:tc>
          <w:tcPr>
            <w:tcW w:w="1560" w:type="dxa"/>
          </w:tcPr>
          <w:p w:rsidRPr="004B016C" w:rsidR="00B81A77" w:rsidP="00467472" w:rsidRDefault="00B81A77" w14:paraId="0A974655" w14:textId="7E10E0E5">
            <w:pPr>
              <w:jc w:val="right"/>
              <w:rPr>
                <w:rFonts w:cs="Arial"/>
                <w:sz w:val="24"/>
                <w:szCs w:val="24"/>
              </w:rPr>
            </w:pPr>
            <w:r w:rsidRPr="004B016C">
              <w:rPr>
                <w:rFonts w:cs="Arial"/>
                <w:sz w:val="24"/>
                <w:szCs w:val="24"/>
              </w:rPr>
              <w:t>£</w:t>
            </w:r>
            <w:r w:rsidRPr="004B016C" w:rsidR="004B016C">
              <w:rPr>
                <w:rFonts w:cs="Arial"/>
                <w:sz w:val="24"/>
                <w:szCs w:val="24"/>
              </w:rPr>
              <w:t>109,041</w:t>
            </w:r>
          </w:p>
        </w:tc>
        <w:tc>
          <w:tcPr>
            <w:tcW w:w="1275" w:type="dxa"/>
          </w:tcPr>
          <w:p w:rsidRPr="004B016C" w:rsidR="00B81A77" w:rsidP="00467472" w:rsidRDefault="004B016C" w14:paraId="6871E266" w14:textId="0DAEF35B">
            <w:pPr>
              <w:jc w:val="right"/>
              <w:rPr>
                <w:rFonts w:cs="Arial"/>
                <w:sz w:val="24"/>
                <w:szCs w:val="24"/>
              </w:rPr>
            </w:pPr>
            <w:r w:rsidRPr="004B016C">
              <w:rPr>
                <w:rFonts w:cs="Arial"/>
                <w:sz w:val="24"/>
                <w:szCs w:val="24"/>
              </w:rPr>
              <w:t>Central</w:t>
            </w:r>
          </w:p>
        </w:tc>
      </w:tr>
      <w:tr w:rsidR="00B81A77" w:rsidTr="004B016C" w14:paraId="6A58D0EF" w14:textId="77777777">
        <w:tc>
          <w:tcPr>
            <w:tcW w:w="6232" w:type="dxa"/>
          </w:tcPr>
          <w:p w:rsidRPr="00B81A77" w:rsidR="00B81A77" w:rsidP="00467472" w:rsidRDefault="00B81A77" w14:paraId="668F87AC" w14:textId="67A5B512">
            <w:pPr>
              <w:rPr>
                <w:rFonts w:cs="Arial"/>
                <w:color w:val="000000"/>
                <w:sz w:val="24"/>
                <w:szCs w:val="24"/>
              </w:rPr>
            </w:pPr>
            <w:r w:rsidRPr="00B81A77">
              <w:rPr>
                <w:rFonts w:cs="Arial"/>
                <w:color w:val="000000"/>
                <w:sz w:val="24"/>
                <w:szCs w:val="24"/>
              </w:rPr>
              <w:t>Professional Learning schools</w:t>
            </w:r>
          </w:p>
        </w:tc>
        <w:tc>
          <w:tcPr>
            <w:tcW w:w="1560" w:type="dxa"/>
          </w:tcPr>
          <w:p w:rsidRPr="004B016C" w:rsidR="00B81A77" w:rsidP="00467472" w:rsidRDefault="00B81A77" w14:paraId="2B54D117" w14:textId="797C2B0F">
            <w:pPr>
              <w:jc w:val="right"/>
              <w:rPr>
                <w:rFonts w:cs="Arial"/>
                <w:sz w:val="24"/>
                <w:szCs w:val="24"/>
              </w:rPr>
            </w:pPr>
            <w:r w:rsidRPr="004B016C">
              <w:rPr>
                <w:rFonts w:cs="Arial"/>
                <w:sz w:val="24"/>
                <w:szCs w:val="24"/>
              </w:rPr>
              <w:t>£</w:t>
            </w:r>
            <w:r w:rsidRPr="004B016C" w:rsidR="004B016C">
              <w:rPr>
                <w:rFonts w:cs="Arial"/>
                <w:sz w:val="24"/>
                <w:szCs w:val="24"/>
              </w:rPr>
              <w:t>737,334</w:t>
            </w:r>
          </w:p>
        </w:tc>
        <w:tc>
          <w:tcPr>
            <w:tcW w:w="1275" w:type="dxa"/>
          </w:tcPr>
          <w:p w:rsidRPr="004B016C" w:rsidR="00B81A77" w:rsidP="00467472" w:rsidRDefault="00B81A77" w14:paraId="6FE61FA4" w14:textId="7267044C">
            <w:pPr>
              <w:jc w:val="right"/>
              <w:rPr>
                <w:rFonts w:cs="Arial"/>
                <w:sz w:val="24"/>
                <w:szCs w:val="24"/>
              </w:rPr>
            </w:pPr>
            <w:r w:rsidRPr="004B016C">
              <w:rPr>
                <w:rFonts w:cs="Arial"/>
                <w:sz w:val="24"/>
                <w:szCs w:val="24"/>
              </w:rPr>
              <w:t>Schools</w:t>
            </w:r>
          </w:p>
        </w:tc>
      </w:tr>
      <w:tr w:rsidR="00B81A77" w:rsidTr="004B016C" w14:paraId="4899515B" w14:textId="77777777">
        <w:tc>
          <w:tcPr>
            <w:tcW w:w="6232" w:type="dxa"/>
          </w:tcPr>
          <w:p w:rsidRPr="00B81A77" w:rsidR="00B81A77" w:rsidP="00467472" w:rsidRDefault="00B81A77" w14:paraId="70DEE43A" w14:textId="7A8988DC">
            <w:pPr>
              <w:rPr>
                <w:rFonts w:cs="Arial"/>
                <w:color w:val="000000"/>
                <w:sz w:val="24"/>
                <w:szCs w:val="24"/>
              </w:rPr>
            </w:pPr>
            <w:r w:rsidRPr="00B81A77">
              <w:rPr>
                <w:rFonts w:cs="Arial"/>
                <w:color w:val="000000"/>
                <w:sz w:val="24"/>
                <w:szCs w:val="24"/>
              </w:rPr>
              <w:t>Prof. learning and leadership - school led prof learning</w:t>
            </w:r>
          </w:p>
        </w:tc>
        <w:tc>
          <w:tcPr>
            <w:tcW w:w="1560" w:type="dxa"/>
          </w:tcPr>
          <w:p w:rsidRPr="004B016C" w:rsidR="00B81A77" w:rsidP="00467472" w:rsidRDefault="00B81A77" w14:paraId="31E67B3C" w14:textId="484514AE">
            <w:pPr>
              <w:jc w:val="right"/>
              <w:rPr>
                <w:rFonts w:cs="Arial"/>
                <w:sz w:val="24"/>
                <w:szCs w:val="24"/>
              </w:rPr>
            </w:pPr>
            <w:r w:rsidRPr="004B016C">
              <w:rPr>
                <w:rFonts w:cs="Arial"/>
                <w:sz w:val="24"/>
                <w:szCs w:val="24"/>
              </w:rPr>
              <w:t>£</w:t>
            </w:r>
            <w:r w:rsidRPr="004B016C" w:rsidR="004B016C">
              <w:rPr>
                <w:rFonts w:cs="Arial"/>
                <w:sz w:val="24"/>
                <w:szCs w:val="24"/>
              </w:rPr>
              <w:t>65,424</w:t>
            </w:r>
          </w:p>
        </w:tc>
        <w:tc>
          <w:tcPr>
            <w:tcW w:w="1275" w:type="dxa"/>
          </w:tcPr>
          <w:p w:rsidRPr="004B016C" w:rsidR="00B81A77" w:rsidP="00467472" w:rsidRDefault="004B016C" w14:paraId="72127181" w14:textId="449B9676">
            <w:pPr>
              <w:jc w:val="right"/>
              <w:rPr>
                <w:rFonts w:cs="Arial"/>
                <w:sz w:val="24"/>
                <w:szCs w:val="24"/>
              </w:rPr>
            </w:pPr>
            <w:r w:rsidRPr="004B016C">
              <w:rPr>
                <w:rFonts w:cs="Arial"/>
                <w:sz w:val="24"/>
                <w:szCs w:val="24"/>
              </w:rPr>
              <w:t>Regional PL body</w:t>
            </w:r>
          </w:p>
        </w:tc>
      </w:tr>
      <w:tr w:rsidR="00B81A77" w:rsidTr="004B016C" w14:paraId="0774FDFD" w14:textId="77777777">
        <w:tc>
          <w:tcPr>
            <w:tcW w:w="6232" w:type="dxa"/>
          </w:tcPr>
          <w:p w:rsidRPr="00B81A77" w:rsidR="00B81A77" w:rsidP="00467472" w:rsidRDefault="00B81A77" w14:paraId="6DC075C8" w14:textId="76CA838C">
            <w:pPr>
              <w:rPr>
                <w:rFonts w:cs="Arial"/>
                <w:color w:val="000000"/>
                <w:sz w:val="24"/>
                <w:szCs w:val="24"/>
              </w:rPr>
            </w:pPr>
            <w:r w:rsidRPr="00B81A77">
              <w:rPr>
                <w:rFonts w:cs="Arial"/>
                <w:color w:val="000000"/>
                <w:sz w:val="24"/>
                <w:szCs w:val="24"/>
              </w:rPr>
              <w:t xml:space="preserve">Prof. learning and leadership </w:t>
            </w:r>
            <w:r w:rsidR="004B016C">
              <w:rPr>
                <w:rFonts w:cs="Arial"/>
                <w:color w:val="000000"/>
                <w:sz w:val="24"/>
                <w:szCs w:val="24"/>
              </w:rPr>
              <w:t>–</w:t>
            </w:r>
            <w:r w:rsidRPr="00B81A77">
              <w:rPr>
                <w:rFonts w:cs="Arial"/>
                <w:color w:val="000000"/>
                <w:sz w:val="24"/>
                <w:szCs w:val="24"/>
              </w:rPr>
              <w:t xml:space="preserve"> </w:t>
            </w:r>
            <w:r w:rsidR="004B016C">
              <w:rPr>
                <w:rFonts w:cs="Arial"/>
                <w:color w:val="000000"/>
                <w:sz w:val="24"/>
                <w:szCs w:val="24"/>
              </w:rPr>
              <w:t xml:space="preserve">TA </w:t>
            </w:r>
            <w:r w:rsidRPr="00B81A77">
              <w:rPr>
                <w:rFonts w:cs="Arial"/>
                <w:color w:val="000000"/>
                <w:sz w:val="24"/>
                <w:szCs w:val="24"/>
              </w:rPr>
              <w:t>pathways</w:t>
            </w:r>
          </w:p>
        </w:tc>
        <w:tc>
          <w:tcPr>
            <w:tcW w:w="1560" w:type="dxa"/>
          </w:tcPr>
          <w:p w:rsidRPr="004B016C" w:rsidR="00B81A77" w:rsidP="00467472" w:rsidRDefault="00B81A77" w14:paraId="0B735AC4" w14:textId="2B7CECDB">
            <w:pPr>
              <w:jc w:val="right"/>
              <w:rPr>
                <w:rFonts w:cs="Arial"/>
                <w:sz w:val="24"/>
                <w:szCs w:val="24"/>
                <w:highlight w:val="yellow"/>
              </w:rPr>
            </w:pPr>
            <w:r w:rsidRPr="004B016C">
              <w:rPr>
                <w:rFonts w:cs="Arial"/>
                <w:sz w:val="24"/>
                <w:szCs w:val="24"/>
              </w:rPr>
              <w:t>£</w:t>
            </w:r>
            <w:r w:rsidRPr="004B016C" w:rsidR="004B016C">
              <w:rPr>
                <w:rFonts w:cs="Arial"/>
                <w:sz w:val="24"/>
                <w:szCs w:val="24"/>
              </w:rPr>
              <w:t>38,636</w:t>
            </w:r>
          </w:p>
        </w:tc>
        <w:tc>
          <w:tcPr>
            <w:tcW w:w="1275" w:type="dxa"/>
          </w:tcPr>
          <w:p w:rsidRPr="004B016C" w:rsidR="00B81A77" w:rsidP="00467472" w:rsidRDefault="004B016C" w14:paraId="636DD443" w14:textId="395EBD99">
            <w:pPr>
              <w:jc w:val="right"/>
              <w:rPr>
                <w:rFonts w:cs="Arial"/>
                <w:sz w:val="24"/>
                <w:szCs w:val="24"/>
                <w:highlight w:val="yellow"/>
              </w:rPr>
            </w:pPr>
            <w:r w:rsidRPr="004B016C">
              <w:rPr>
                <w:rFonts w:cs="Arial"/>
                <w:sz w:val="24"/>
                <w:szCs w:val="24"/>
              </w:rPr>
              <w:t>Regional PL body</w:t>
            </w:r>
          </w:p>
        </w:tc>
      </w:tr>
      <w:tr w:rsidR="00B81A77" w:rsidTr="004B016C" w14:paraId="410C68AE" w14:textId="77777777">
        <w:tc>
          <w:tcPr>
            <w:tcW w:w="6232" w:type="dxa"/>
          </w:tcPr>
          <w:p w:rsidRPr="00B81A77" w:rsidR="00B81A77" w:rsidP="00467472" w:rsidRDefault="00B81A77" w14:paraId="37821E7A" w14:textId="0C41721F">
            <w:pPr>
              <w:rPr>
                <w:rFonts w:cs="Arial"/>
                <w:color w:val="000000"/>
                <w:sz w:val="24"/>
                <w:szCs w:val="24"/>
              </w:rPr>
            </w:pPr>
            <w:r w:rsidRPr="00B81A77">
              <w:rPr>
                <w:rFonts w:cs="Arial"/>
                <w:color w:val="000000"/>
                <w:sz w:val="24"/>
                <w:szCs w:val="24"/>
              </w:rPr>
              <w:t>Prof. learning and leadership - future leadership</w:t>
            </w:r>
          </w:p>
        </w:tc>
        <w:tc>
          <w:tcPr>
            <w:tcW w:w="1560" w:type="dxa"/>
          </w:tcPr>
          <w:p w:rsidRPr="004B016C" w:rsidR="00B81A77" w:rsidP="00467472" w:rsidRDefault="00B81A77" w14:paraId="15D7F32F" w14:textId="12CC7826">
            <w:pPr>
              <w:jc w:val="right"/>
              <w:rPr>
                <w:rFonts w:cs="Arial"/>
                <w:sz w:val="24"/>
                <w:szCs w:val="24"/>
                <w:highlight w:val="yellow"/>
              </w:rPr>
            </w:pPr>
            <w:r w:rsidRPr="004B016C">
              <w:rPr>
                <w:rFonts w:cs="Arial"/>
                <w:sz w:val="24"/>
                <w:szCs w:val="24"/>
              </w:rPr>
              <w:t>£</w:t>
            </w:r>
            <w:r w:rsidRPr="004B016C" w:rsidR="004B016C">
              <w:rPr>
                <w:rFonts w:cs="Arial"/>
                <w:sz w:val="24"/>
                <w:szCs w:val="24"/>
              </w:rPr>
              <w:t>12,955</w:t>
            </w:r>
          </w:p>
        </w:tc>
        <w:tc>
          <w:tcPr>
            <w:tcW w:w="1275" w:type="dxa"/>
          </w:tcPr>
          <w:p w:rsidRPr="004B016C" w:rsidR="00B81A77" w:rsidP="00467472" w:rsidRDefault="004B016C" w14:paraId="189902C8" w14:textId="70AA48E2">
            <w:pPr>
              <w:jc w:val="right"/>
              <w:rPr>
                <w:rFonts w:cs="Arial"/>
                <w:sz w:val="24"/>
                <w:szCs w:val="24"/>
                <w:highlight w:val="yellow"/>
              </w:rPr>
            </w:pPr>
            <w:r w:rsidRPr="004B016C">
              <w:rPr>
                <w:rFonts w:cs="Arial"/>
                <w:sz w:val="24"/>
                <w:szCs w:val="24"/>
              </w:rPr>
              <w:t>Regional PL body</w:t>
            </w:r>
          </w:p>
        </w:tc>
      </w:tr>
    </w:tbl>
    <w:p w:rsidRPr="00B81A77" w:rsidR="00B81A77" w:rsidP="00B81A77" w:rsidRDefault="00B81A77" w14:paraId="61F79302" w14:textId="77777777">
      <w:pPr>
        <w:jc w:val="both"/>
        <w:rPr>
          <w:rFonts w:cs="Arial"/>
          <w:bCs/>
          <w:sz w:val="24"/>
          <w:szCs w:val="24"/>
        </w:rPr>
      </w:pPr>
    </w:p>
    <w:p w:rsidRPr="004B016C" w:rsidR="004B016C" w:rsidP="00470A73" w:rsidRDefault="00AF3EFA" w14:paraId="3AF2BE99" w14:textId="0D86D884">
      <w:pPr>
        <w:jc w:val="both"/>
        <w:rPr>
          <w:rFonts w:cs="Arial"/>
          <w:bCs/>
          <w:sz w:val="24"/>
          <w:szCs w:val="24"/>
        </w:rPr>
      </w:pPr>
      <w:r w:rsidRPr="00735A54">
        <w:rPr>
          <w:rFonts w:cs="Arial"/>
          <w:b/>
          <w:sz w:val="24"/>
          <w:szCs w:val="24"/>
          <w:u w:val="single"/>
        </w:rPr>
        <w:t>Cymraeg 2050 - £</w:t>
      </w:r>
      <w:r w:rsidR="004B016C">
        <w:rPr>
          <w:rFonts w:cs="Arial"/>
          <w:b/>
          <w:sz w:val="24"/>
          <w:szCs w:val="24"/>
          <w:u w:val="single"/>
        </w:rPr>
        <w:t>457,357</w:t>
      </w:r>
      <w:r w:rsidRPr="00735A54" w:rsidR="00735A54">
        <w:rPr>
          <w:rFonts w:cs="Arial"/>
          <w:b/>
          <w:sz w:val="24"/>
          <w:szCs w:val="24"/>
          <w:u w:val="single"/>
        </w:rPr>
        <w:t xml:space="preserve"> </w:t>
      </w:r>
      <w:r w:rsidRPr="004B016C" w:rsidR="00735A54">
        <w:rPr>
          <w:rFonts w:cs="Arial"/>
          <w:b/>
          <w:u w:val="single"/>
        </w:rPr>
        <w:t>(includes schools, centrally retained and LA match funding)</w:t>
      </w:r>
      <w:r w:rsidRPr="005D7703" w:rsidR="00470A73">
        <w:rPr>
          <w:rFonts w:cs="Arial"/>
          <w:bCs/>
          <w:sz w:val="24"/>
          <w:szCs w:val="24"/>
        </w:rPr>
        <w:t xml:space="preserve"> </w:t>
      </w:r>
    </w:p>
    <w:tbl>
      <w:tblPr>
        <w:tblStyle w:val="TableGrid"/>
        <w:tblW w:w="0" w:type="auto"/>
        <w:tblLook w:val="04A0" w:firstRow="1" w:lastRow="0" w:firstColumn="1" w:lastColumn="0" w:noHBand="0" w:noVBand="1"/>
      </w:tblPr>
      <w:tblGrid>
        <w:gridCol w:w="5905"/>
        <w:gridCol w:w="1547"/>
        <w:gridCol w:w="1564"/>
      </w:tblGrid>
      <w:tr w:rsidR="00735A54" w:rsidTr="00467472" w14:paraId="4BF1FCAC" w14:textId="77777777">
        <w:tc>
          <w:tcPr>
            <w:tcW w:w="6232" w:type="dxa"/>
          </w:tcPr>
          <w:p w:rsidRPr="003E6C28" w:rsidR="00735A54" w:rsidP="00467472" w:rsidRDefault="00735A54" w14:paraId="0EE82A7F" w14:textId="02D7E3E4">
            <w:pPr>
              <w:rPr>
                <w:rFonts w:cs="Arial"/>
                <w:b/>
                <w:bCs/>
                <w:sz w:val="24"/>
                <w:szCs w:val="24"/>
              </w:rPr>
            </w:pPr>
            <w:r>
              <w:rPr>
                <w:rFonts w:cs="Arial"/>
                <w:b/>
                <w:bCs/>
                <w:sz w:val="24"/>
                <w:szCs w:val="24"/>
              </w:rPr>
              <w:t xml:space="preserve">Funding stream within </w:t>
            </w:r>
            <w:r w:rsidR="00470A73">
              <w:rPr>
                <w:rFonts w:cs="Arial"/>
                <w:b/>
                <w:bCs/>
                <w:sz w:val="24"/>
                <w:szCs w:val="24"/>
              </w:rPr>
              <w:t>Cymraeg 2050</w:t>
            </w:r>
          </w:p>
        </w:tc>
        <w:tc>
          <w:tcPr>
            <w:tcW w:w="1560" w:type="dxa"/>
          </w:tcPr>
          <w:p w:rsidRPr="003E6C28" w:rsidR="00735A54" w:rsidP="00467472" w:rsidRDefault="00735A54" w14:paraId="7BB30434" w14:textId="77777777">
            <w:pPr>
              <w:jc w:val="center"/>
              <w:rPr>
                <w:rFonts w:cs="Arial"/>
                <w:b/>
                <w:bCs/>
                <w:sz w:val="24"/>
                <w:szCs w:val="24"/>
              </w:rPr>
            </w:pPr>
            <w:r>
              <w:rPr>
                <w:rFonts w:cs="Arial"/>
                <w:b/>
                <w:bCs/>
                <w:sz w:val="24"/>
                <w:szCs w:val="24"/>
              </w:rPr>
              <w:t>Allocation</w:t>
            </w:r>
          </w:p>
        </w:tc>
        <w:tc>
          <w:tcPr>
            <w:tcW w:w="1224" w:type="dxa"/>
          </w:tcPr>
          <w:p w:rsidR="00735A54" w:rsidP="00467472" w:rsidRDefault="00735A54" w14:paraId="1DB53654" w14:textId="77777777">
            <w:pPr>
              <w:jc w:val="center"/>
              <w:rPr>
                <w:rFonts w:cs="Arial"/>
                <w:b/>
                <w:bCs/>
                <w:sz w:val="24"/>
                <w:szCs w:val="24"/>
              </w:rPr>
            </w:pPr>
            <w:r>
              <w:rPr>
                <w:rFonts w:cs="Arial"/>
                <w:b/>
                <w:bCs/>
                <w:sz w:val="24"/>
                <w:szCs w:val="24"/>
              </w:rPr>
              <w:t>Where</w:t>
            </w:r>
          </w:p>
        </w:tc>
      </w:tr>
      <w:tr w:rsidR="00735A54" w:rsidTr="00467472" w14:paraId="695218E8" w14:textId="77777777">
        <w:tc>
          <w:tcPr>
            <w:tcW w:w="6232" w:type="dxa"/>
          </w:tcPr>
          <w:p w:rsidRPr="00470A73" w:rsidR="00735A54" w:rsidP="00470A73" w:rsidRDefault="00470A73" w14:paraId="1D772941" w14:textId="76CCE730">
            <w:pPr>
              <w:jc w:val="both"/>
              <w:rPr>
                <w:rFonts w:cs="Arial"/>
                <w:bCs/>
                <w:sz w:val="24"/>
                <w:szCs w:val="24"/>
              </w:rPr>
            </w:pPr>
            <w:r>
              <w:rPr>
                <w:rFonts w:cs="Arial"/>
                <w:bCs/>
                <w:sz w:val="24"/>
                <w:szCs w:val="24"/>
              </w:rPr>
              <w:t xml:space="preserve">Cymraeg 2050 </w:t>
            </w:r>
            <w:r w:rsidRPr="00470A73">
              <w:rPr>
                <w:rFonts w:cs="Arial"/>
                <w:bCs/>
                <w:sz w:val="24"/>
                <w:szCs w:val="24"/>
              </w:rPr>
              <w:t>Welsh in Education</w:t>
            </w:r>
          </w:p>
        </w:tc>
        <w:tc>
          <w:tcPr>
            <w:tcW w:w="1560" w:type="dxa"/>
          </w:tcPr>
          <w:p w:rsidRPr="00196801" w:rsidR="00735A54" w:rsidP="00467472" w:rsidRDefault="00735A54" w14:paraId="7F76631F" w14:textId="6F3BC79F">
            <w:pPr>
              <w:jc w:val="right"/>
              <w:rPr>
                <w:rFonts w:cs="Arial"/>
                <w:sz w:val="24"/>
                <w:szCs w:val="24"/>
              </w:rPr>
            </w:pPr>
            <w:r>
              <w:rPr>
                <w:rFonts w:cs="Arial"/>
                <w:sz w:val="24"/>
                <w:szCs w:val="24"/>
              </w:rPr>
              <w:t>£</w:t>
            </w:r>
            <w:r w:rsidR="00470A73">
              <w:rPr>
                <w:rFonts w:cs="Arial"/>
                <w:sz w:val="24"/>
                <w:szCs w:val="24"/>
              </w:rPr>
              <w:t>167,530</w:t>
            </w:r>
          </w:p>
        </w:tc>
        <w:tc>
          <w:tcPr>
            <w:tcW w:w="1224" w:type="dxa"/>
          </w:tcPr>
          <w:p w:rsidR="00735A54" w:rsidP="00467472" w:rsidRDefault="00470A73" w14:paraId="7BC5AB85" w14:textId="6E8B23EB">
            <w:pPr>
              <w:jc w:val="right"/>
              <w:rPr>
                <w:rFonts w:cs="Arial"/>
                <w:sz w:val="24"/>
                <w:szCs w:val="24"/>
              </w:rPr>
            </w:pPr>
            <w:r>
              <w:rPr>
                <w:rFonts w:cs="Arial"/>
                <w:sz w:val="24"/>
                <w:szCs w:val="24"/>
              </w:rPr>
              <w:t>Central</w:t>
            </w:r>
          </w:p>
        </w:tc>
      </w:tr>
      <w:tr w:rsidR="00735A54" w:rsidTr="00467472" w14:paraId="7DAE0B91" w14:textId="77777777">
        <w:tc>
          <w:tcPr>
            <w:tcW w:w="6232" w:type="dxa"/>
          </w:tcPr>
          <w:p w:rsidRPr="00196801" w:rsidR="00735A54" w:rsidP="00467472" w:rsidRDefault="00470A73" w14:paraId="0D926569" w14:textId="6C689894">
            <w:pPr>
              <w:rPr>
                <w:rFonts w:cs="Arial"/>
                <w:sz w:val="24"/>
                <w:szCs w:val="24"/>
              </w:rPr>
            </w:pPr>
            <w:r>
              <w:rPr>
                <w:rFonts w:cs="Arial"/>
                <w:sz w:val="24"/>
                <w:szCs w:val="24"/>
              </w:rPr>
              <w:t>Cymraeg 2050 Welsh Professional Learning</w:t>
            </w:r>
          </w:p>
        </w:tc>
        <w:tc>
          <w:tcPr>
            <w:tcW w:w="1560" w:type="dxa"/>
          </w:tcPr>
          <w:p w:rsidRPr="00196801" w:rsidR="00735A54" w:rsidP="00467472" w:rsidRDefault="00735A54" w14:paraId="44491A8D" w14:textId="4FE91A93">
            <w:pPr>
              <w:jc w:val="right"/>
              <w:rPr>
                <w:rFonts w:cs="Arial"/>
                <w:sz w:val="24"/>
                <w:szCs w:val="24"/>
              </w:rPr>
            </w:pPr>
            <w:r>
              <w:rPr>
                <w:rFonts w:cs="Arial"/>
                <w:sz w:val="24"/>
                <w:szCs w:val="24"/>
              </w:rPr>
              <w:t>£</w:t>
            </w:r>
            <w:r w:rsidR="004B016C">
              <w:rPr>
                <w:rFonts w:cs="Arial"/>
                <w:sz w:val="24"/>
                <w:szCs w:val="24"/>
              </w:rPr>
              <w:t>61,063</w:t>
            </w:r>
          </w:p>
        </w:tc>
        <w:tc>
          <w:tcPr>
            <w:tcW w:w="1224" w:type="dxa"/>
          </w:tcPr>
          <w:p w:rsidR="00735A54" w:rsidP="00467472" w:rsidRDefault="004B016C" w14:paraId="438C6FE9" w14:textId="6427F79C">
            <w:pPr>
              <w:jc w:val="right"/>
              <w:rPr>
                <w:rFonts w:cs="Arial"/>
                <w:sz w:val="24"/>
                <w:szCs w:val="24"/>
              </w:rPr>
            </w:pPr>
            <w:r w:rsidRPr="004B016C">
              <w:rPr>
                <w:rFonts w:cs="Arial"/>
                <w:sz w:val="24"/>
                <w:szCs w:val="24"/>
              </w:rPr>
              <w:t>Regional PL body</w:t>
            </w:r>
          </w:p>
        </w:tc>
      </w:tr>
      <w:tr w:rsidR="00735A54" w:rsidTr="00467472" w14:paraId="64C9054D" w14:textId="77777777">
        <w:tc>
          <w:tcPr>
            <w:tcW w:w="6232" w:type="dxa"/>
          </w:tcPr>
          <w:p w:rsidRPr="00196801" w:rsidR="00735A54" w:rsidP="00467472" w:rsidRDefault="00470A73" w14:paraId="18FEB649" w14:textId="4BF33CEC">
            <w:pPr>
              <w:rPr>
                <w:rFonts w:cs="Arial"/>
                <w:sz w:val="24"/>
                <w:szCs w:val="24"/>
              </w:rPr>
            </w:pPr>
            <w:r>
              <w:rPr>
                <w:rFonts w:cs="Arial"/>
                <w:sz w:val="24"/>
                <w:szCs w:val="24"/>
              </w:rPr>
              <w:t xml:space="preserve">Cymraeg 2050 </w:t>
            </w:r>
            <w:proofErr w:type="spellStart"/>
            <w:r>
              <w:rPr>
                <w:rFonts w:cs="Arial"/>
                <w:sz w:val="24"/>
                <w:szCs w:val="24"/>
              </w:rPr>
              <w:t>Siarter</w:t>
            </w:r>
            <w:proofErr w:type="spellEnd"/>
            <w:r>
              <w:rPr>
                <w:rFonts w:cs="Arial"/>
                <w:sz w:val="24"/>
                <w:szCs w:val="24"/>
              </w:rPr>
              <w:t xml:space="preserve"> Iaith</w:t>
            </w:r>
          </w:p>
        </w:tc>
        <w:tc>
          <w:tcPr>
            <w:tcW w:w="1560" w:type="dxa"/>
          </w:tcPr>
          <w:p w:rsidRPr="00196801" w:rsidR="00735A54" w:rsidP="00467472" w:rsidRDefault="00735A54" w14:paraId="7EA3C4B0" w14:textId="30C716DB">
            <w:pPr>
              <w:jc w:val="right"/>
              <w:rPr>
                <w:rFonts w:cs="Arial"/>
                <w:sz w:val="24"/>
                <w:szCs w:val="24"/>
              </w:rPr>
            </w:pPr>
            <w:r>
              <w:rPr>
                <w:rFonts w:cs="Arial"/>
                <w:sz w:val="24"/>
                <w:szCs w:val="24"/>
              </w:rPr>
              <w:t>£</w:t>
            </w:r>
            <w:r w:rsidR="00470A73">
              <w:rPr>
                <w:rFonts w:cs="Arial"/>
                <w:sz w:val="24"/>
                <w:szCs w:val="24"/>
              </w:rPr>
              <w:t>19,</w:t>
            </w:r>
            <w:r w:rsidR="004B016C">
              <w:rPr>
                <w:rFonts w:cs="Arial"/>
                <w:sz w:val="24"/>
                <w:szCs w:val="24"/>
              </w:rPr>
              <w:t>928</w:t>
            </w:r>
          </w:p>
        </w:tc>
        <w:tc>
          <w:tcPr>
            <w:tcW w:w="1224" w:type="dxa"/>
          </w:tcPr>
          <w:p w:rsidR="00735A54" w:rsidP="00467472" w:rsidRDefault="00735A54" w14:paraId="6BBDA0A7" w14:textId="42346428">
            <w:pPr>
              <w:jc w:val="right"/>
              <w:rPr>
                <w:rFonts w:cs="Arial"/>
                <w:sz w:val="24"/>
                <w:szCs w:val="24"/>
              </w:rPr>
            </w:pPr>
            <w:r>
              <w:rPr>
                <w:rFonts w:cs="Arial"/>
                <w:sz w:val="24"/>
                <w:szCs w:val="24"/>
              </w:rPr>
              <w:t>C</w:t>
            </w:r>
            <w:r w:rsidR="003A5D82">
              <w:rPr>
                <w:rFonts w:cs="Arial"/>
                <w:sz w:val="24"/>
                <w:szCs w:val="24"/>
              </w:rPr>
              <w:t>entral</w:t>
            </w:r>
          </w:p>
        </w:tc>
      </w:tr>
      <w:tr w:rsidR="00735A54" w:rsidTr="00467472" w14:paraId="74642EA5" w14:textId="77777777">
        <w:tc>
          <w:tcPr>
            <w:tcW w:w="6232" w:type="dxa"/>
          </w:tcPr>
          <w:p w:rsidRPr="00196801" w:rsidR="00735A54" w:rsidP="00467472" w:rsidRDefault="00470A73" w14:paraId="0EDD44B3" w14:textId="43D6AE9D">
            <w:pPr>
              <w:rPr>
                <w:rFonts w:cs="Arial"/>
                <w:sz w:val="24"/>
                <w:szCs w:val="24"/>
              </w:rPr>
            </w:pPr>
            <w:r>
              <w:rPr>
                <w:rFonts w:cs="Arial"/>
                <w:sz w:val="24"/>
                <w:szCs w:val="24"/>
              </w:rPr>
              <w:t>Cymraeg 2050 Late Immersion</w:t>
            </w:r>
          </w:p>
        </w:tc>
        <w:tc>
          <w:tcPr>
            <w:tcW w:w="1560" w:type="dxa"/>
          </w:tcPr>
          <w:p w:rsidRPr="00196801" w:rsidR="00735A54" w:rsidP="00467472" w:rsidRDefault="00735A54" w14:paraId="59A145D1" w14:textId="1B55D079">
            <w:pPr>
              <w:jc w:val="right"/>
              <w:rPr>
                <w:rFonts w:cs="Arial"/>
                <w:sz w:val="24"/>
                <w:szCs w:val="24"/>
              </w:rPr>
            </w:pPr>
            <w:r>
              <w:rPr>
                <w:rFonts w:cs="Arial"/>
                <w:sz w:val="24"/>
                <w:szCs w:val="24"/>
              </w:rPr>
              <w:t>£</w:t>
            </w:r>
            <w:r w:rsidR="00470A73">
              <w:rPr>
                <w:rFonts w:cs="Arial"/>
                <w:sz w:val="24"/>
                <w:szCs w:val="24"/>
              </w:rPr>
              <w:t>1</w:t>
            </w:r>
            <w:r w:rsidR="004B016C">
              <w:rPr>
                <w:rFonts w:cs="Arial"/>
                <w:sz w:val="24"/>
                <w:szCs w:val="24"/>
              </w:rPr>
              <w:t>11,844</w:t>
            </w:r>
          </w:p>
        </w:tc>
        <w:tc>
          <w:tcPr>
            <w:tcW w:w="1224" w:type="dxa"/>
          </w:tcPr>
          <w:p w:rsidR="00735A54" w:rsidP="00467472" w:rsidRDefault="00735A54" w14:paraId="1B004502" w14:textId="32CBDEDB">
            <w:pPr>
              <w:jc w:val="right"/>
              <w:rPr>
                <w:rFonts w:cs="Arial"/>
                <w:sz w:val="24"/>
                <w:szCs w:val="24"/>
              </w:rPr>
            </w:pPr>
            <w:r>
              <w:rPr>
                <w:rFonts w:cs="Arial"/>
                <w:sz w:val="24"/>
                <w:szCs w:val="24"/>
              </w:rPr>
              <w:t>C</w:t>
            </w:r>
            <w:r w:rsidR="003A5D82">
              <w:rPr>
                <w:rFonts w:cs="Arial"/>
                <w:sz w:val="24"/>
                <w:szCs w:val="24"/>
              </w:rPr>
              <w:t>entral</w:t>
            </w:r>
          </w:p>
        </w:tc>
      </w:tr>
      <w:tr w:rsidR="00735A54" w:rsidTr="00470A73" w14:paraId="24A3500F" w14:textId="77777777">
        <w:trPr>
          <w:trHeight w:val="76"/>
        </w:trPr>
        <w:tc>
          <w:tcPr>
            <w:tcW w:w="6232" w:type="dxa"/>
          </w:tcPr>
          <w:p w:rsidRPr="00196801" w:rsidR="00735A54" w:rsidP="00467472" w:rsidRDefault="00470A73" w14:paraId="425E76BD" w14:textId="134406D8">
            <w:pPr>
              <w:rPr>
                <w:rFonts w:cs="Arial"/>
                <w:sz w:val="24"/>
                <w:szCs w:val="24"/>
              </w:rPr>
            </w:pPr>
            <w:r>
              <w:rPr>
                <w:rFonts w:cs="Arial"/>
                <w:sz w:val="24"/>
                <w:szCs w:val="24"/>
              </w:rPr>
              <w:t xml:space="preserve">LA Match funding </w:t>
            </w:r>
          </w:p>
        </w:tc>
        <w:tc>
          <w:tcPr>
            <w:tcW w:w="1560" w:type="dxa"/>
          </w:tcPr>
          <w:p w:rsidRPr="00196801" w:rsidR="00735A54" w:rsidP="00467472" w:rsidRDefault="00735A54" w14:paraId="3CFE01CF" w14:textId="17D133CF">
            <w:pPr>
              <w:jc w:val="right"/>
              <w:rPr>
                <w:rFonts w:cs="Arial"/>
                <w:sz w:val="24"/>
                <w:szCs w:val="24"/>
              </w:rPr>
            </w:pPr>
            <w:r>
              <w:rPr>
                <w:rFonts w:cs="Arial"/>
                <w:sz w:val="24"/>
                <w:szCs w:val="24"/>
              </w:rPr>
              <w:t>£</w:t>
            </w:r>
            <w:r w:rsidR="00470A73">
              <w:rPr>
                <w:rFonts w:cs="Arial"/>
                <w:sz w:val="24"/>
                <w:szCs w:val="24"/>
              </w:rPr>
              <w:t>96,992</w:t>
            </w:r>
          </w:p>
        </w:tc>
        <w:tc>
          <w:tcPr>
            <w:tcW w:w="1224" w:type="dxa"/>
          </w:tcPr>
          <w:p w:rsidR="00735A54" w:rsidP="00467472" w:rsidRDefault="00470A73" w14:paraId="7798312C" w14:textId="7F570E3D">
            <w:pPr>
              <w:jc w:val="right"/>
              <w:rPr>
                <w:rFonts w:cs="Arial"/>
                <w:sz w:val="24"/>
                <w:szCs w:val="24"/>
              </w:rPr>
            </w:pPr>
            <w:r>
              <w:rPr>
                <w:rFonts w:cs="Arial"/>
                <w:sz w:val="24"/>
                <w:szCs w:val="24"/>
              </w:rPr>
              <w:t>Central</w:t>
            </w:r>
            <w:r w:rsidR="005D7703">
              <w:rPr>
                <w:rFonts w:cs="Arial"/>
                <w:sz w:val="24"/>
                <w:szCs w:val="24"/>
              </w:rPr>
              <w:t>/CSC</w:t>
            </w:r>
          </w:p>
        </w:tc>
      </w:tr>
    </w:tbl>
    <w:p w:rsidR="004B016C" w:rsidP="00AF3EFA" w:rsidRDefault="004B016C" w14:paraId="02F44923" w14:textId="77777777">
      <w:pPr>
        <w:jc w:val="both"/>
        <w:rPr>
          <w:rFonts w:cs="Arial"/>
          <w:bCs/>
          <w:sz w:val="24"/>
          <w:szCs w:val="24"/>
        </w:rPr>
      </w:pPr>
    </w:p>
    <w:p w:rsidRPr="005173E9" w:rsidR="005173E9" w:rsidP="00AF3EFA" w:rsidRDefault="005173E9" w14:paraId="0BA1A48C" w14:textId="51DA992B">
      <w:pPr>
        <w:jc w:val="both"/>
        <w:rPr>
          <w:rFonts w:cs="Arial"/>
          <w:b/>
          <w:sz w:val="24"/>
          <w:szCs w:val="24"/>
          <w:u w:val="single"/>
        </w:rPr>
      </w:pPr>
      <w:r>
        <w:rPr>
          <w:rFonts w:cs="Arial"/>
          <w:b/>
          <w:sz w:val="24"/>
          <w:szCs w:val="24"/>
          <w:u w:val="single"/>
        </w:rPr>
        <w:t>Other grants</w:t>
      </w:r>
    </w:p>
    <w:p w:rsidR="005173E9" w:rsidP="005173E9" w:rsidRDefault="005173E9" w14:paraId="42257584" w14:textId="33BD64EA">
      <w:pPr>
        <w:jc w:val="both"/>
        <w:rPr>
          <w:rFonts w:cs="Arial"/>
          <w:b/>
          <w:sz w:val="24"/>
          <w:szCs w:val="24"/>
          <w:u w:val="single"/>
        </w:rPr>
      </w:pPr>
      <w:r>
        <w:rPr>
          <w:rFonts w:cs="Arial"/>
          <w:b/>
          <w:sz w:val="24"/>
          <w:szCs w:val="24"/>
          <w:u w:val="single"/>
        </w:rPr>
        <w:t>Post 16 Grant - £</w:t>
      </w:r>
      <w:r w:rsidR="004B016C">
        <w:rPr>
          <w:rFonts w:cs="Arial"/>
          <w:b/>
          <w:sz w:val="24"/>
          <w:szCs w:val="24"/>
          <w:u w:val="single"/>
        </w:rPr>
        <w:t>8,385.482</w:t>
      </w:r>
    </w:p>
    <w:p w:rsidR="005173E9" w:rsidP="005173E9" w:rsidRDefault="005173E9" w14:paraId="321A3214" w14:textId="1354D632">
      <w:pPr>
        <w:jc w:val="both"/>
        <w:rPr>
          <w:rFonts w:cs="Arial"/>
          <w:bCs/>
          <w:sz w:val="24"/>
          <w:szCs w:val="24"/>
        </w:rPr>
      </w:pPr>
      <w:r>
        <w:rPr>
          <w:rFonts w:cs="Arial"/>
          <w:bCs/>
          <w:sz w:val="24"/>
          <w:szCs w:val="24"/>
        </w:rPr>
        <w:t>The post 16 grant will be delegated within the schools funding formula</w:t>
      </w:r>
      <w:r w:rsidR="00F275B1">
        <w:rPr>
          <w:rFonts w:cs="Arial"/>
          <w:bCs/>
          <w:sz w:val="24"/>
          <w:szCs w:val="24"/>
        </w:rPr>
        <w:t>, with 3% retained centrally for administration.</w:t>
      </w:r>
    </w:p>
    <w:p w:rsidRPr="00D015A5" w:rsidR="00D13597" w:rsidP="00D13597" w:rsidRDefault="00D13597" w14:paraId="35EF25CC" w14:textId="178C045B">
      <w:pPr>
        <w:jc w:val="both"/>
        <w:rPr>
          <w:rFonts w:cs="Arial"/>
          <w:b/>
          <w:sz w:val="24"/>
          <w:szCs w:val="24"/>
          <w:u w:val="single"/>
        </w:rPr>
      </w:pPr>
      <w:r w:rsidRPr="00D015A5">
        <w:rPr>
          <w:rFonts w:cs="Arial"/>
          <w:b/>
          <w:sz w:val="24"/>
          <w:szCs w:val="24"/>
          <w:u w:val="single"/>
        </w:rPr>
        <w:t xml:space="preserve">Post 16 transition grant </w:t>
      </w:r>
      <w:r>
        <w:rPr>
          <w:rFonts w:cs="Arial"/>
          <w:b/>
          <w:sz w:val="24"/>
          <w:szCs w:val="24"/>
          <w:u w:val="single"/>
        </w:rPr>
        <w:t xml:space="preserve">- </w:t>
      </w:r>
      <w:r w:rsidRPr="00D015A5">
        <w:rPr>
          <w:rFonts w:cs="Arial"/>
          <w:b/>
          <w:sz w:val="24"/>
          <w:szCs w:val="24"/>
          <w:u w:val="single"/>
        </w:rPr>
        <w:t>£</w:t>
      </w:r>
      <w:r>
        <w:rPr>
          <w:rFonts w:cs="Arial"/>
          <w:b/>
          <w:sz w:val="24"/>
          <w:szCs w:val="24"/>
          <w:u w:val="single"/>
        </w:rPr>
        <w:t>42,000</w:t>
      </w:r>
    </w:p>
    <w:p w:rsidR="00D13597" w:rsidP="00D13597" w:rsidRDefault="00D13597" w14:paraId="3289E0EC" w14:textId="0C38DE09">
      <w:pPr>
        <w:jc w:val="both"/>
        <w:rPr>
          <w:rFonts w:cs="Arial"/>
          <w:bCs/>
          <w:sz w:val="24"/>
          <w:szCs w:val="24"/>
        </w:rPr>
      </w:pPr>
      <w:r>
        <w:rPr>
          <w:rFonts w:cs="Arial"/>
          <w:bCs/>
          <w:sz w:val="24"/>
          <w:szCs w:val="24"/>
        </w:rPr>
        <w:t>Five months of funding from April 202</w:t>
      </w:r>
      <w:r w:rsidR="00E2088D">
        <w:rPr>
          <w:rFonts w:cs="Arial"/>
          <w:bCs/>
          <w:sz w:val="24"/>
          <w:szCs w:val="24"/>
        </w:rPr>
        <w:t>5</w:t>
      </w:r>
      <w:r>
        <w:rPr>
          <w:rFonts w:cs="Arial"/>
          <w:bCs/>
          <w:sz w:val="24"/>
          <w:szCs w:val="24"/>
        </w:rPr>
        <w:t xml:space="preserve"> – August 202</w:t>
      </w:r>
      <w:r w:rsidR="00E2088D">
        <w:rPr>
          <w:rFonts w:cs="Arial"/>
          <w:bCs/>
          <w:sz w:val="24"/>
          <w:szCs w:val="24"/>
        </w:rPr>
        <w:t>5</w:t>
      </w:r>
      <w:r>
        <w:rPr>
          <w:rFonts w:cs="Arial"/>
          <w:bCs/>
          <w:sz w:val="24"/>
          <w:szCs w:val="24"/>
        </w:rPr>
        <w:t xml:space="preserve"> to assist pupils in the transition to their next phase of education.  </w:t>
      </w:r>
    </w:p>
    <w:p w:rsidRPr="00D015A5" w:rsidR="00D13597" w:rsidP="00D13597" w:rsidRDefault="00D13597" w14:paraId="6E868118" w14:textId="77777777">
      <w:pPr>
        <w:jc w:val="both"/>
        <w:rPr>
          <w:rFonts w:cs="Arial"/>
          <w:b/>
          <w:sz w:val="24"/>
          <w:szCs w:val="24"/>
          <w:u w:val="single"/>
        </w:rPr>
      </w:pPr>
      <w:r w:rsidRPr="00D015A5">
        <w:rPr>
          <w:rFonts w:cs="Arial"/>
          <w:b/>
          <w:sz w:val="24"/>
          <w:szCs w:val="24"/>
          <w:u w:val="single"/>
        </w:rPr>
        <w:t xml:space="preserve">Post 16 Learner Progression funding - £200,394 </w:t>
      </w:r>
    </w:p>
    <w:p w:rsidR="00D13597" w:rsidP="00D13597" w:rsidRDefault="00D13597" w14:paraId="39135ADF" w14:textId="61891C68">
      <w:pPr>
        <w:jc w:val="both"/>
        <w:rPr>
          <w:rFonts w:cs="Arial"/>
          <w:bCs/>
          <w:sz w:val="24"/>
          <w:szCs w:val="24"/>
        </w:rPr>
      </w:pPr>
      <w:bookmarkStart w:name="_Hlk214435043" w:id="0"/>
      <w:r>
        <w:rPr>
          <w:rFonts w:cs="Arial"/>
          <w:bCs/>
          <w:sz w:val="24"/>
          <w:szCs w:val="24"/>
        </w:rPr>
        <w:t xml:space="preserve">This has now allocated </w:t>
      </w:r>
      <w:r w:rsidR="006F3736">
        <w:rPr>
          <w:rFonts w:cs="Arial"/>
          <w:bCs/>
          <w:sz w:val="24"/>
          <w:szCs w:val="24"/>
        </w:rPr>
        <w:t xml:space="preserve">and given </w:t>
      </w:r>
      <w:r>
        <w:rPr>
          <w:rFonts w:cs="Arial"/>
          <w:bCs/>
          <w:sz w:val="24"/>
          <w:szCs w:val="24"/>
        </w:rPr>
        <w:t>to schools.</w:t>
      </w:r>
    </w:p>
    <w:bookmarkEnd w:id="0"/>
    <w:p w:rsidR="002F2882" w:rsidP="00D13597" w:rsidRDefault="002F2882" w14:paraId="2D689607" w14:textId="77777777">
      <w:pPr>
        <w:jc w:val="both"/>
        <w:rPr>
          <w:rFonts w:cs="Arial"/>
          <w:bCs/>
          <w:sz w:val="24"/>
          <w:szCs w:val="24"/>
        </w:rPr>
      </w:pPr>
    </w:p>
    <w:p w:rsidR="00A40199" w:rsidP="00A40199" w:rsidRDefault="00A40199" w14:paraId="654F6022" w14:textId="1060F714">
      <w:pPr>
        <w:jc w:val="both"/>
        <w:rPr>
          <w:rFonts w:cs="Arial"/>
          <w:b/>
          <w:sz w:val="24"/>
          <w:szCs w:val="24"/>
          <w:u w:val="single"/>
        </w:rPr>
      </w:pPr>
      <w:r w:rsidRPr="00D015A5">
        <w:rPr>
          <w:rFonts w:cs="Arial"/>
          <w:b/>
          <w:sz w:val="24"/>
          <w:szCs w:val="24"/>
          <w:u w:val="single"/>
        </w:rPr>
        <w:lastRenderedPageBreak/>
        <w:t xml:space="preserve">Post 16 </w:t>
      </w:r>
      <w:r>
        <w:rPr>
          <w:rFonts w:cs="Arial"/>
          <w:b/>
          <w:sz w:val="24"/>
          <w:szCs w:val="24"/>
          <w:u w:val="single"/>
        </w:rPr>
        <w:t>Teachers Pay Award</w:t>
      </w:r>
      <w:r w:rsidRPr="00D015A5">
        <w:rPr>
          <w:rFonts w:cs="Arial"/>
          <w:b/>
          <w:sz w:val="24"/>
          <w:szCs w:val="24"/>
          <w:u w:val="single"/>
        </w:rPr>
        <w:t xml:space="preserve"> funding - £</w:t>
      </w:r>
      <w:r w:rsidR="008E08C8">
        <w:rPr>
          <w:rFonts w:cs="Arial"/>
          <w:b/>
          <w:sz w:val="24"/>
          <w:szCs w:val="24"/>
          <w:u w:val="single"/>
        </w:rPr>
        <w:t>46,936</w:t>
      </w:r>
    </w:p>
    <w:p w:rsidR="008E08C8" w:rsidP="00A40199" w:rsidRDefault="008E08C8" w14:paraId="382FFFE2" w14:textId="33811E2D">
      <w:pPr>
        <w:jc w:val="both"/>
        <w:rPr>
          <w:rFonts w:cs="Arial"/>
          <w:bCs/>
          <w:sz w:val="24"/>
          <w:szCs w:val="24"/>
        </w:rPr>
      </w:pPr>
      <w:r>
        <w:rPr>
          <w:rFonts w:cs="Arial"/>
          <w:bCs/>
          <w:sz w:val="24"/>
          <w:szCs w:val="24"/>
        </w:rPr>
        <w:t>Additional funding given for the 1% difference between the funding settlement for pay of 3% and the actual pay award agreed at 4%.  This has now allocated and given to schools based on the actual increase</w:t>
      </w:r>
      <w:r w:rsidR="00C466BF">
        <w:rPr>
          <w:rFonts w:cs="Arial"/>
          <w:bCs/>
          <w:sz w:val="24"/>
          <w:szCs w:val="24"/>
        </w:rPr>
        <w:t xml:space="preserve"> of teachers staffing costs from budget updates by SFS in August.  As we are unable to identify individual Post 16 staffing, the Pre and Post 16 pay award grants have been added together for the purposes of creating a fair distribution of funding to cover 91.01% of the actual costs incurred in each school.</w:t>
      </w:r>
    </w:p>
    <w:p w:rsidR="008E08C8" w:rsidP="008E08C8" w:rsidRDefault="008E08C8" w14:paraId="62CAA10C" w14:textId="134BFF76">
      <w:pPr>
        <w:jc w:val="both"/>
        <w:rPr>
          <w:rFonts w:cs="Arial"/>
          <w:b/>
          <w:sz w:val="24"/>
          <w:szCs w:val="24"/>
          <w:u w:val="single"/>
        </w:rPr>
      </w:pPr>
      <w:r w:rsidRPr="00D015A5">
        <w:rPr>
          <w:rFonts w:cs="Arial"/>
          <w:b/>
          <w:sz w:val="24"/>
          <w:szCs w:val="24"/>
          <w:u w:val="single"/>
        </w:rPr>
        <w:t xml:space="preserve">Post 16 </w:t>
      </w:r>
      <w:r>
        <w:rPr>
          <w:rFonts w:cs="Arial"/>
          <w:b/>
          <w:sz w:val="24"/>
          <w:szCs w:val="24"/>
          <w:u w:val="single"/>
        </w:rPr>
        <w:t>National Insurance Contributions Award</w:t>
      </w:r>
      <w:r w:rsidRPr="00D015A5">
        <w:rPr>
          <w:rFonts w:cs="Arial"/>
          <w:b/>
          <w:sz w:val="24"/>
          <w:szCs w:val="24"/>
          <w:u w:val="single"/>
        </w:rPr>
        <w:t xml:space="preserve"> funding - £</w:t>
      </w:r>
      <w:r>
        <w:rPr>
          <w:rFonts w:cs="Arial"/>
          <w:b/>
          <w:sz w:val="24"/>
          <w:szCs w:val="24"/>
          <w:u w:val="single"/>
        </w:rPr>
        <w:t>106,603</w:t>
      </w:r>
    </w:p>
    <w:p w:rsidRPr="008E08C8" w:rsidR="008E08C8" w:rsidP="008E08C8" w:rsidRDefault="008E08C8" w14:paraId="12912CF1" w14:textId="34B6DA82">
      <w:pPr>
        <w:jc w:val="both"/>
        <w:rPr>
          <w:rFonts w:cs="Arial"/>
          <w:bCs/>
          <w:sz w:val="24"/>
          <w:szCs w:val="24"/>
        </w:rPr>
      </w:pPr>
      <w:r>
        <w:rPr>
          <w:rFonts w:cs="Arial"/>
          <w:bCs/>
          <w:sz w:val="24"/>
          <w:szCs w:val="24"/>
        </w:rPr>
        <w:t>Additional funding given for the increase to NIC not given in funding settlement.  This has now allocated and given to schools</w:t>
      </w:r>
      <w:r w:rsidR="00C466BF">
        <w:rPr>
          <w:rFonts w:cs="Arial"/>
          <w:bCs/>
          <w:sz w:val="24"/>
          <w:szCs w:val="24"/>
        </w:rPr>
        <w:t xml:space="preserve"> based on the programme values used within the funding formula.</w:t>
      </w:r>
    </w:p>
    <w:p w:rsidRPr="006F277B" w:rsidR="00F16725" w:rsidP="00F16725" w:rsidRDefault="00E2088D" w14:paraId="352CCDED" w14:textId="21CEE84D">
      <w:pPr>
        <w:jc w:val="both"/>
        <w:rPr>
          <w:rFonts w:cs="Arial"/>
          <w:b/>
          <w:bCs/>
          <w:sz w:val="24"/>
          <w:szCs w:val="24"/>
          <w:u w:val="single"/>
        </w:rPr>
      </w:pPr>
      <w:r>
        <w:rPr>
          <w:rFonts w:cs="Arial"/>
          <w:b/>
          <w:bCs/>
          <w:sz w:val="24"/>
          <w:szCs w:val="24"/>
          <w:u w:val="single"/>
        </w:rPr>
        <w:t>Interim PL Welsh Professional Learning</w:t>
      </w:r>
      <w:r w:rsidRPr="006F277B" w:rsidR="00F16725">
        <w:rPr>
          <w:rFonts w:cs="Arial"/>
          <w:b/>
          <w:bCs/>
          <w:sz w:val="24"/>
          <w:szCs w:val="24"/>
          <w:u w:val="single"/>
        </w:rPr>
        <w:t xml:space="preserve"> - £</w:t>
      </w:r>
      <w:r>
        <w:rPr>
          <w:rFonts w:cs="Arial"/>
          <w:b/>
          <w:bCs/>
          <w:sz w:val="24"/>
          <w:szCs w:val="24"/>
          <w:u w:val="single"/>
        </w:rPr>
        <w:t>10,904</w:t>
      </w:r>
    </w:p>
    <w:p w:rsidR="00F16725" w:rsidP="00F16725" w:rsidRDefault="00E2088D" w14:paraId="12E4BBAA" w14:textId="0A980950">
      <w:pPr>
        <w:jc w:val="both"/>
        <w:rPr>
          <w:rFonts w:cs="Arial"/>
          <w:sz w:val="24"/>
          <w:szCs w:val="24"/>
        </w:rPr>
      </w:pPr>
      <w:bookmarkStart w:name="_Hlk198725479" w:id="1"/>
      <w:r>
        <w:rPr>
          <w:rFonts w:cs="Arial"/>
          <w:sz w:val="24"/>
          <w:szCs w:val="24"/>
        </w:rPr>
        <w:t>This funding is for 5/12</w:t>
      </w:r>
      <w:r>
        <w:rPr>
          <w:rFonts w:cs="Arial"/>
          <w:sz w:val="24"/>
          <w:szCs w:val="24"/>
          <w:vertAlign w:val="superscript"/>
        </w:rPr>
        <w:t xml:space="preserve">ths </w:t>
      </w:r>
      <w:r>
        <w:rPr>
          <w:rFonts w:cs="Arial"/>
          <w:sz w:val="24"/>
          <w:szCs w:val="24"/>
        </w:rPr>
        <w:t xml:space="preserve">of the </w:t>
      </w:r>
      <w:proofErr w:type="gramStart"/>
      <w:r>
        <w:rPr>
          <w:rFonts w:cs="Arial"/>
          <w:sz w:val="24"/>
          <w:szCs w:val="24"/>
        </w:rPr>
        <w:t>year</w:t>
      </w:r>
      <w:proofErr w:type="gramEnd"/>
      <w:r>
        <w:rPr>
          <w:rFonts w:cs="Arial"/>
          <w:sz w:val="24"/>
          <w:szCs w:val="24"/>
        </w:rPr>
        <w:t xml:space="preserve"> which is allocated to CSC for April to August, from September the new Regional PL Body will be in place.</w:t>
      </w:r>
    </w:p>
    <w:bookmarkEnd w:id="1"/>
    <w:p w:rsidRPr="006F277B" w:rsidR="00F16725" w:rsidP="00F16725" w:rsidRDefault="00E2088D" w14:paraId="005C33E0" w14:textId="1F45DE5F">
      <w:pPr>
        <w:jc w:val="both"/>
        <w:rPr>
          <w:rFonts w:cs="Arial"/>
          <w:b/>
          <w:bCs/>
          <w:sz w:val="24"/>
          <w:szCs w:val="24"/>
          <w:u w:val="single"/>
        </w:rPr>
      </w:pPr>
      <w:r>
        <w:rPr>
          <w:rFonts w:cs="Arial"/>
          <w:b/>
          <w:bCs/>
          <w:sz w:val="24"/>
          <w:szCs w:val="24"/>
          <w:u w:val="single"/>
        </w:rPr>
        <w:t>Interim PL – Professional Learning for Developing practice and reflection</w:t>
      </w:r>
      <w:r w:rsidRPr="006F277B" w:rsidR="00F16725">
        <w:rPr>
          <w:rFonts w:cs="Arial"/>
          <w:b/>
          <w:bCs/>
          <w:sz w:val="24"/>
          <w:szCs w:val="24"/>
          <w:u w:val="single"/>
        </w:rPr>
        <w:t xml:space="preserve"> - £</w:t>
      </w:r>
      <w:r>
        <w:rPr>
          <w:rFonts w:cs="Arial"/>
          <w:b/>
          <w:bCs/>
          <w:sz w:val="24"/>
          <w:szCs w:val="24"/>
          <w:u w:val="single"/>
        </w:rPr>
        <w:t>17,045</w:t>
      </w:r>
    </w:p>
    <w:p w:rsidR="00F16725" w:rsidP="00F16725" w:rsidRDefault="00E2088D" w14:paraId="51D22FAF" w14:textId="52788BC7">
      <w:pPr>
        <w:jc w:val="both"/>
        <w:rPr>
          <w:rFonts w:cs="Arial"/>
          <w:sz w:val="24"/>
          <w:szCs w:val="24"/>
        </w:rPr>
      </w:pPr>
      <w:r>
        <w:rPr>
          <w:rFonts w:cs="Arial"/>
          <w:sz w:val="24"/>
          <w:szCs w:val="24"/>
        </w:rPr>
        <w:t>This funding is for 5/12</w:t>
      </w:r>
      <w:r>
        <w:rPr>
          <w:rFonts w:cs="Arial"/>
          <w:sz w:val="24"/>
          <w:szCs w:val="24"/>
          <w:vertAlign w:val="superscript"/>
        </w:rPr>
        <w:t xml:space="preserve">ths </w:t>
      </w:r>
      <w:r>
        <w:rPr>
          <w:rFonts w:cs="Arial"/>
          <w:sz w:val="24"/>
          <w:szCs w:val="24"/>
        </w:rPr>
        <w:t xml:space="preserve">of the </w:t>
      </w:r>
      <w:proofErr w:type="gramStart"/>
      <w:r>
        <w:rPr>
          <w:rFonts w:cs="Arial"/>
          <w:sz w:val="24"/>
          <w:szCs w:val="24"/>
        </w:rPr>
        <w:t>year</w:t>
      </w:r>
      <w:proofErr w:type="gramEnd"/>
      <w:r>
        <w:rPr>
          <w:rFonts w:cs="Arial"/>
          <w:sz w:val="24"/>
          <w:szCs w:val="24"/>
        </w:rPr>
        <w:t xml:space="preserve"> which is allocated to CSC for April to August, from September the new Regional PL Body will be in place.</w:t>
      </w:r>
    </w:p>
    <w:p w:rsidR="00F16725" w:rsidP="00F16725" w:rsidRDefault="00E2088D" w14:paraId="4F2C2708" w14:textId="680304BB">
      <w:pPr>
        <w:jc w:val="both"/>
        <w:rPr>
          <w:rFonts w:cs="Arial"/>
          <w:b/>
          <w:bCs/>
          <w:sz w:val="24"/>
          <w:szCs w:val="24"/>
          <w:u w:val="single"/>
        </w:rPr>
      </w:pPr>
      <w:r>
        <w:rPr>
          <w:rFonts w:cs="Arial"/>
          <w:b/>
          <w:bCs/>
          <w:sz w:val="24"/>
          <w:szCs w:val="24"/>
          <w:u w:val="single"/>
        </w:rPr>
        <w:t>Interim PL – A Level and Welsh BACC PL</w:t>
      </w:r>
      <w:r w:rsidRPr="006F277B" w:rsidR="00F16725">
        <w:rPr>
          <w:rFonts w:cs="Arial"/>
          <w:b/>
          <w:bCs/>
          <w:sz w:val="24"/>
          <w:szCs w:val="24"/>
          <w:u w:val="single"/>
        </w:rPr>
        <w:t xml:space="preserve"> - £</w:t>
      </w:r>
      <w:r>
        <w:rPr>
          <w:rFonts w:cs="Arial"/>
          <w:b/>
          <w:bCs/>
          <w:sz w:val="24"/>
          <w:szCs w:val="24"/>
          <w:u w:val="single"/>
        </w:rPr>
        <w:t>19,039</w:t>
      </w:r>
    </w:p>
    <w:p w:rsidRPr="00E2088D" w:rsidR="00E2088D" w:rsidP="00F16725" w:rsidRDefault="00E2088D" w14:paraId="6E1E7A2E" w14:textId="7D2A1D63">
      <w:pPr>
        <w:jc w:val="both"/>
        <w:rPr>
          <w:rFonts w:cs="Arial"/>
          <w:sz w:val="24"/>
          <w:szCs w:val="24"/>
        </w:rPr>
      </w:pPr>
      <w:r>
        <w:rPr>
          <w:rFonts w:cs="Arial"/>
          <w:sz w:val="24"/>
          <w:szCs w:val="24"/>
        </w:rPr>
        <w:t>This funding is for 5/12</w:t>
      </w:r>
      <w:r>
        <w:rPr>
          <w:rFonts w:cs="Arial"/>
          <w:sz w:val="24"/>
          <w:szCs w:val="24"/>
          <w:vertAlign w:val="superscript"/>
        </w:rPr>
        <w:t xml:space="preserve">ths </w:t>
      </w:r>
      <w:r>
        <w:rPr>
          <w:rFonts w:cs="Arial"/>
          <w:sz w:val="24"/>
          <w:szCs w:val="24"/>
        </w:rPr>
        <w:t xml:space="preserve">of the </w:t>
      </w:r>
      <w:proofErr w:type="gramStart"/>
      <w:r>
        <w:rPr>
          <w:rFonts w:cs="Arial"/>
          <w:sz w:val="24"/>
          <w:szCs w:val="24"/>
        </w:rPr>
        <w:t>year</w:t>
      </w:r>
      <w:proofErr w:type="gramEnd"/>
      <w:r>
        <w:rPr>
          <w:rFonts w:cs="Arial"/>
          <w:sz w:val="24"/>
          <w:szCs w:val="24"/>
        </w:rPr>
        <w:t xml:space="preserve"> which is allocated to CSC for April to August, from September the new Regional PL Body will be in place.</w:t>
      </w:r>
    </w:p>
    <w:p w:rsidRPr="006F277B" w:rsidR="00F16725" w:rsidP="00F16725" w:rsidRDefault="00E2088D" w14:paraId="7FA6BB09" w14:textId="00C79583">
      <w:pPr>
        <w:jc w:val="both"/>
        <w:rPr>
          <w:rFonts w:cs="Arial"/>
          <w:b/>
          <w:bCs/>
          <w:sz w:val="24"/>
          <w:szCs w:val="24"/>
          <w:u w:val="single"/>
        </w:rPr>
      </w:pPr>
      <w:r>
        <w:rPr>
          <w:rFonts w:cs="Arial"/>
          <w:b/>
          <w:bCs/>
          <w:sz w:val="24"/>
          <w:szCs w:val="24"/>
          <w:u w:val="single"/>
        </w:rPr>
        <w:t>Interim PL – Induction/Early Career support package</w:t>
      </w:r>
      <w:r w:rsidRPr="006F277B" w:rsidR="00F16725">
        <w:rPr>
          <w:rFonts w:cs="Arial"/>
          <w:b/>
          <w:bCs/>
          <w:sz w:val="24"/>
          <w:szCs w:val="24"/>
          <w:u w:val="single"/>
        </w:rPr>
        <w:t xml:space="preserve"> - £</w:t>
      </w:r>
      <w:r>
        <w:rPr>
          <w:rFonts w:cs="Arial"/>
          <w:b/>
          <w:bCs/>
          <w:sz w:val="24"/>
          <w:szCs w:val="24"/>
          <w:u w:val="single"/>
        </w:rPr>
        <w:t>4,734</w:t>
      </w:r>
    </w:p>
    <w:p w:rsidR="005A5D23" w:rsidP="00336E78" w:rsidRDefault="00E2088D" w14:paraId="4CA7B78C" w14:textId="60DF75D7">
      <w:pPr>
        <w:jc w:val="both"/>
        <w:rPr>
          <w:rFonts w:cs="Arial"/>
          <w:sz w:val="24"/>
          <w:szCs w:val="24"/>
        </w:rPr>
      </w:pPr>
      <w:r>
        <w:rPr>
          <w:rFonts w:cs="Arial"/>
          <w:sz w:val="24"/>
          <w:szCs w:val="24"/>
        </w:rPr>
        <w:t>This funding is for 5/12</w:t>
      </w:r>
      <w:r>
        <w:rPr>
          <w:rFonts w:cs="Arial"/>
          <w:sz w:val="24"/>
          <w:szCs w:val="24"/>
          <w:vertAlign w:val="superscript"/>
        </w:rPr>
        <w:t xml:space="preserve">ths </w:t>
      </w:r>
      <w:r>
        <w:rPr>
          <w:rFonts w:cs="Arial"/>
          <w:sz w:val="24"/>
          <w:szCs w:val="24"/>
        </w:rPr>
        <w:t xml:space="preserve">of the </w:t>
      </w:r>
      <w:proofErr w:type="gramStart"/>
      <w:r>
        <w:rPr>
          <w:rFonts w:cs="Arial"/>
          <w:sz w:val="24"/>
          <w:szCs w:val="24"/>
        </w:rPr>
        <w:t>year</w:t>
      </w:r>
      <w:proofErr w:type="gramEnd"/>
      <w:r>
        <w:rPr>
          <w:rFonts w:cs="Arial"/>
          <w:sz w:val="24"/>
          <w:szCs w:val="24"/>
        </w:rPr>
        <w:t xml:space="preserve"> which is allocated to CSC for April to August, from September the new Regional PL Body will be in place.</w:t>
      </w:r>
    </w:p>
    <w:p w:rsidR="00A40199" w:rsidP="00A40199" w:rsidRDefault="00A40199" w14:paraId="1EAAC35B" w14:textId="7CB1FB2B">
      <w:pPr>
        <w:jc w:val="both"/>
        <w:rPr>
          <w:rFonts w:cs="Arial"/>
          <w:b/>
          <w:sz w:val="24"/>
          <w:szCs w:val="24"/>
          <w:u w:val="single"/>
        </w:rPr>
      </w:pPr>
      <w:r>
        <w:rPr>
          <w:rFonts w:cs="Arial"/>
          <w:b/>
          <w:sz w:val="24"/>
          <w:szCs w:val="24"/>
          <w:u w:val="single"/>
        </w:rPr>
        <w:t>Teachers Pay Award</w:t>
      </w:r>
      <w:r w:rsidRPr="00D015A5">
        <w:rPr>
          <w:rFonts w:cs="Arial"/>
          <w:b/>
          <w:sz w:val="24"/>
          <w:szCs w:val="24"/>
          <w:u w:val="single"/>
        </w:rPr>
        <w:t xml:space="preserve"> funding - £</w:t>
      </w:r>
      <w:r>
        <w:rPr>
          <w:rFonts w:cs="Arial"/>
          <w:b/>
          <w:sz w:val="24"/>
          <w:szCs w:val="24"/>
          <w:u w:val="single"/>
        </w:rPr>
        <w:t>467,882</w:t>
      </w:r>
    </w:p>
    <w:p w:rsidR="00C466BF" w:rsidP="00A40199" w:rsidRDefault="00C466BF" w14:paraId="4CC5F013" w14:textId="73D4BEE9">
      <w:pPr>
        <w:jc w:val="both"/>
        <w:rPr>
          <w:rFonts w:cs="Arial"/>
          <w:bCs/>
          <w:sz w:val="24"/>
          <w:szCs w:val="24"/>
        </w:rPr>
      </w:pPr>
      <w:r>
        <w:rPr>
          <w:rFonts w:cs="Arial"/>
          <w:bCs/>
          <w:sz w:val="24"/>
          <w:szCs w:val="24"/>
        </w:rPr>
        <w:t>Additional funding given for the 1% difference between the funding settlement for pay of 3% and the actual pay award agreed at 4%.  This has now allocated and given to schools based on the actual increase of teachers staffing costs from budget updates by SFS in August.  As we are unable to identify individual Pre 16 staffing within Secondary/middle schools, the Pre and Post 16 pay award grants have been added together for the purposes of creating a fair distribution of funding to cover 91.01% of the actual costs incurred in each school.</w:t>
      </w:r>
    </w:p>
    <w:p w:rsidR="006D72EB" w:rsidP="00A40199" w:rsidRDefault="006D72EB" w14:paraId="03DC1304" w14:textId="77777777">
      <w:pPr>
        <w:jc w:val="both"/>
        <w:rPr>
          <w:rFonts w:cs="Arial"/>
          <w:bCs/>
          <w:sz w:val="24"/>
          <w:szCs w:val="24"/>
        </w:rPr>
      </w:pPr>
    </w:p>
    <w:p w:rsidR="006D72EB" w:rsidP="00A40199" w:rsidRDefault="006D72EB" w14:paraId="153EF8BC" w14:textId="77777777">
      <w:pPr>
        <w:jc w:val="both"/>
        <w:rPr>
          <w:rFonts w:cs="Arial"/>
          <w:bCs/>
          <w:sz w:val="24"/>
          <w:szCs w:val="24"/>
        </w:rPr>
      </w:pPr>
    </w:p>
    <w:p w:rsidRPr="006D72EB" w:rsidR="006D72EB" w:rsidP="00A40199" w:rsidRDefault="006D72EB" w14:paraId="3D3BDD63" w14:textId="6695D214">
      <w:pPr>
        <w:jc w:val="both"/>
        <w:rPr>
          <w:rFonts w:cs="Arial"/>
          <w:b/>
          <w:sz w:val="24"/>
          <w:szCs w:val="24"/>
          <w:u w:val="single"/>
        </w:rPr>
      </w:pPr>
      <w:r w:rsidRPr="006D72EB">
        <w:rPr>
          <w:rFonts w:cs="Arial"/>
          <w:b/>
          <w:sz w:val="24"/>
          <w:szCs w:val="24"/>
          <w:u w:val="single"/>
        </w:rPr>
        <w:lastRenderedPageBreak/>
        <w:t>Ministerial Headteacher Advisory Group - £12,000</w:t>
      </w:r>
    </w:p>
    <w:p w:rsidR="006D72EB" w:rsidP="00A40199" w:rsidRDefault="006D72EB" w14:paraId="59A067E8" w14:textId="19107CE1">
      <w:pPr>
        <w:jc w:val="both"/>
        <w:rPr>
          <w:rFonts w:cs="Arial"/>
          <w:bCs/>
          <w:sz w:val="24"/>
          <w:szCs w:val="24"/>
        </w:rPr>
      </w:pPr>
      <w:r>
        <w:rPr>
          <w:rFonts w:cs="Arial"/>
          <w:bCs/>
          <w:sz w:val="24"/>
          <w:szCs w:val="24"/>
        </w:rPr>
        <w:t>Allocations received from Welsh Government for specific schools involved in the advisory group, the allocations have been given to schools.</w:t>
      </w:r>
    </w:p>
    <w:p w:rsidR="001E25AC" w:rsidP="00A40199" w:rsidRDefault="001E25AC" w14:paraId="4C377D89" w14:textId="0290FF97">
      <w:pPr>
        <w:jc w:val="both"/>
        <w:rPr>
          <w:rFonts w:cs="Arial"/>
          <w:b/>
          <w:sz w:val="24"/>
          <w:szCs w:val="24"/>
          <w:u w:val="single"/>
        </w:rPr>
      </w:pPr>
      <w:r w:rsidRPr="001E25AC">
        <w:rPr>
          <w:rFonts w:cs="Arial"/>
          <w:b/>
          <w:sz w:val="24"/>
          <w:szCs w:val="24"/>
          <w:u w:val="single"/>
        </w:rPr>
        <w:t>Afghan Resettlements funding - £tbc</w:t>
      </w:r>
    </w:p>
    <w:p w:rsidRPr="00C466BF" w:rsidR="00C466BF" w:rsidP="00A40199" w:rsidRDefault="001E25AC" w14:paraId="707A35BD" w14:textId="611A0900">
      <w:pPr>
        <w:jc w:val="both"/>
        <w:rPr>
          <w:rFonts w:cs="Arial"/>
          <w:bCs/>
          <w:sz w:val="24"/>
          <w:szCs w:val="24"/>
        </w:rPr>
      </w:pPr>
      <w:r w:rsidRPr="001E25AC">
        <w:rPr>
          <w:rFonts w:cs="Arial"/>
          <w:bCs/>
          <w:sz w:val="24"/>
          <w:szCs w:val="24"/>
        </w:rPr>
        <w:t xml:space="preserve">There </w:t>
      </w:r>
      <w:r>
        <w:rPr>
          <w:rFonts w:cs="Arial"/>
          <w:bCs/>
          <w:sz w:val="24"/>
          <w:szCs w:val="24"/>
        </w:rPr>
        <w:t xml:space="preserve">is funding available from the Home Office as part of the Afghan </w:t>
      </w:r>
      <w:r w:rsidR="006D72EB">
        <w:rPr>
          <w:rFonts w:cs="Arial"/>
          <w:bCs/>
          <w:sz w:val="24"/>
          <w:szCs w:val="24"/>
        </w:rPr>
        <w:t xml:space="preserve">Resettlement programme, the Education tariff available </w:t>
      </w:r>
      <w:proofErr w:type="gramStart"/>
      <w:r w:rsidR="006D72EB">
        <w:rPr>
          <w:rFonts w:cs="Arial"/>
          <w:bCs/>
          <w:sz w:val="24"/>
          <w:szCs w:val="24"/>
        </w:rPr>
        <w:t>has to</w:t>
      </w:r>
      <w:proofErr w:type="gramEnd"/>
      <w:r w:rsidR="006D72EB">
        <w:rPr>
          <w:rFonts w:cs="Arial"/>
          <w:bCs/>
          <w:sz w:val="24"/>
          <w:szCs w:val="24"/>
        </w:rPr>
        <w:t xml:space="preserve"> fund the central transport costs already incurred with the balance going to schools.  The first claim funding has not yet been agreed by the Central Resettlement team, but once confirmed, the schools with new Afghan Pupils will be told their allocations.</w:t>
      </w:r>
    </w:p>
    <w:p w:rsidRPr="003321DA" w:rsidR="00D13597" w:rsidP="00D13597" w:rsidRDefault="00D13597" w14:paraId="2F129CAB" w14:textId="5E51E5C0">
      <w:pPr>
        <w:rPr>
          <w:rFonts w:cs="Arial"/>
          <w:b/>
          <w:bCs/>
          <w:sz w:val="24"/>
          <w:szCs w:val="24"/>
          <w:u w:val="single"/>
        </w:rPr>
      </w:pPr>
      <w:r w:rsidRPr="003321DA">
        <w:rPr>
          <w:rFonts w:cs="Arial"/>
          <w:b/>
          <w:bCs/>
          <w:sz w:val="24"/>
          <w:szCs w:val="24"/>
          <w:u w:val="single"/>
        </w:rPr>
        <w:t xml:space="preserve">Centrally allocated revenue grant funding for </w:t>
      </w:r>
      <w:r>
        <w:rPr>
          <w:rFonts w:cs="Arial"/>
          <w:b/>
          <w:bCs/>
          <w:sz w:val="24"/>
          <w:szCs w:val="24"/>
          <w:u w:val="single"/>
        </w:rPr>
        <w:t>learners</w:t>
      </w:r>
    </w:p>
    <w:p w:rsidRPr="003321DA" w:rsidR="00D13597" w:rsidP="00D13597" w:rsidRDefault="00D13597" w14:paraId="78110879" w14:textId="77777777">
      <w:pPr>
        <w:jc w:val="both"/>
        <w:rPr>
          <w:rFonts w:cs="Arial"/>
          <w:sz w:val="24"/>
          <w:szCs w:val="24"/>
        </w:rPr>
      </w:pPr>
      <w:r w:rsidRPr="003321DA">
        <w:rPr>
          <w:rFonts w:cs="Arial"/>
          <w:sz w:val="24"/>
          <w:szCs w:val="24"/>
        </w:rPr>
        <w:t xml:space="preserve">In addition to the grants delegated to schools, the Local Authority </w:t>
      </w:r>
      <w:r>
        <w:rPr>
          <w:rFonts w:cs="Arial"/>
          <w:sz w:val="24"/>
          <w:szCs w:val="24"/>
        </w:rPr>
        <w:t>has received notification of the following grants which will be centrally managed. Some of these grants below may be delegated to schools for allocation within the individual grant terms and conditions where applicable.</w:t>
      </w:r>
    </w:p>
    <w:tbl>
      <w:tblPr>
        <w:tblStyle w:val="TableGrid"/>
        <w:tblW w:w="0" w:type="auto"/>
        <w:tblLook w:val="04A0" w:firstRow="1" w:lastRow="0" w:firstColumn="1" w:lastColumn="0" w:noHBand="0" w:noVBand="1"/>
      </w:tblPr>
      <w:tblGrid>
        <w:gridCol w:w="7199"/>
        <w:gridCol w:w="1817"/>
      </w:tblGrid>
      <w:tr w:rsidRPr="00196801" w:rsidR="00D13597" w:rsidTr="00467472" w14:paraId="1424316D" w14:textId="77777777">
        <w:tc>
          <w:tcPr>
            <w:tcW w:w="7508" w:type="dxa"/>
          </w:tcPr>
          <w:p w:rsidRPr="003E6C28" w:rsidR="00D13597" w:rsidP="00467472" w:rsidRDefault="00D13597" w14:paraId="407F02EE" w14:textId="77777777">
            <w:pPr>
              <w:rPr>
                <w:rFonts w:cs="Arial"/>
                <w:b/>
                <w:bCs/>
                <w:sz w:val="24"/>
                <w:szCs w:val="24"/>
              </w:rPr>
            </w:pPr>
            <w:r w:rsidRPr="003E6C28">
              <w:rPr>
                <w:rFonts w:cs="Arial"/>
                <w:b/>
                <w:bCs/>
                <w:sz w:val="24"/>
                <w:szCs w:val="24"/>
              </w:rPr>
              <w:t>Grant name</w:t>
            </w:r>
          </w:p>
        </w:tc>
        <w:tc>
          <w:tcPr>
            <w:tcW w:w="1418" w:type="dxa"/>
          </w:tcPr>
          <w:p w:rsidRPr="003E6C28" w:rsidR="00D13597" w:rsidP="00467472" w:rsidRDefault="00D13597" w14:paraId="63A03528" w14:textId="77777777">
            <w:pPr>
              <w:jc w:val="center"/>
              <w:rPr>
                <w:rFonts w:cs="Arial"/>
                <w:b/>
                <w:bCs/>
                <w:sz w:val="24"/>
                <w:szCs w:val="24"/>
              </w:rPr>
            </w:pPr>
            <w:r w:rsidRPr="003E6C28">
              <w:rPr>
                <w:rFonts w:cs="Arial"/>
                <w:b/>
                <w:bCs/>
                <w:sz w:val="24"/>
                <w:szCs w:val="24"/>
              </w:rPr>
              <w:t>Awarded</w:t>
            </w:r>
          </w:p>
        </w:tc>
      </w:tr>
      <w:tr w:rsidRPr="00196801" w:rsidR="00D13597" w:rsidTr="00467472" w14:paraId="6EB1838B" w14:textId="77777777">
        <w:tc>
          <w:tcPr>
            <w:tcW w:w="7508" w:type="dxa"/>
          </w:tcPr>
          <w:p w:rsidRPr="00196801" w:rsidR="00D13597" w:rsidP="00467472" w:rsidRDefault="00D13597" w14:paraId="4B88D9AB" w14:textId="4A510967">
            <w:pPr>
              <w:rPr>
                <w:rFonts w:cs="Arial"/>
                <w:sz w:val="24"/>
                <w:szCs w:val="24"/>
              </w:rPr>
            </w:pPr>
            <w:r w:rsidRPr="00196801">
              <w:rPr>
                <w:rFonts w:cs="Arial"/>
                <w:sz w:val="24"/>
                <w:szCs w:val="24"/>
              </w:rPr>
              <w:t>Universal free school meals</w:t>
            </w:r>
            <w:r w:rsidR="00F275B1">
              <w:rPr>
                <w:rFonts w:cs="Arial"/>
                <w:sz w:val="24"/>
                <w:szCs w:val="24"/>
              </w:rPr>
              <w:t xml:space="preserve"> (demand Led)</w:t>
            </w:r>
          </w:p>
        </w:tc>
        <w:tc>
          <w:tcPr>
            <w:tcW w:w="1418" w:type="dxa"/>
          </w:tcPr>
          <w:p w:rsidRPr="00196801" w:rsidR="00D13597" w:rsidP="00467472" w:rsidRDefault="00D13597" w14:paraId="5C13625D" w14:textId="6D5B1EF6">
            <w:pPr>
              <w:jc w:val="right"/>
              <w:rPr>
                <w:rFonts w:cs="Arial"/>
                <w:sz w:val="24"/>
                <w:szCs w:val="24"/>
              </w:rPr>
            </w:pPr>
            <w:r w:rsidRPr="00196801">
              <w:rPr>
                <w:rFonts w:cs="Arial"/>
                <w:sz w:val="24"/>
                <w:szCs w:val="24"/>
              </w:rPr>
              <w:t>£</w:t>
            </w:r>
            <w:r w:rsidR="00F275B1">
              <w:rPr>
                <w:rFonts w:cs="Arial"/>
                <w:sz w:val="24"/>
                <w:szCs w:val="24"/>
              </w:rPr>
              <w:t>4,7</w:t>
            </w:r>
            <w:r w:rsidR="00E2088D">
              <w:rPr>
                <w:rFonts w:cs="Arial"/>
                <w:sz w:val="24"/>
                <w:szCs w:val="24"/>
              </w:rPr>
              <w:t>02,438</w:t>
            </w:r>
          </w:p>
        </w:tc>
      </w:tr>
      <w:tr w:rsidRPr="00196801" w:rsidR="00D13597" w:rsidTr="00467472" w14:paraId="47CBA637" w14:textId="77777777">
        <w:tc>
          <w:tcPr>
            <w:tcW w:w="7508" w:type="dxa"/>
          </w:tcPr>
          <w:p w:rsidRPr="00196801" w:rsidR="00D13597" w:rsidP="00467472" w:rsidRDefault="00D13597" w14:paraId="04517ADA" w14:textId="1F9134CF">
            <w:pPr>
              <w:rPr>
                <w:rFonts w:cs="Arial"/>
                <w:sz w:val="24"/>
                <w:szCs w:val="24"/>
              </w:rPr>
            </w:pPr>
            <w:r w:rsidRPr="00196801">
              <w:rPr>
                <w:rFonts w:cs="Arial"/>
                <w:sz w:val="24"/>
                <w:szCs w:val="24"/>
              </w:rPr>
              <w:t xml:space="preserve">Schools Essentials </w:t>
            </w:r>
            <w:r w:rsidR="00F275B1">
              <w:rPr>
                <w:rFonts w:cs="Arial"/>
                <w:sz w:val="24"/>
                <w:szCs w:val="24"/>
              </w:rPr>
              <w:t>(demand Led)</w:t>
            </w:r>
          </w:p>
        </w:tc>
        <w:tc>
          <w:tcPr>
            <w:tcW w:w="1418" w:type="dxa"/>
          </w:tcPr>
          <w:p w:rsidRPr="00196801" w:rsidR="00D13597" w:rsidP="00467472" w:rsidRDefault="00D13597" w14:paraId="44E2B1CC" w14:textId="3A77E19D">
            <w:pPr>
              <w:jc w:val="right"/>
              <w:rPr>
                <w:rFonts w:cs="Arial"/>
                <w:sz w:val="24"/>
                <w:szCs w:val="24"/>
              </w:rPr>
            </w:pPr>
            <w:r>
              <w:rPr>
                <w:rFonts w:cs="Arial"/>
                <w:sz w:val="24"/>
                <w:szCs w:val="24"/>
              </w:rPr>
              <w:t>£</w:t>
            </w:r>
            <w:r w:rsidR="00E2088D">
              <w:rPr>
                <w:rFonts w:cs="Arial"/>
                <w:sz w:val="24"/>
                <w:szCs w:val="24"/>
              </w:rPr>
              <w:t>464,700</w:t>
            </w:r>
          </w:p>
        </w:tc>
      </w:tr>
      <w:tr w:rsidRPr="00196801" w:rsidR="00D13597" w:rsidTr="00467472" w14:paraId="5D889294" w14:textId="77777777">
        <w:tc>
          <w:tcPr>
            <w:tcW w:w="7508" w:type="dxa"/>
          </w:tcPr>
          <w:p w:rsidRPr="00196801" w:rsidR="00D13597" w:rsidP="00467472" w:rsidRDefault="00D13597" w14:paraId="14E73AFB" w14:textId="77777777">
            <w:pPr>
              <w:spacing w:line="276" w:lineRule="auto"/>
              <w:rPr>
                <w:rFonts w:cs="Arial"/>
                <w:sz w:val="24"/>
                <w:szCs w:val="24"/>
              </w:rPr>
            </w:pPr>
            <w:r w:rsidRPr="00196801">
              <w:rPr>
                <w:rFonts w:cs="Arial"/>
                <w:sz w:val="24"/>
                <w:szCs w:val="24"/>
              </w:rPr>
              <w:t>Period dignity</w:t>
            </w:r>
          </w:p>
        </w:tc>
        <w:tc>
          <w:tcPr>
            <w:tcW w:w="1418" w:type="dxa"/>
          </w:tcPr>
          <w:p w:rsidRPr="00196801" w:rsidR="00D13597" w:rsidP="00467472" w:rsidRDefault="00D13597" w14:paraId="05CE7C70" w14:textId="3D62187B">
            <w:pPr>
              <w:spacing w:line="276" w:lineRule="auto"/>
              <w:jc w:val="right"/>
              <w:rPr>
                <w:rFonts w:cs="Arial"/>
                <w:sz w:val="24"/>
                <w:szCs w:val="24"/>
              </w:rPr>
            </w:pPr>
            <w:r w:rsidRPr="00196801">
              <w:rPr>
                <w:rFonts w:cs="Arial"/>
                <w:sz w:val="24"/>
                <w:szCs w:val="24"/>
              </w:rPr>
              <w:t>£</w:t>
            </w:r>
            <w:r w:rsidR="00E2088D">
              <w:rPr>
                <w:rFonts w:cs="Arial"/>
                <w:sz w:val="24"/>
                <w:szCs w:val="24"/>
              </w:rPr>
              <w:t>120,899</w:t>
            </w:r>
          </w:p>
        </w:tc>
      </w:tr>
      <w:tr w:rsidRPr="00196801" w:rsidR="00D13597" w:rsidTr="00467472" w14:paraId="46E0C9D1" w14:textId="77777777">
        <w:tc>
          <w:tcPr>
            <w:tcW w:w="7508" w:type="dxa"/>
          </w:tcPr>
          <w:p w:rsidRPr="00196801" w:rsidR="00D13597" w:rsidP="00467472" w:rsidRDefault="00D13597" w14:paraId="0F294F48" w14:textId="0078DBE5">
            <w:pPr>
              <w:rPr>
                <w:rFonts w:cs="Arial"/>
                <w:sz w:val="24"/>
                <w:szCs w:val="24"/>
              </w:rPr>
            </w:pPr>
            <w:r>
              <w:rPr>
                <w:rFonts w:cs="Arial"/>
                <w:sz w:val="24"/>
                <w:szCs w:val="24"/>
              </w:rPr>
              <w:t>Post 16 Specialist Placements</w:t>
            </w:r>
            <w:r w:rsidR="00F275B1">
              <w:rPr>
                <w:rFonts w:cs="Arial"/>
                <w:sz w:val="24"/>
                <w:szCs w:val="24"/>
              </w:rPr>
              <w:t xml:space="preserve"> (demand Led)</w:t>
            </w:r>
          </w:p>
        </w:tc>
        <w:tc>
          <w:tcPr>
            <w:tcW w:w="1418" w:type="dxa"/>
          </w:tcPr>
          <w:p w:rsidRPr="00196801" w:rsidR="00D13597" w:rsidP="00467472" w:rsidRDefault="00D13597" w14:paraId="3ED32FE2" w14:textId="090026BF">
            <w:pPr>
              <w:jc w:val="right"/>
              <w:rPr>
                <w:rFonts w:cs="Arial"/>
                <w:sz w:val="24"/>
                <w:szCs w:val="24"/>
              </w:rPr>
            </w:pPr>
            <w:r>
              <w:rPr>
                <w:rFonts w:cs="Arial"/>
                <w:sz w:val="24"/>
                <w:szCs w:val="24"/>
              </w:rPr>
              <w:t>£</w:t>
            </w:r>
            <w:r w:rsidR="00F275B1">
              <w:rPr>
                <w:rFonts w:cs="Arial"/>
                <w:sz w:val="24"/>
                <w:szCs w:val="24"/>
              </w:rPr>
              <w:t>50,000</w:t>
            </w:r>
          </w:p>
        </w:tc>
      </w:tr>
      <w:tr w:rsidRPr="00196801" w:rsidR="006D72EB" w:rsidTr="00467472" w14:paraId="4DC23DBD" w14:textId="77777777">
        <w:tc>
          <w:tcPr>
            <w:tcW w:w="7508" w:type="dxa"/>
          </w:tcPr>
          <w:p w:rsidR="006D72EB" w:rsidP="00467472" w:rsidRDefault="006D72EB" w14:paraId="6E2A937F" w14:textId="6DCCA086">
            <w:pPr>
              <w:rPr>
                <w:rFonts w:cs="Arial"/>
                <w:sz w:val="24"/>
                <w:szCs w:val="24"/>
              </w:rPr>
            </w:pPr>
            <w:r>
              <w:rPr>
                <w:rFonts w:cs="Arial"/>
                <w:sz w:val="24"/>
                <w:szCs w:val="24"/>
              </w:rPr>
              <w:t>Transition funding – School Improvement Partnership Programme</w:t>
            </w:r>
          </w:p>
        </w:tc>
        <w:tc>
          <w:tcPr>
            <w:tcW w:w="1418" w:type="dxa"/>
          </w:tcPr>
          <w:p w:rsidR="006D72EB" w:rsidP="00467472" w:rsidRDefault="006D72EB" w14:paraId="726953D6" w14:textId="0224759E">
            <w:pPr>
              <w:jc w:val="right"/>
              <w:rPr>
                <w:rFonts w:cs="Arial"/>
                <w:sz w:val="24"/>
                <w:szCs w:val="24"/>
              </w:rPr>
            </w:pPr>
            <w:r>
              <w:rPr>
                <w:rFonts w:cs="Arial"/>
                <w:sz w:val="24"/>
                <w:szCs w:val="24"/>
              </w:rPr>
              <w:t xml:space="preserve">£130,000 </w:t>
            </w:r>
            <w:proofErr w:type="gramStart"/>
            <w:r>
              <w:rPr>
                <w:rFonts w:cs="Arial"/>
                <w:sz w:val="24"/>
                <w:szCs w:val="24"/>
              </w:rPr>
              <w:t>-  schools</w:t>
            </w:r>
            <w:proofErr w:type="gramEnd"/>
            <w:r>
              <w:rPr>
                <w:rFonts w:cs="Arial"/>
                <w:sz w:val="24"/>
                <w:szCs w:val="24"/>
              </w:rPr>
              <w:t>/central TBC</w:t>
            </w:r>
          </w:p>
        </w:tc>
      </w:tr>
    </w:tbl>
    <w:p w:rsidR="006B5167" w:rsidP="006B5167" w:rsidRDefault="006B5167" w14:paraId="448F3626" w14:textId="55B18837">
      <w:pPr>
        <w:rPr>
          <w:rFonts w:cs="Arial"/>
          <w:b/>
          <w:bCs/>
          <w:sz w:val="24"/>
          <w:szCs w:val="24"/>
          <w:u w:val="single"/>
        </w:rPr>
      </w:pPr>
    </w:p>
    <w:p w:rsidR="00C466BF" w:rsidP="006B5167" w:rsidRDefault="00C466BF" w14:paraId="2B80645A" w14:textId="2BA53966">
      <w:pPr>
        <w:rPr>
          <w:rFonts w:cs="Arial"/>
          <w:b/>
          <w:bCs/>
          <w:sz w:val="24"/>
          <w:szCs w:val="24"/>
          <w:u w:val="single"/>
        </w:rPr>
      </w:pPr>
      <w:r>
        <w:rPr>
          <w:rFonts w:cs="Arial"/>
          <w:b/>
          <w:bCs/>
          <w:sz w:val="24"/>
          <w:szCs w:val="24"/>
          <w:u w:val="single"/>
        </w:rPr>
        <w:t xml:space="preserve">Other funding </w:t>
      </w:r>
      <w:r w:rsidR="00A7103F">
        <w:rPr>
          <w:rFonts w:cs="Arial"/>
          <w:b/>
          <w:bCs/>
          <w:sz w:val="24"/>
          <w:szCs w:val="24"/>
          <w:u w:val="single"/>
        </w:rPr>
        <w:t>from external providers</w:t>
      </w:r>
    </w:p>
    <w:p w:rsidR="00A7103F" w:rsidP="006B5167" w:rsidRDefault="00A7103F" w14:paraId="09D589D0" w14:textId="3092C227">
      <w:pPr>
        <w:rPr>
          <w:rFonts w:cs="Arial"/>
          <w:sz w:val="24"/>
          <w:szCs w:val="24"/>
        </w:rPr>
      </w:pPr>
      <w:r>
        <w:rPr>
          <w:rFonts w:cs="Arial"/>
          <w:sz w:val="24"/>
          <w:szCs w:val="24"/>
        </w:rPr>
        <w:t xml:space="preserve">Finance have been contacted by some external providers, who are allocating </w:t>
      </w:r>
      <w:r w:rsidR="00FB7D9F">
        <w:rPr>
          <w:rFonts w:cs="Arial"/>
          <w:sz w:val="24"/>
          <w:szCs w:val="24"/>
        </w:rPr>
        <w:t>various</w:t>
      </w:r>
      <w:r>
        <w:rPr>
          <w:rFonts w:cs="Arial"/>
          <w:sz w:val="24"/>
          <w:szCs w:val="24"/>
        </w:rPr>
        <w:t xml:space="preserve"> schools funding for supply costs for staff release to attend courses.  These external providers have requested one point of contact with VOG to passport the funds via to ensure that schools receive the funds correctly.  The details below re solely in relation to these providers, this is not the full picture of any other funds schools have secured directly to budget themselves.</w:t>
      </w:r>
    </w:p>
    <w:tbl>
      <w:tblPr>
        <w:tblStyle w:val="TableGrid"/>
        <w:tblW w:w="0" w:type="auto"/>
        <w:tblLayout w:type="fixed"/>
        <w:tblLook w:val="04A0" w:firstRow="1" w:lastRow="0" w:firstColumn="1" w:lastColumn="0" w:noHBand="0" w:noVBand="1"/>
      </w:tblPr>
      <w:tblGrid>
        <w:gridCol w:w="7508"/>
        <w:gridCol w:w="1418"/>
      </w:tblGrid>
      <w:tr w:rsidR="00A7103F" w:rsidTr="00FB7D9F" w14:paraId="409F812D" w14:textId="77777777">
        <w:tc>
          <w:tcPr>
            <w:tcW w:w="7508" w:type="dxa"/>
          </w:tcPr>
          <w:p w:rsidRPr="00A7103F" w:rsidR="00A7103F" w:rsidP="006B5167" w:rsidRDefault="00A7103F" w14:paraId="6F0973DA" w14:textId="1C55928F">
            <w:pPr>
              <w:rPr>
                <w:rFonts w:cs="Arial"/>
                <w:b/>
                <w:bCs/>
                <w:sz w:val="24"/>
                <w:szCs w:val="24"/>
              </w:rPr>
            </w:pPr>
            <w:r w:rsidRPr="00A7103F">
              <w:rPr>
                <w:rFonts w:cs="Arial"/>
                <w:b/>
                <w:bCs/>
                <w:sz w:val="24"/>
                <w:szCs w:val="24"/>
              </w:rPr>
              <w:t>Provider/Funding name</w:t>
            </w:r>
          </w:p>
        </w:tc>
        <w:tc>
          <w:tcPr>
            <w:tcW w:w="1418" w:type="dxa"/>
          </w:tcPr>
          <w:p w:rsidRPr="00A7103F" w:rsidR="00A7103F" w:rsidP="006B5167" w:rsidRDefault="00A7103F" w14:paraId="58AE77A4" w14:textId="1B94B943">
            <w:pPr>
              <w:rPr>
                <w:rFonts w:cs="Arial"/>
                <w:b/>
                <w:bCs/>
                <w:sz w:val="24"/>
                <w:szCs w:val="24"/>
              </w:rPr>
            </w:pPr>
            <w:r w:rsidRPr="00A7103F">
              <w:rPr>
                <w:rFonts w:cs="Arial"/>
                <w:b/>
                <w:bCs/>
                <w:sz w:val="24"/>
                <w:szCs w:val="24"/>
              </w:rPr>
              <w:t>Awarded</w:t>
            </w:r>
          </w:p>
        </w:tc>
      </w:tr>
      <w:tr w:rsidR="00A7103F" w:rsidTr="00FB7D9F" w14:paraId="38DFE1ED" w14:textId="77777777">
        <w:tc>
          <w:tcPr>
            <w:tcW w:w="7508" w:type="dxa"/>
          </w:tcPr>
          <w:p w:rsidR="00A7103F" w:rsidP="006B5167" w:rsidRDefault="00A7103F" w14:paraId="422B7FAD" w14:textId="3C895837">
            <w:pPr>
              <w:rPr>
                <w:rFonts w:cs="Arial"/>
                <w:sz w:val="24"/>
                <w:szCs w:val="24"/>
              </w:rPr>
            </w:pPr>
            <w:r>
              <w:rPr>
                <w:rFonts w:cs="Arial"/>
                <w:sz w:val="24"/>
                <w:szCs w:val="24"/>
              </w:rPr>
              <w:t>Learning Partnership – Primed for Success</w:t>
            </w:r>
          </w:p>
        </w:tc>
        <w:tc>
          <w:tcPr>
            <w:tcW w:w="1418" w:type="dxa"/>
          </w:tcPr>
          <w:p w:rsidR="00A7103F" w:rsidP="006B5167" w:rsidRDefault="00FB7D9F" w14:paraId="19CDF202" w14:textId="62543C6B">
            <w:pPr>
              <w:rPr>
                <w:rFonts w:cs="Arial"/>
                <w:sz w:val="24"/>
                <w:szCs w:val="24"/>
              </w:rPr>
            </w:pPr>
            <w:r>
              <w:rPr>
                <w:rFonts w:cs="Arial"/>
                <w:sz w:val="24"/>
                <w:szCs w:val="24"/>
              </w:rPr>
              <w:t>£8,730</w:t>
            </w:r>
          </w:p>
        </w:tc>
      </w:tr>
      <w:tr w:rsidR="00A7103F" w:rsidTr="00FB7D9F" w14:paraId="0542EB66" w14:textId="77777777">
        <w:tc>
          <w:tcPr>
            <w:tcW w:w="7508" w:type="dxa"/>
          </w:tcPr>
          <w:p w:rsidR="00A7103F" w:rsidP="006B5167" w:rsidRDefault="00FB7D9F" w14:paraId="7FEB128B" w14:textId="66652DD2">
            <w:pPr>
              <w:rPr>
                <w:rFonts w:cs="Arial"/>
                <w:sz w:val="24"/>
                <w:szCs w:val="24"/>
              </w:rPr>
            </w:pPr>
            <w:r>
              <w:rPr>
                <w:rFonts w:cs="Arial"/>
                <w:sz w:val="24"/>
                <w:szCs w:val="24"/>
              </w:rPr>
              <w:t>National Centre for Learning Welsh</w:t>
            </w:r>
          </w:p>
        </w:tc>
        <w:tc>
          <w:tcPr>
            <w:tcW w:w="1418" w:type="dxa"/>
          </w:tcPr>
          <w:p w:rsidR="00A7103F" w:rsidP="006B5167" w:rsidRDefault="00FB7D9F" w14:paraId="78334957" w14:textId="709FEA9A">
            <w:pPr>
              <w:rPr>
                <w:rFonts w:cs="Arial"/>
                <w:sz w:val="24"/>
                <w:szCs w:val="24"/>
              </w:rPr>
            </w:pPr>
            <w:r>
              <w:rPr>
                <w:rFonts w:cs="Arial"/>
                <w:sz w:val="24"/>
                <w:szCs w:val="24"/>
              </w:rPr>
              <w:t>£8,400</w:t>
            </w:r>
          </w:p>
        </w:tc>
      </w:tr>
    </w:tbl>
    <w:p w:rsidR="00A7103F" w:rsidP="006B5167" w:rsidRDefault="00A7103F" w14:paraId="1EF1796F" w14:textId="77777777">
      <w:pPr>
        <w:rPr>
          <w:rFonts w:cs="Arial"/>
          <w:sz w:val="24"/>
          <w:szCs w:val="24"/>
        </w:rPr>
      </w:pPr>
    </w:p>
    <w:p w:rsidR="009A743E" w:rsidP="006B5167" w:rsidRDefault="009A743E" w14:paraId="3A0DF1CB" w14:textId="77777777">
      <w:pPr>
        <w:rPr>
          <w:rFonts w:cs="Arial"/>
          <w:sz w:val="24"/>
          <w:szCs w:val="24"/>
        </w:rPr>
      </w:pPr>
    </w:p>
    <w:p w:rsidR="009A743E" w:rsidP="006B5167" w:rsidRDefault="009A743E" w14:paraId="44168A06" w14:textId="77777777">
      <w:pPr>
        <w:rPr>
          <w:rFonts w:cs="Arial"/>
          <w:sz w:val="24"/>
          <w:szCs w:val="24"/>
        </w:rPr>
      </w:pPr>
    </w:p>
    <w:p w:rsidR="009A743E" w:rsidP="006B5167" w:rsidRDefault="009A743E" w14:paraId="07603FAB" w14:textId="77777777">
      <w:pPr>
        <w:rPr>
          <w:rFonts w:cs="Arial"/>
          <w:sz w:val="24"/>
          <w:szCs w:val="24"/>
        </w:rPr>
      </w:pPr>
    </w:p>
    <w:p w:rsidR="009A743E" w:rsidP="009A743E" w:rsidRDefault="009A743E" w14:paraId="6A84412C" w14:textId="58553075">
      <w:pPr>
        <w:jc w:val="both"/>
        <w:rPr>
          <w:rFonts w:cs="Arial"/>
          <w:b/>
          <w:bCs/>
          <w:sz w:val="24"/>
          <w:szCs w:val="24"/>
          <w:u w:val="single"/>
        </w:rPr>
      </w:pPr>
      <w:proofErr w:type="gramStart"/>
      <w:r>
        <w:rPr>
          <w:rFonts w:cs="Arial"/>
          <w:b/>
          <w:bCs/>
          <w:sz w:val="24"/>
          <w:szCs w:val="24"/>
          <w:u w:val="single"/>
        </w:rPr>
        <w:lastRenderedPageBreak/>
        <w:t>Grants</w:t>
      </w:r>
      <w:proofErr w:type="gramEnd"/>
      <w:r>
        <w:rPr>
          <w:rFonts w:cs="Arial"/>
          <w:b/>
          <w:bCs/>
          <w:sz w:val="24"/>
          <w:szCs w:val="24"/>
          <w:u w:val="single"/>
        </w:rPr>
        <w:t xml:space="preserve"> updates for 2026/27 Financial year</w:t>
      </w:r>
    </w:p>
    <w:p w:rsidR="009A743E" w:rsidP="009A743E" w:rsidRDefault="009A743E" w14:paraId="0B1013F6" w14:textId="79825E0C">
      <w:pPr>
        <w:jc w:val="both"/>
        <w:rPr>
          <w:rFonts w:cs="Arial"/>
          <w:sz w:val="24"/>
          <w:szCs w:val="24"/>
        </w:rPr>
      </w:pPr>
      <w:r>
        <w:rPr>
          <w:rFonts w:cs="Arial"/>
          <w:sz w:val="24"/>
          <w:szCs w:val="24"/>
        </w:rPr>
        <w:t xml:space="preserve">We are awaiting the Welsh Government grants allocations for </w:t>
      </w:r>
      <w:proofErr w:type="gramStart"/>
      <w:r>
        <w:rPr>
          <w:rFonts w:cs="Arial"/>
          <w:sz w:val="24"/>
          <w:szCs w:val="24"/>
        </w:rPr>
        <w:t>26/2</w:t>
      </w:r>
      <w:r w:rsidR="00A60686">
        <w:rPr>
          <w:rFonts w:cs="Arial"/>
          <w:sz w:val="24"/>
          <w:szCs w:val="24"/>
        </w:rPr>
        <w:t>7</w:t>
      </w:r>
      <w:r>
        <w:rPr>
          <w:rFonts w:cs="Arial"/>
          <w:sz w:val="24"/>
          <w:szCs w:val="24"/>
        </w:rPr>
        <w:t>,</w:t>
      </w:r>
      <w:proofErr w:type="gramEnd"/>
      <w:r>
        <w:rPr>
          <w:rFonts w:cs="Arial"/>
          <w:sz w:val="24"/>
          <w:szCs w:val="24"/>
        </w:rPr>
        <w:t xml:space="preserve"> these are likely to start to arrive from late January 2026 and schools will be updated once these are available to allow SFS Officers to accurately build the new year budgets.</w:t>
      </w:r>
    </w:p>
    <w:p w:rsidR="009A743E" w:rsidP="009A743E" w:rsidRDefault="009A743E" w14:paraId="34896EF4" w14:textId="324B6FA1">
      <w:pPr>
        <w:jc w:val="both"/>
        <w:rPr>
          <w:rFonts w:cs="Arial"/>
          <w:sz w:val="24"/>
          <w:szCs w:val="24"/>
        </w:rPr>
      </w:pPr>
      <w:r>
        <w:rPr>
          <w:rFonts w:cs="Arial"/>
          <w:sz w:val="24"/>
          <w:szCs w:val="24"/>
        </w:rPr>
        <w:t>We have been advised that WG have made available to LA’s the following:</w:t>
      </w:r>
    </w:p>
    <w:p w:rsidR="009A743E" w:rsidP="009A743E" w:rsidRDefault="009A743E" w14:paraId="6CB6D889" w14:textId="20E675A5">
      <w:pPr>
        <w:pStyle w:val="ListParagraph"/>
        <w:numPr>
          <w:ilvl w:val="0"/>
          <w:numId w:val="11"/>
        </w:numPr>
        <w:jc w:val="both"/>
        <w:rPr>
          <w:rFonts w:cs="Arial"/>
          <w:sz w:val="24"/>
          <w:szCs w:val="24"/>
        </w:rPr>
      </w:pPr>
      <w:r w:rsidRPr="009A743E">
        <w:rPr>
          <w:rFonts w:cs="Arial"/>
          <w:sz w:val="24"/>
          <w:szCs w:val="24"/>
        </w:rPr>
        <w:t xml:space="preserve">£14.5m has been allocated </w:t>
      </w:r>
      <w:r>
        <w:rPr>
          <w:rFonts w:cs="Arial"/>
          <w:sz w:val="24"/>
          <w:szCs w:val="24"/>
        </w:rPr>
        <w:t>via</w:t>
      </w:r>
      <w:r w:rsidRPr="009A743E">
        <w:rPr>
          <w:rFonts w:cs="Arial"/>
          <w:sz w:val="24"/>
          <w:szCs w:val="24"/>
        </w:rPr>
        <w:t xml:space="preserve"> </w:t>
      </w:r>
      <w:proofErr w:type="spellStart"/>
      <w:r w:rsidRPr="009A743E">
        <w:rPr>
          <w:rFonts w:cs="Arial"/>
          <w:sz w:val="24"/>
          <w:szCs w:val="24"/>
        </w:rPr>
        <w:t>Medr</w:t>
      </w:r>
      <w:proofErr w:type="spellEnd"/>
      <w:r w:rsidRPr="009A743E">
        <w:rPr>
          <w:rFonts w:cs="Arial"/>
          <w:sz w:val="24"/>
          <w:szCs w:val="24"/>
        </w:rPr>
        <w:t xml:space="preserve"> to support Further Education colleges and sixth forms</w:t>
      </w:r>
    </w:p>
    <w:p w:rsidR="009A743E" w:rsidP="009A743E" w:rsidRDefault="009A743E" w14:paraId="2A89EFD4" w14:textId="053A4893">
      <w:pPr>
        <w:pStyle w:val="ListParagraph"/>
        <w:numPr>
          <w:ilvl w:val="0"/>
          <w:numId w:val="11"/>
        </w:numPr>
        <w:jc w:val="both"/>
        <w:rPr>
          <w:rFonts w:cs="Arial"/>
          <w:sz w:val="24"/>
          <w:szCs w:val="24"/>
        </w:rPr>
      </w:pPr>
      <w:r>
        <w:rPr>
          <w:rFonts w:cs="Arial"/>
          <w:sz w:val="24"/>
          <w:szCs w:val="24"/>
        </w:rPr>
        <w:t>£15.5m to support the 25/26 public sector pay awards and NIC costs</w:t>
      </w:r>
    </w:p>
    <w:p w:rsidR="009A743E" w:rsidP="009A743E" w:rsidRDefault="009A743E" w14:paraId="6CEDA2CF" w14:textId="77777777">
      <w:pPr>
        <w:pStyle w:val="ListParagraph"/>
        <w:numPr>
          <w:ilvl w:val="0"/>
          <w:numId w:val="11"/>
        </w:numPr>
        <w:jc w:val="both"/>
        <w:rPr>
          <w:rFonts w:cs="Arial"/>
          <w:sz w:val="24"/>
          <w:szCs w:val="24"/>
        </w:rPr>
      </w:pPr>
      <w:r>
        <w:rPr>
          <w:rFonts w:cs="Arial"/>
          <w:sz w:val="24"/>
          <w:szCs w:val="24"/>
        </w:rPr>
        <w:t>£418.6m via the LAEG for School Standards, Equity, Reform and Cymraeg 2050, which is an increase of 4%</w:t>
      </w:r>
    </w:p>
    <w:p w:rsidR="00A60686" w:rsidP="009A743E" w:rsidRDefault="009A743E" w14:paraId="38A221EA" w14:textId="77777777">
      <w:pPr>
        <w:pStyle w:val="ListParagraph"/>
        <w:numPr>
          <w:ilvl w:val="0"/>
          <w:numId w:val="11"/>
        </w:numPr>
        <w:jc w:val="both"/>
        <w:rPr>
          <w:rFonts w:cs="Arial"/>
          <w:sz w:val="24"/>
          <w:szCs w:val="24"/>
        </w:rPr>
      </w:pPr>
      <w:r>
        <w:rPr>
          <w:rFonts w:cs="Arial"/>
          <w:sz w:val="24"/>
          <w:szCs w:val="24"/>
        </w:rPr>
        <w:t>£8.9m further funding via LAEG to support raising of school standards to support Foundation</w:t>
      </w:r>
      <w:r w:rsidR="00A60686">
        <w:rPr>
          <w:rFonts w:cs="Arial"/>
          <w:sz w:val="24"/>
          <w:szCs w:val="24"/>
        </w:rPr>
        <w:t xml:space="preserve"> learning</w:t>
      </w:r>
    </w:p>
    <w:p w:rsidR="009A743E" w:rsidP="009A743E" w:rsidRDefault="00A60686" w14:paraId="4EB41CD0" w14:textId="3504D8B8">
      <w:pPr>
        <w:pStyle w:val="ListParagraph"/>
        <w:numPr>
          <w:ilvl w:val="0"/>
          <w:numId w:val="11"/>
        </w:numPr>
        <w:jc w:val="both"/>
        <w:rPr>
          <w:rFonts w:cs="Arial"/>
          <w:sz w:val="24"/>
          <w:szCs w:val="24"/>
        </w:rPr>
      </w:pPr>
      <w:r>
        <w:rPr>
          <w:rFonts w:cs="Arial"/>
          <w:sz w:val="24"/>
          <w:szCs w:val="24"/>
        </w:rPr>
        <w:t>£2.5m additional funding via LAEG to support attendance</w:t>
      </w:r>
      <w:r w:rsidR="009A743E">
        <w:rPr>
          <w:rFonts w:cs="Arial"/>
          <w:sz w:val="24"/>
          <w:szCs w:val="24"/>
        </w:rPr>
        <w:t xml:space="preserve"> </w:t>
      </w:r>
    </w:p>
    <w:p w:rsidR="00A60686" w:rsidP="00A60686" w:rsidRDefault="00A60686" w14:paraId="72B646FE" w14:textId="6E6122A2">
      <w:pPr>
        <w:pStyle w:val="ListParagraph"/>
        <w:numPr>
          <w:ilvl w:val="0"/>
          <w:numId w:val="11"/>
        </w:numPr>
        <w:jc w:val="both"/>
        <w:rPr>
          <w:rFonts w:cs="Arial"/>
          <w:sz w:val="24"/>
          <w:szCs w:val="24"/>
        </w:rPr>
      </w:pPr>
      <w:r>
        <w:rPr>
          <w:rFonts w:cs="Arial"/>
          <w:sz w:val="24"/>
          <w:szCs w:val="24"/>
        </w:rPr>
        <w:t>£5m extra funding for ALN to support schools, settings and LA’s</w:t>
      </w:r>
    </w:p>
    <w:p w:rsidRPr="00A60686" w:rsidR="00A60686" w:rsidP="00A60686" w:rsidRDefault="00A60686" w14:paraId="3D05F8E7" w14:textId="54B99529">
      <w:pPr>
        <w:jc w:val="both"/>
        <w:rPr>
          <w:rFonts w:cs="Arial"/>
          <w:sz w:val="24"/>
          <w:szCs w:val="24"/>
        </w:rPr>
      </w:pPr>
      <w:r>
        <w:rPr>
          <w:rFonts w:cs="Arial"/>
          <w:sz w:val="24"/>
          <w:szCs w:val="24"/>
        </w:rPr>
        <w:t>How this will look for the LA with regards to allocations will be seen in the coming months once WG release our allocations.</w:t>
      </w:r>
    </w:p>
    <w:p w:rsidRPr="00A7103F" w:rsidR="009A743E" w:rsidP="006B5167" w:rsidRDefault="009A743E" w14:paraId="1671253A" w14:textId="77777777">
      <w:pPr>
        <w:rPr>
          <w:rFonts w:cs="Arial"/>
          <w:sz w:val="24"/>
          <w:szCs w:val="24"/>
        </w:rPr>
      </w:pPr>
    </w:p>
    <w:sectPr w:rsidRPr="00A7103F" w:rsidR="009A74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EB302" w14:textId="77777777" w:rsidR="006F5D18" w:rsidRDefault="006F5D18" w:rsidP="0000756F">
      <w:pPr>
        <w:spacing w:after="0" w:line="240" w:lineRule="auto"/>
      </w:pPr>
      <w:r>
        <w:separator/>
      </w:r>
    </w:p>
  </w:endnote>
  <w:endnote w:type="continuationSeparator" w:id="0">
    <w:p w14:paraId="7229E966" w14:textId="77777777" w:rsidR="006F5D18" w:rsidRDefault="006F5D18" w:rsidP="00007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B4ACA" w14:textId="77777777" w:rsidR="006F5D18" w:rsidRDefault="006F5D18" w:rsidP="0000756F">
      <w:pPr>
        <w:spacing w:after="0" w:line="240" w:lineRule="auto"/>
      </w:pPr>
      <w:r>
        <w:separator/>
      </w:r>
    </w:p>
  </w:footnote>
  <w:footnote w:type="continuationSeparator" w:id="0">
    <w:p w14:paraId="0096C7DE" w14:textId="77777777" w:rsidR="006F5D18" w:rsidRDefault="006F5D18" w:rsidP="000075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736"/>
    <w:multiLevelType w:val="hybridMultilevel"/>
    <w:tmpl w:val="BABC5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50DBC"/>
    <w:multiLevelType w:val="hybridMultilevel"/>
    <w:tmpl w:val="47B0A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67B59FA"/>
    <w:multiLevelType w:val="hybridMultilevel"/>
    <w:tmpl w:val="1070E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FE695B"/>
    <w:multiLevelType w:val="hybridMultilevel"/>
    <w:tmpl w:val="156AE9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02C15C6"/>
    <w:multiLevelType w:val="hybridMultilevel"/>
    <w:tmpl w:val="18EA2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8D473F"/>
    <w:multiLevelType w:val="hybridMultilevel"/>
    <w:tmpl w:val="3C0E4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874B85"/>
    <w:multiLevelType w:val="hybridMultilevel"/>
    <w:tmpl w:val="BF04B74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 w15:restartNumberingAfterBreak="0">
    <w:nsid w:val="6AB62746"/>
    <w:multiLevelType w:val="hybridMultilevel"/>
    <w:tmpl w:val="F806C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F33529"/>
    <w:multiLevelType w:val="hybridMultilevel"/>
    <w:tmpl w:val="5F7A5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79699546">
    <w:abstractNumId w:val="5"/>
  </w:num>
  <w:num w:numId="2" w16cid:durableId="206376959">
    <w:abstractNumId w:val="8"/>
  </w:num>
  <w:num w:numId="3" w16cid:durableId="759910629">
    <w:abstractNumId w:val="1"/>
  </w:num>
  <w:num w:numId="4" w16cid:durableId="2076972240">
    <w:abstractNumId w:val="7"/>
  </w:num>
  <w:num w:numId="5" w16cid:durableId="1197036694">
    <w:abstractNumId w:val="3"/>
  </w:num>
  <w:num w:numId="6" w16cid:durableId="1322005915">
    <w:abstractNumId w:val="1"/>
  </w:num>
  <w:num w:numId="7" w16cid:durableId="1167593905">
    <w:abstractNumId w:val="4"/>
  </w:num>
  <w:num w:numId="8" w16cid:durableId="1744378304">
    <w:abstractNumId w:val="8"/>
  </w:num>
  <w:num w:numId="9" w16cid:durableId="148064665">
    <w:abstractNumId w:val="2"/>
  </w:num>
  <w:num w:numId="10" w16cid:durableId="2117172629">
    <w:abstractNumId w:val="0"/>
  </w:num>
  <w:num w:numId="11" w16cid:durableId="14668956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47"/>
    <w:rsid w:val="0000756F"/>
    <w:rsid w:val="00031D37"/>
    <w:rsid w:val="000563C1"/>
    <w:rsid w:val="000616CA"/>
    <w:rsid w:val="00067D16"/>
    <w:rsid w:val="00073EC5"/>
    <w:rsid w:val="00092E2D"/>
    <w:rsid w:val="00095F66"/>
    <w:rsid w:val="00096E6C"/>
    <w:rsid w:val="000A2DF5"/>
    <w:rsid w:val="000B12DC"/>
    <w:rsid w:val="000B6BE0"/>
    <w:rsid w:val="000E0F1F"/>
    <w:rsid w:val="00133E47"/>
    <w:rsid w:val="00174A3E"/>
    <w:rsid w:val="0019405B"/>
    <w:rsid w:val="00196801"/>
    <w:rsid w:val="001B073A"/>
    <w:rsid w:val="001C1170"/>
    <w:rsid w:val="001C6BEE"/>
    <w:rsid w:val="001D0D8C"/>
    <w:rsid w:val="001E25AC"/>
    <w:rsid w:val="00202BD3"/>
    <w:rsid w:val="00222355"/>
    <w:rsid w:val="0022256F"/>
    <w:rsid w:val="00224297"/>
    <w:rsid w:val="00241A65"/>
    <w:rsid w:val="00241B07"/>
    <w:rsid w:val="002B4157"/>
    <w:rsid w:val="002C4DC2"/>
    <w:rsid w:val="002F2882"/>
    <w:rsid w:val="002F42A1"/>
    <w:rsid w:val="003049FA"/>
    <w:rsid w:val="003321DA"/>
    <w:rsid w:val="00336E78"/>
    <w:rsid w:val="00341F41"/>
    <w:rsid w:val="00360AA9"/>
    <w:rsid w:val="003751DA"/>
    <w:rsid w:val="00392059"/>
    <w:rsid w:val="003A5D82"/>
    <w:rsid w:val="003B10A0"/>
    <w:rsid w:val="003D5780"/>
    <w:rsid w:val="003E6C28"/>
    <w:rsid w:val="003F4ACA"/>
    <w:rsid w:val="00426C69"/>
    <w:rsid w:val="00427716"/>
    <w:rsid w:val="00442AAA"/>
    <w:rsid w:val="0046620F"/>
    <w:rsid w:val="00470A73"/>
    <w:rsid w:val="004A0D80"/>
    <w:rsid w:val="004B016C"/>
    <w:rsid w:val="004B188B"/>
    <w:rsid w:val="004D676C"/>
    <w:rsid w:val="004F3461"/>
    <w:rsid w:val="00501ED4"/>
    <w:rsid w:val="005173E9"/>
    <w:rsid w:val="00552327"/>
    <w:rsid w:val="00555DF6"/>
    <w:rsid w:val="00564C62"/>
    <w:rsid w:val="00581777"/>
    <w:rsid w:val="00584341"/>
    <w:rsid w:val="005A5D23"/>
    <w:rsid w:val="005D7703"/>
    <w:rsid w:val="005E51DB"/>
    <w:rsid w:val="0063689C"/>
    <w:rsid w:val="00645120"/>
    <w:rsid w:val="006952E4"/>
    <w:rsid w:val="006B5167"/>
    <w:rsid w:val="006D72EB"/>
    <w:rsid w:val="006F277B"/>
    <w:rsid w:val="006F3736"/>
    <w:rsid w:val="006F5D18"/>
    <w:rsid w:val="00710E30"/>
    <w:rsid w:val="007273D3"/>
    <w:rsid w:val="00727CCB"/>
    <w:rsid w:val="00735A54"/>
    <w:rsid w:val="00763965"/>
    <w:rsid w:val="00775A24"/>
    <w:rsid w:val="007E01F2"/>
    <w:rsid w:val="007F3272"/>
    <w:rsid w:val="00804B47"/>
    <w:rsid w:val="00813F3B"/>
    <w:rsid w:val="0081493B"/>
    <w:rsid w:val="008555D4"/>
    <w:rsid w:val="00857373"/>
    <w:rsid w:val="00873B28"/>
    <w:rsid w:val="00891197"/>
    <w:rsid w:val="008B4138"/>
    <w:rsid w:val="008C1CFB"/>
    <w:rsid w:val="008E08C8"/>
    <w:rsid w:val="008E2355"/>
    <w:rsid w:val="00916A0C"/>
    <w:rsid w:val="0092034B"/>
    <w:rsid w:val="0093281B"/>
    <w:rsid w:val="009461A8"/>
    <w:rsid w:val="00960F6A"/>
    <w:rsid w:val="00973815"/>
    <w:rsid w:val="00980C46"/>
    <w:rsid w:val="009A743E"/>
    <w:rsid w:val="009B5DAA"/>
    <w:rsid w:val="009B7F7A"/>
    <w:rsid w:val="009C4019"/>
    <w:rsid w:val="009D497A"/>
    <w:rsid w:val="00A40199"/>
    <w:rsid w:val="00A60686"/>
    <w:rsid w:val="00A7103F"/>
    <w:rsid w:val="00A85DEA"/>
    <w:rsid w:val="00A91BC8"/>
    <w:rsid w:val="00AA575A"/>
    <w:rsid w:val="00AD4161"/>
    <w:rsid w:val="00AE3CAF"/>
    <w:rsid w:val="00AF3EFA"/>
    <w:rsid w:val="00AF4602"/>
    <w:rsid w:val="00B17880"/>
    <w:rsid w:val="00B22BF6"/>
    <w:rsid w:val="00B22EF4"/>
    <w:rsid w:val="00B64D9B"/>
    <w:rsid w:val="00B81A77"/>
    <w:rsid w:val="00B91473"/>
    <w:rsid w:val="00BB5B51"/>
    <w:rsid w:val="00BD34BF"/>
    <w:rsid w:val="00BD7D59"/>
    <w:rsid w:val="00BE328B"/>
    <w:rsid w:val="00BE4DC4"/>
    <w:rsid w:val="00BE6550"/>
    <w:rsid w:val="00C37C14"/>
    <w:rsid w:val="00C42F1E"/>
    <w:rsid w:val="00C466BF"/>
    <w:rsid w:val="00C51F1D"/>
    <w:rsid w:val="00C54265"/>
    <w:rsid w:val="00C82459"/>
    <w:rsid w:val="00C97D08"/>
    <w:rsid w:val="00CC04F4"/>
    <w:rsid w:val="00D015A5"/>
    <w:rsid w:val="00D0279A"/>
    <w:rsid w:val="00D13597"/>
    <w:rsid w:val="00D15511"/>
    <w:rsid w:val="00D658B9"/>
    <w:rsid w:val="00DA3699"/>
    <w:rsid w:val="00DB1E08"/>
    <w:rsid w:val="00DE143B"/>
    <w:rsid w:val="00E11EAF"/>
    <w:rsid w:val="00E2088D"/>
    <w:rsid w:val="00E5006F"/>
    <w:rsid w:val="00E5561A"/>
    <w:rsid w:val="00E63418"/>
    <w:rsid w:val="00E63FFC"/>
    <w:rsid w:val="00E83C95"/>
    <w:rsid w:val="00EB2686"/>
    <w:rsid w:val="00EC00C8"/>
    <w:rsid w:val="00F16725"/>
    <w:rsid w:val="00F16988"/>
    <w:rsid w:val="00F275B1"/>
    <w:rsid w:val="00F30ED9"/>
    <w:rsid w:val="00F319D9"/>
    <w:rsid w:val="00F366D4"/>
    <w:rsid w:val="00F45CC5"/>
    <w:rsid w:val="00F6594B"/>
    <w:rsid w:val="00F66EF2"/>
    <w:rsid w:val="00F77A77"/>
    <w:rsid w:val="00FA6972"/>
    <w:rsid w:val="00FB1D89"/>
    <w:rsid w:val="00FB7D9F"/>
    <w:rsid w:val="00FC30FC"/>
    <w:rsid w:val="00FC58AB"/>
    <w:rsid w:val="00FC6A47"/>
    <w:rsid w:val="00FD169E"/>
    <w:rsid w:val="00FD5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7B73F"/>
  <w15:chartTrackingRefBased/>
  <w15:docId w15:val="{79FBB78E-0EF6-44A4-ABF0-1250984C2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C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B47"/>
    <w:pPr>
      <w:ind w:left="720"/>
      <w:contextualSpacing/>
    </w:pPr>
  </w:style>
  <w:style w:type="character" w:styleId="Hyperlink">
    <w:name w:val="Hyperlink"/>
    <w:basedOn w:val="DefaultParagraphFont"/>
    <w:uiPriority w:val="99"/>
    <w:semiHidden/>
    <w:unhideWhenUsed/>
    <w:rsid w:val="00F45CC5"/>
    <w:rPr>
      <w:color w:val="0000FF"/>
      <w:u w:val="single"/>
    </w:rPr>
  </w:style>
  <w:style w:type="table" w:styleId="TableGrid">
    <w:name w:val="Table Grid"/>
    <w:basedOn w:val="TableNormal"/>
    <w:uiPriority w:val="59"/>
    <w:rsid w:val="00DB1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5DAA"/>
    <w:pPr>
      <w:autoSpaceDE w:val="0"/>
      <w:autoSpaceDN w:val="0"/>
      <w:adjustRightInd w:val="0"/>
      <w:spacing w:after="0" w:line="240" w:lineRule="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80929">
      <w:bodyDiv w:val="1"/>
      <w:marLeft w:val="0"/>
      <w:marRight w:val="0"/>
      <w:marTop w:val="0"/>
      <w:marBottom w:val="0"/>
      <w:divBdr>
        <w:top w:val="none" w:sz="0" w:space="0" w:color="auto"/>
        <w:left w:val="none" w:sz="0" w:space="0" w:color="auto"/>
        <w:bottom w:val="none" w:sz="0" w:space="0" w:color="auto"/>
        <w:right w:val="none" w:sz="0" w:space="0" w:color="auto"/>
      </w:divBdr>
    </w:div>
    <w:div w:id="271012383">
      <w:bodyDiv w:val="1"/>
      <w:marLeft w:val="0"/>
      <w:marRight w:val="0"/>
      <w:marTop w:val="0"/>
      <w:marBottom w:val="0"/>
      <w:divBdr>
        <w:top w:val="none" w:sz="0" w:space="0" w:color="auto"/>
        <w:left w:val="none" w:sz="0" w:space="0" w:color="auto"/>
        <w:bottom w:val="none" w:sz="0" w:space="0" w:color="auto"/>
        <w:right w:val="none" w:sz="0" w:space="0" w:color="auto"/>
      </w:divBdr>
    </w:div>
    <w:div w:id="423646093">
      <w:bodyDiv w:val="1"/>
      <w:marLeft w:val="0"/>
      <w:marRight w:val="0"/>
      <w:marTop w:val="0"/>
      <w:marBottom w:val="0"/>
      <w:divBdr>
        <w:top w:val="none" w:sz="0" w:space="0" w:color="auto"/>
        <w:left w:val="none" w:sz="0" w:space="0" w:color="auto"/>
        <w:bottom w:val="none" w:sz="0" w:space="0" w:color="auto"/>
        <w:right w:val="none" w:sz="0" w:space="0" w:color="auto"/>
      </w:divBdr>
    </w:div>
    <w:div w:id="424112281">
      <w:bodyDiv w:val="1"/>
      <w:marLeft w:val="0"/>
      <w:marRight w:val="0"/>
      <w:marTop w:val="0"/>
      <w:marBottom w:val="0"/>
      <w:divBdr>
        <w:top w:val="none" w:sz="0" w:space="0" w:color="auto"/>
        <w:left w:val="none" w:sz="0" w:space="0" w:color="auto"/>
        <w:bottom w:val="none" w:sz="0" w:space="0" w:color="auto"/>
        <w:right w:val="none" w:sz="0" w:space="0" w:color="auto"/>
      </w:divBdr>
    </w:div>
    <w:div w:id="430468842">
      <w:bodyDiv w:val="1"/>
      <w:marLeft w:val="0"/>
      <w:marRight w:val="0"/>
      <w:marTop w:val="0"/>
      <w:marBottom w:val="0"/>
      <w:divBdr>
        <w:top w:val="none" w:sz="0" w:space="0" w:color="auto"/>
        <w:left w:val="none" w:sz="0" w:space="0" w:color="auto"/>
        <w:bottom w:val="none" w:sz="0" w:space="0" w:color="auto"/>
        <w:right w:val="none" w:sz="0" w:space="0" w:color="auto"/>
      </w:divBdr>
    </w:div>
    <w:div w:id="785345506">
      <w:bodyDiv w:val="1"/>
      <w:marLeft w:val="0"/>
      <w:marRight w:val="0"/>
      <w:marTop w:val="0"/>
      <w:marBottom w:val="0"/>
      <w:divBdr>
        <w:top w:val="none" w:sz="0" w:space="0" w:color="auto"/>
        <w:left w:val="none" w:sz="0" w:space="0" w:color="auto"/>
        <w:bottom w:val="none" w:sz="0" w:space="0" w:color="auto"/>
        <w:right w:val="none" w:sz="0" w:space="0" w:color="auto"/>
      </w:divBdr>
    </w:div>
    <w:div w:id="863441534">
      <w:bodyDiv w:val="1"/>
      <w:marLeft w:val="0"/>
      <w:marRight w:val="0"/>
      <w:marTop w:val="0"/>
      <w:marBottom w:val="0"/>
      <w:divBdr>
        <w:top w:val="none" w:sz="0" w:space="0" w:color="auto"/>
        <w:left w:val="none" w:sz="0" w:space="0" w:color="auto"/>
        <w:bottom w:val="none" w:sz="0" w:space="0" w:color="auto"/>
        <w:right w:val="none" w:sz="0" w:space="0" w:color="auto"/>
      </w:divBdr>
    </w:div>
    <w:div w:id="895121697">
      <w:bodyDiv w:val="1"/>
      <w:marLeft w:val="0"/>
      <w:marRight w:val="0"/>
      <w:marTop w:val="0"/>
      <w:marBottom w:val="0"/>
      <w:divBdr>
        <w:top w:val="none" w:sz="0" w:space="0" w:color="auto"/>
        <w:left w:val="none" w:sz="0" w:space="0" w:color="auto"/>
        <w:bottom w:val="none" w:sz="0" w:space="0" w:color="auto"/>
        <w:right w:val="none" w:sz="0" w:space="0" w:color="auto"/>
      </w:divBdr>
    </w:div>
    <w:div w:id="897983344">
      <w:bodyDiv w:val="1"/>
      <w:marLeft w:val="0"/>
      <w:marRight w:val="0"/>
      <w:marTop w:val="0"/>
      <w:marBottom w:val="0"/>
      <w:divBdr>
        <w:top w:val="none" w:sz="0" w:space="0" w:color="auto"/>
        <w:left w:val="none" w:sz="0" w:space="0" w:color="auto"/>
        <w:bottom w:val="none" w:sz="0" w:space="0" w:color="auto"/>
        <w:right w:val="none" w:sz="0" w:space="0" w:color="auto"/>
      </w:divBdr>
    </w:div>
    <w:div w:id="904140555">
      <w:bodyDiv w:val="1"/>
      <w:marLeft w:val="0"/>
      <w:marRight w:val="0"/>
      <w:marTop w:val="0"/>
      <w:marBottom w:val="0"/>
      <w:divBdr>
        <w:top w:val="none" w:sz="0" w:space="0" w:color="auto"/>
        <w:left w:val="none" w:sz="0" w:space="0" w:color="auto"/>
        <w:bottom w:val="none" w:sz="0" w:space="0" w:color="auto"/>
        <w:right w:val="none" w:sz="0" w:space="0" w:color="auto"/>
      </w:divBdr>
    </w:div>
    <w:div w:id="1035041278">
      <w:bodyDiv w:val="1"/>
      <w:marLeft w:val="0"/>
      <w:marRight w:val="0"/>
      <w:marTop w:val="0"/>
      <w:marBottom w:val="0"/>
      <w:divBdr>
        <w:top w:val="none" w:sz="0" w:space="0" w:color="auto"/>
        <w:left w:val="none" w:sz="0" w:space="0" w:color="auto"/>
        <w:bottom w:val="none" w:sz="0" w:space="0" w:color="auto"/>
        <w:right w:val="none" w:sz="0" w:space="0" w:color="auto"/>
      </w:divBdr>
    </w:div>
    <w:div w:id="1266038178">
      <w:bodyDiv w:val="1"/>
      <w:marLeft w:val="0"/>
      <w:marRight w:val="0"/>
      <w:marTop w:val="0"/>
      <w:marBottom w:val="0"/>
      <w:divBdr>
        <w:top w:val="none" w:sz="0" w:space="0" w:color="auto"/>
        <w:left w:val="none" w:sz="0" w:space="0" w:color="auto"/>
        <w:bottom w:val="none" w:sz="0" w:space="0" w:color="auto"/>
        <w:right w:val="none" w:sz="0" w:space="0" w:color="auto"/>
      </w:divBdr>
    </w:div>
    <w:div w:id="1371998471">
      <w:bodyDiv w:val="1"/>
      <w:marLeft w:val="0"/>
      <w:marRight w:val="0"/>
      <w:marTop w:val="0"/>
      <w:marBottom w:val="0"/>
      <w:divBdr>
        <w:top w:val="none" w:sz="0" w:space="0" w:color="auto"/>
        <w:left w:val="none" w:sz="0" w:space="0" w:color="auto"/>
        <w:bottom w:val="none" w:sz="0" w:space="0" w:color="auto"/>
        <w:right w:val="none" w:sz="0" w:space="0" w:color="auto"/>
      </w:divBdr>
    </w:div>
    <w:div w:id="1421104350">
      <w:bodyDiv w:val="1"/>
      <w:marLeft w:val="0"/>
      <w:marRight w:val="0"/>
      <w:marTop w:val="0"/>
      <w:marBottom w:val="0"/>
      <w:divBdr>
        <w:top w:val="none" w:sz="0" w:space="0" w:color="auto"/>
        <w:left w:val="none" w:sz="0" w:space="0" w:color="auto"/>
        <w:bottom w:val="none" w:sz="0" w:space="0" w:color="auto"/>
        <w:right w:val="none" w:sz="0" w:space="0" w:color="auto"/>
      </w:divBdr>
    </w:div>
    <w:div w:id="1506749303">
      <w:bodyDiv w:val="1"/>
      <w:marLeft w:val="0"/>
      <w:marRight w:val="0"/>
      <w:marTop w:val="0"/>
      <w:marBottom w:val="0"/>
      <w:divBdr>
        <w:top w:val="none" w:sz="0" w:space="0" w:color="auto"/>
        <w:left w:val="none" w:sz="0" w:space="0" w:color="auto"/>
        <w:bottom w:val="none" w:sz="0" w:space="0" w:color="auto"/>
        <w:right w:val="none" w:sz="0" w:space="0" w:color="auto"/>
      </w:divBdr>
    </w:div>
    <w:div w:id="1517697856">
      <w:bodyDiv w:val="1"/>
      <w:marLeft w:val="0"/>
      <w:marRight w:val="0"/>
      <w:marTop w:val="0"/>
      <w:marBottom w:val="0"/>
      <w:divBdr>
        <w:top w:val="none" w:sz="0" w:space="0" w:color="auto"/>
        <w:left w:val="none" w:sz="0" w:space="0" w:color="auto"/>
        <w:bottom w:val="none" w:sz="0" w:space="0" w:color="auto"/>
        <w:right w:val="none" w:sz="0" w:space="0" w:color="auto"/>
      </w:divBdr>
    </w:div>
    <w:div w:id="1680505311">
      <w:bodyDiv w:val="1"/>
      <w:marLeft w:val="0"/>
      <w:marRight w:val="0"/>
      <w:marTop w:val="0"/>
      <w:marBottom w:val="0"/>
      <w:divBdr>
        <w:top w:val="none" w:sz="0" w:space="0" w:color="auto"/>
        <w:left w:val="none" w:sz="0" w:space="0" w:color="auto"/>
        <w:bottom w:val="none" w:sz="0" w:space="0" w:color="auto"/>
        <w:right w:val="none" w:sz="0" w:space="0" w:color="auto"/>
      </w:divBdr>
    </w:div>
    <w:div w:id="170617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1318</Words>
  <Characters>7143</Characters>
  <Application>Microsoft Office Word</Application>
  <DocSecurity>0</DocSecurity>
  <Lines>248</Lines>
  <Paragraphs>179</Paragraphs>
  <ScaleCrop>false</ScaleCrop>
  <HeadingPairs>
    <vt:vector size="2" baseType="variant">
      <vt:variant>
        <vt:lpstr>Title</vt:lpstr>
      </vt:variant>
      <vt:variant>
        <vt:i4>1</vt:i4>
      </vt:variant>
    </vt:vector>
  </HeadingPairs>
  <TitlesOfParts>
    <vt:vector size="1" baseType="lpstr">
      <vt:lpstr/>
    </vt:vector>
  </TitlesOfParts>
  <Company>Vale of Glamorgan Council</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Grants update Budget Forum 10.12.25</dc:title>
  <dc:subject>
  </dc:subject>
  <dc:creator>Monckton, Nicola</dc:creator>
  <cp:keywords>
  </cp:keywords>
  <dc:description>
  </dc:description>
  <cp:lastModifiedBy>Emma Ryles</cp:lastModifiedBy>
  <cp:revision>6</cp:revision>
  <dcterms:created xsi:type="dcterms:W3CDTF">2025-11-19T14:22:00Z</dcterms:created>
  <dcterms:modified xsi:type="dcterms:W3CDTF">2026-06-05T11:39:07Z</dcterms:modified>
</cp:coreProperties>
</file>