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1DA" w:rsidR="00FC30FC" w:rsidP="003321DA" w:rsidRDefault="00804B47" w14:paraId="5194A83E" w14:textId="3C7996F1">
      <w:pPr>
        <w:jc w:val="both"/>
        <w:rPr>
          <w:rFonts w:cs="Arial"/>
          <w:b/>
          <w:bCs/>
          <w:sz w:val="24"/>
          <w:szCs w:val="24"/>
          <w:u w:val="single"/>
        </w:rPr>
      </w:pPr>
      <w:r w:rsidRPr="003321DA">
        <w:rPr>
          <w:rFonts w:cs="Arial"/>
          <w:b/>
          <w:bCs/>
          <w:sz w:val="24"/>
          <w:szCs w:val="24"/>
          <w:u w:val="single"/>
        </w:rPr>
        <w:t xml:space="preserve">Budget Forum </w:t>
      </w:r>
      <w:r w:rsidR="008E08C8">
        <w:rPr>
          <w:rFonts w:cs="Arial"/>
          <w:b/>
          <w:bCs/>
          <w:sz w:val="24"/>
          <w:szCs w:val="24"/>
          <w:u w:val="single"/>
        </w:rPr>
        <w:t>–</w:t>
      </w:r>
      <w:r w:rsidR="002F2882">
        <w:rPr>
          <w:rFonts w:cs="Arial"/>
          <w:b/>
          <w:bCs/>
          <w:sz w:val="24"/>
          <w:szCs w:val="24"/>
          <w:u w:val="single"/>
        </w:rPr>
        <w:t xml:space="preserve"> </w:t>
      </w:r>
      <w:r w:rsidR="00B9141C">
        <w:rPr>
          <w:rFonts w:cs="Arial"/>
          <w:b/>
          <w:bCs/>
          <w:sz w:val="24"/>
          <w:szCs w:val="24"/>
          <w:u w:val="single"/>
        </w:rPr>
        <w:t>25</w:t>
      </w:r>
      <w:r w:rsidRPr="00B9141C" w:rsidR="00B9141C">
        <w:rPr>
          <w:rFonts w:cs="Arial"/>
          <w:b/>
          <w:bCs/>
          <w:sz w:val="24"/>
          <w:szCs w:val="24"/>
          <w:u w:val="single"/>
          <w:vertAlign w:val="superscript"/>
        </w:rPr>
        <w:t>th</w:t>
      </w:r>
      <w:r w:rsidR="00B9141C">
        <w:rPr>
          <w:rFonts w:cs="Arial"/>
          <w:b/>
          <w:bCs/>
          <w:sz w:val="24"/>
          <w:szCs w:val="24"/>
          <w:u w:val="single"/>
        </w:rPr>
        <w:t xml:space="preserve"> March 2026</w:t>
      </w:r>
    </w:p>
    <w:p w:rsidRPr="003321DA" w:rsidR="00804B47" w:rsidP="003321DA" w:rsidRDefault="00DB1E08" w14:paraId="6F005138" w14:textId="4CCA2AEF">
      <w:pPr>
        <w:jc w:val="both"/>
        <w:rPr>
          <w:rFonts w:cs="Arial"/>
          <w:b/>
          <w:bCs/>
          <w:sz w:val="24"/>
          <w:szCs w:val="24"/>
          <w:u w:val="single"/>
        </w:rPr>
      </w:pPr>
      <w:proofErr w:type="gramStart"/>
      <w:r w:rsidRPr="003321DA">
        <w:rPr>
          <w:rFonts w:cs="Arial"/>
          <w:b/>
          <w:bCs/>
          <w:sz w:val="24"/>
          <w:szCs w:val="24"/>
          <w:u w:val="single"/>
        </w:rPr>
        <w:t>Grants</w:t>
      </w:r>
      <w:proofErr w:type="gramEnd"/>
      <w:r w:rsidRPr="003321DA">
        <w:rPr>
          <w:rFonts w:cs="Arial"/>
          <w:b/>
          <w:bCs/>
          <w:sz w:val="24"/>
          <w:szCs w:val="24"/>
          <w:u w:val="single"/>
        </w:rPr>
        <w:t xml:space="preserve"> update</w:t>
      </w:r>
      <w:r w:rsidRPr="003321DA" w:rsidR="00AE3CAF">
        <w:rPr>
          <w:rFonts w:cs="Arial"/>
          <w:b/>
          <w:bCs/>
          <w:sz w:val="24"/>
          <w:szCs w:val="24"/>
          <w:u w:val="single"/>
        </w:rPr>
        <w:t>s for 202</w:t>
      </w:r>
      <w:r w:rsidR="00980F8B">
        <w:rPr>
          <w:rFonts w:cs="Arial"/>
          <w:b/>
          <w:bCs/>
          <w:sz w:val="24"/>
          <w:szCs w:val="24"/>
          <w:u w:val="single"/>
        </w:rPr>
        <w:t>6</w:t>
      </w:r>
      <w:r w:rsidRPr="003321DA" w:rsidR="00AE3CAF">
        <w:rPr>
          <w:rFonts w:cs="Arial"/>
          <w:b/>
          <w:bCs/>
          <w:sz w:val="24"/>
          <w:szCs w:val="24"/>
          <w:u w:val="single"/>
        </w:rPr>
        <w:t>/2</w:t>
      </w:r>
      <w:r w:rsidR="00980F8B">
        <w:rPr>
          <w:rFonts w:cs="Arial"/>
          <w:b/>
          <w:bCs/>
          <w:sz w:val="24"/>
          <w:szCs w:val="24"/>
          <w:u w:val="single"/>
        </w:rPr>
        <w:t>7</w:t>
      </w:r>
      <w:r w:rsidRPr="003321DA" w:rsidR="00AE3CAF">
        <w:rPr>
          <w:rFonts w:cs="Arial"/>
          <w:b/>
          <w:bCs/>
          <w:sz w:val="24"/>
          <w:szCs w:val="24"/>
          <w:u w:val="single"/>
        </w:rPr>
        <w:t xml:space="preserve"> Financial year</w:t>
      </w:r>
    </w:p>
    <w:p w:rsidRPr="003321DA" w:rsidR="00F45CC5" w:rsidP="003321DA" w:rsidRDefault="00F45CC5" w14:paraId="211AD74E" w14:textId="77777777">
      <w:pPr>
        <w:jc w:val="both"/>
        <w:rPr>
          <w:rFonts w:cs="Arial"/>
          <w:b/>
          <w:sz w:val="24"/>
          <w:szCs w:val="24"/>
          <w:u w:val="single"/>
        </w:rPr>
      </w:pPr>
      <w:r w:rsidRPr="003321DA">
        <w:rPr>
          <w:rFonts w:cs="Arial"/>
          <w:b/>
          <w:sz w:val="24"/>
          <w:szCs w:val="24"/>
          <w:u w:val="single"/>
        </w:rPr>
        <w:t>General</w:t>
      </w:r>
    </w:p>
    <w:p w:rsidRPr="008555D4" w:rsidR="00F45CC5" w:rsidP="003321DA" w:rsidRDefault="006F3736" w14:paraId="1DC28628" w14:textId="2881FEAB">
      <w:pPr>
        <w:jc w:val="both"/>
        <w:rPr>
          <w:rFonts w:cs="Arial"/>
          <w:sz w:val="24"/>
          <w:szCs w:val="24"/>
        </w:rPr>
      </w:pPr>
      <w:r>
        <w:rPr>
          <w:rFonts w:cs="Arial"/>
          <w:sz w:val="24"/>
          <w:szCs w:val="24"/>
        </w:rPr>
        <w:t>Due to the grant changes from</w:t>
      </w:r>
      <w:r w:rsidRPr="008555D4" w:rsidR="00980C46">
        <w:rPr>
          <w:rFonts w:cs="Arial"/>
          <w:sz w:val="24"/>
          <w:szCs w:val="24"/>
        </w:rPr>
        <w:t xml:space="preserve"> </w:t>
      </w:r>
      <w:r w:rsidR="003A5D82">
        <w:rPr>
          <w:rFonts w:cs="Arial"/>
          <w:sz w:val="24"/>
          <w:szCs w:val="24"/>
        </w:rPr>
        <w:t>2024/25</w:t>
      </w:r>
      <w:r>
        <w:rPr>
          <w:rFonts w:cs="Arial"/>
          <w:sz w:val="24"/>
          <w:szCs w:val="24"/>
        </w:rPr>
        <w:t>, there is no longer</w:t>
      </w:r>
      <w:r w:rsidRPr="008555D4" w:rsidR="00AE3CAF">
        <w:rPr>
          <w:rFonts w:cs="Arial"/>
          <w:sz w:val="24"/>
          <w:szCs w:val="24"/>
        </w:rPr>
        <w:t xml:space="preserve"> </w:t>
      </w:r>
      <w:r>
        <w:rPr>
          <w:rFonts w:cs="Arial"/>
          <w:sz w:val="24"/>
          <w:szCs w:val="24"/>
        </w:rPr>
        <w:t xml:space="preserve">a </w:t>
      </w:r>
      <w:r w:rsidRPr="008555D4" w:rsidR="00980C46">
        <w:rPr>
          <w:rFonts w:cs="Arial"/>
          <w:sz w:val="24"/>
          <w:szCs w:val="24"/>
        </w:rPr>
        <w:t>link on the Central South Consortium website</w:t>
      </w:r>
      <w:r>
        <w:rPr>
          <w:rFonts w:cs="Arial"/>
          <w:sz w:val="24"/>
          <w:szCs w:val="24"/>
        </w:rPr>
        <w:t>, schools continue to be notified quarterly by finance of the project money received.</w:t>
      </w:r>
    </w:p>
    <w:p w:rsidRPr="0063689C" w:rsidR="006B5167" w:rsidP="006B5167" w:rsidRDefault="0063689C" w14:paraId="49535AAB" w14:textId="3E97B4DF">
      <w:pPr>
        <w:jc w:val="both"/>
        <w:rPr>
          <w:rFonts w:cs="Arial"/>
          <w:b/>
          <w:sz w:val="24"/>
          <w:szCs w:val="24"/>
          <w:u w:val="single"/>
        </w:rPr>
      </w:pPr>
      <w:r w:rsidRPr="0063689C">
        <w:rPr>
          <w:rFonts w:cs="Arial"/>
          <w:b/>
          <w:sz w:val="24"/>
          <w:szCs w:val="24"/>
          <w:u w:val="single"/>
        </w:rPr>
        <w:t>School Standards</w:t>
      </w:r>
      <w:r w:rsidR="00AF3EFA">
        <w:rPr>
          <w:rFonts w:cs="Arial"/>
          <w:b/>
          <w:sz w:val="24"/>
          <w:szCs w:val="24"/>
          <w:u w:val="single"/>
        </w:rPr>
        <w:t xml:space="preserve"> - £</w:t>
      </w:r>
      <w:r w:rsidR="000616CA">
        <w:rPr>
          <w:rFonts w:cs="Arial"/>
          <w:b/>
          <w:sz w:val="24"/>
          <w:szCs w:val="24"/>
          <w:u w:val="single"/>
        </w:rPr>
        <w:t>8,</w:t>
      </w:r>
      <w:r w:rsidR="00980F8B">
        <w:rPr>
          <w:rFonts w:cs="Arial"/>
          <w:b/>
          <w:sz w:val="24"/>
          <w:szCs w:val="24"/>
          <w:u w:val="single"/>
        </w:rPr>
        <w:t>834,102</w:t>
      </w:r>
      <w:r w:rsidR="00B9141C">
        <w:rPr>
          <w:rFonts w:cs="Arial"/>
          <w:b/>
          <w:sz w:val="24"/>
          <w:szCs w:val="24"/>
          <w:u w:val="single"/>
        </w:rPr>
        <w:t xml:space="preserve"> </w:t>
      </w:r>
      <w:r w:rsidRPr="00973815" w:rsidR="00973815">
        <w:rPr>
          <w:rFonts w:cs="Arial"/>
          <w:b/>
          <w:u w:val="single"/>
        </w:rPr>
        <w:t xml:space="preserve">(Inc </w:t>
      </w:r>
      <w:proofErr w:type="spellStart"/>
      <w:proofErr w:type="gramStart"/>
      <w:r w:rsidRPr="00973815" w:rsidR="00973815">
        <w:rPr>
          <w:rFonts w:cs="Arial"/>
          <w:b/>
          <w:u w:val="single"/>
        </w:rPr>
        <w:t>matchfunding,schools</w:t>
      </w:r>
      <w:proofErr w:type="spellEnd"/>
      <w:proofErr w:type="gramEnd"/>
      <w:r w:rsidRPr="00973815" w:rsidR="00973815">
        <w:rPr>
          <w:rFonts w:cs="Arial"/>
          <w:b/>
          <w:u w:val="single"/>
        </w:rPr>
        <w:t xml:space="preserve"> and Regional PL body)</w:t>
      </w:r>
    </w:p>
    <w:p w:rsidR="00FD5212" w:rsidP="00FD5212" w:rsidRDefault="00FD5212" w14:paraId="73FF8C06" w14:textId="55808BC4">
      <w:pPr>
        <w:jc w:val="both"/>
        <w:rPr>
          <w:rFonts w:cs="Arial"/>
          <w:bCs/>
          <w:sz w:val="24"/>
          <w:szCs w:val="24"/>
        </w:rPr>
      </w:pPr>
      <w:proofErr w:type="gramStart"/>
      <w:r>
        <w:rPr>
          <w:rFonts w:cs="Arial"/>
          <w:bCs/>
          <w:sz w:val="24"/>
          <w:szCs w:val="24"/>
        </w:rPr>
        <w:t>Schools</w:t>
      </w:r>
      <w:proofErr w:type="gramEnd"/>
      <w:r>
        <w:rPr>
          <w:rFonts w:cs="Arial"/>
          <w:bCs/>
          <w:sz w:val="24"/>
          <w:szCs w:val="24"/>
        </w:rPr>
        <w:t xml:space="preserve"> allocations have been set by WG using a national formula, these have already been </w:t>
      </w:r>
      <w:r w:rsidR="00973815">
        <w:rPr>
          <w:rFonts w:cs="Arial"/>
          <w:bCs/>
          <w:sz w:val="24"/>
          <w:szCs w:val="24"/>
        </w:rPr>
        <w:t>allocated</w:t>
      </w:r>
      <w:r>
        <w:rPr>
          <w:rFonts w:cs="Arial"/>
          <w:bCs/>
          <w:sz w:val="24"/>
          <w:szCs w:val="24"/>
        </w:rPr>
        <w:t xml:space="preserve"> to schools for the new year budgets. </w:t>
      </w:r>
    </w:p>
    <w:tbl>
      <w:tblPr>
        <w:tblStyle w:val="TableGrid"/>
        <w:tblW w:w="0" w:type="auto"/>
        <w:tblLook w:val="04A0" w:firstRow="1" w:lastRow="0" w:firstColumn="1" w:lastColumn="0" w:noHBand="0" w:noVBand="1"/>
      </w:tblPr>
      <w:tblGrid>
        <w:gridCol w:w="5240"/>
        <w:gridCol w:w="1559"/>
        <w:gridCol w:w="2217"/>
      </w:tblGrid>
      <w:tr w:rsidRPr="003E6C28" w:rsidR="0019405B" w:rsidTr="00973815" w14:paraId="0F8FA561" w14:textId="2D2ED6B3">
        <w:tc>
          <w:tcPr>
            <w:tcW w:w="5240" w:type="dxa"/>
          </w:tcPr>
          <w:p w:rsidRPr="003E6C28" w:rsidR="0019405B" w:rsidP="00467472" w:rsidRDefault="0019405B" w14:paraId="184AF6A8" w14:textId="7D88E97D">
            <w:pPr>
              <w:rPr>
                <w:rFonts w:cs="Arial"/>
                <w:b/>
                <w:bCs/>
                <w:sz w:val="24"/>
                <w:szCs w:val="24"/>
              </w:rPr>
            </w:pPr>
            <w:r>
              <w:rPr>
                <w:rFonts w:cs="Arial"/>
                <w:b/>
                <w:bCs/>
                <w:sz w:val="24"/>
                <w:szCs w:val="24"/>
              </w:rPr>
              <w:t>Funding stream within School Standards</w:t>
            </w:r>
          </w:p>
        </w:tc>
        <w:tc>
          <w:tcPr>
            <w:tcW w:w="1559" w:type="dxa"/>
          </w:tcPr>
          <w:p w:rsidRPr="003E6C28" w:rsidR="0019405B" w:rsidP="00467472" w:rsidRDefault="0019405B" w14:paraId="0EE558E3" w14:textId="107F6472">
            <w:pPr>
              <w:jc w:val="center"/>
              <w:rPr>
                <w:rFonts w:cs="Arial"/>
                <w:b/>
                <w:bCs/>
                <w:sz w:val="24"/>
                <w:szCs w:val="24"/>
              </w:rPr>
            </w:pPr>
            <w:r>
              <w:rPr>
                <w:rFonts w:cs="Arial"/>
                <w:b/>
                <w:bCs/>
                <w:sz w:val="24"/>
                <w:szCs w:val="24"/>
              </w:rPr>
              <w:t>Allocation</w:t>
            </w:r>
          </w:p>
        </w:tc>
        <w:tc>
          <w:tcPr>
            <w:tcW w:w="2217" w:type="dxa"/>
          </w:tcPr>
          <w:p w:rsidR="0019405B" w:rsidP="00973815" w:rsidRDefault="0019405B" w14:paraId="78EF49D2" w14:textId="7FF4872F">
            <w:pPr>
              <w:jc w:val="center"/>
              <w:rPr>
                <w:rFonts w:cs="Arial"/>
                <w:b/>
                <w:bCs/>
                <w:sz w:val="24"/>
                <w:szCs w:val="24"/>
              </w:rPr>
            </w:pPr>
            <w:r>
              <w:rPr>
                <w:rFonts w:cs="Arial"/>
                <w:b/>
                <w:bCs/>
                <w:sz w:val="24"/>
                <w:szCs w:val="24"/>
              </w:rPr>
              <w:t>Where</w:t>
            </w:r>
          </w:p>
        </w:tc>
      </w:tr>
      <w:tr w:rsidRPr="00196801" w:rsidR="0019405B" w:rsidTr="00973815" w14:paraId="640AC6B7" w14:textId="0EEFF15B">
        <w:tc>
          <w:tcPr>
            <w:tcW w:w="5240" w:type="dxa"/>
          </w:tcPr>
          <w:p w:rsidRPr="00196801" w:rsidR="0019405B" w:rsidP="00467472" w:rsidRDefault="0019405B" w14:paraId="14C83476" w14:textId="3AD1B9E9">
            <w:pPr>
              <w:rPr>
                <w:rFonts w:cs="Arial"/>
                <w:sz w:val="24"/>
                <w:szCs w:val="24"/>
              </w:rPr>
            </w:pPr>
            <w:r>
              <w:rPr>
                <w:rFonts w:cs="Arial"/>
                <w:sz w:val="24"/>
                <w:szCs w:val="24"/>
              </w:rPr>
              <w:t>Schools</w:t>
            </w:r>
          </w:p>
        </w:tc>
        <w:tc>
          <w:tcPr>
            <w:tcW w:w="1559" w:type="dxa"/>
          </w:tcPr>
          <w:p w:rsidRPr="00196801" w:rsidR="0019405B" w:rsidP="00467472" w:rsidRDefault="0019405B" w14:paraId="5F914B83" w14:textId="6979F106">
            <w:pPr>
              <w:jc w:val="right"/>
              <w:rPr>
                <w:rFonts w:cs="Arial"/>
                <w:sz w:val="24"/>
                <w:szCs w:val="24"/>
              </w:rPr>
            </w:pPr>
            <w:r>
              <w:rPr>
                <w:rFonts w:cs="Arial"/>
                <w:sz w:val="24"/>
                <w:szCs w:val="24"/>
              </w:rPr>
              <w:t>£</w:t>
            </w:r>
            <w:r w:rsidR="00973815">
              <w:rPr>
                <w:rFonts w:cs="Arial"/>
                <w:sz w:val="24"/>
                <w:szCs w:val="24"/>
              </w:rPr>
              <w:t>7,</w:t>
            </w:r>
            <w:r w:rsidR="00980F8B">
              <w:rPr>
                <w:rFonts w:cs="Arial"/>
                <w:sz w:val="24"/>
                <w:szCs w:val="24"/>
              </w:rPr>
              <w:t>893,729</w:t>
            </w:r>
          </w:p>
        </w:tc>
        <w:tc>
          <w:tcPr>
            <w:tcW w:w="2217" w:type="dxa"/>
          </w:tcPr>
          <w:p w:rsidR="0019405B" w:rsidP="00467472" w:rsidRDefault="0019405B" w14:paraId="260AF179" w14:textId="6759A356">
            <w:pPr>
              <w:jc w:val="right"/>
              <w:rPr>
                <w:rFonts w:cs="Arial"/>
                <w:sz w:val="24"/>
                <w:szCs w:val="24"/>
              </w:rPr>
            </w:pPr>
            <w:r>
              <w:rPr>
                <w:rFonts w:cs="Arial"/>
                <w:sz w:val="24"/>
                <w:szCs w:val="24"/>
              </w:rPr>
              <w:t>Schools</w:t>
            </w:r>
          </w:p>
        </w:tc>
      </w:tr>
      <w:tr w:rsidR="0019405B" w:rsidTr="00973815" w14:paraId="19963101" w14:textId="0CDE7864">
        <w:tc>
          <w:tcPr>
            <w:tcW w:w="5240" w:type="dxa"/>
          </w:tcPr>
          <w:p w:rsidRPr="00196801" w:rsidR="0019405B" w:rsidP="00467472" w:rsidRDefault="0019405B" w14:paraId="0C764A6D" w14:textId="3A9AE38D">
            <w:pPr>
              <w:rPr>
                <w:rFonts w:cs="Arial"/>
                <w:sz w:val="24"/>
                <w:szCs w:val="24"/>
              </w:rPr>
            </w:pPr>
            <w:r>
              <w:rPr>
                <w:rFonts w:cs="Arial"/>
                <w:sz w:val="24"/>
                <w:szCs w:val="24"/>
              </w:rPr>
              <w:t>Early Education</w:t>
            </w:r>
          </w:p>
        </w:tc>
        <w:tc>
          <w:tcPr>
            <w:tcW w:w="1559" w:type="dxa"/>
          </w:tcPr>
          <w:p w:rsidR="0019405B" w:rsidP="00467472" w:rsidRDefault="0019405B" w14:paraId="3111F950" w14:textId="506D81D1">
            <w:pPr>
              <w:jc w:val="right"/>
              <w:rPr>
                <w:rFonts w:cs="Arial"/>
                <w:sz w:val="24"/>
                <w:szCs w:val="24"/>
              </w:rPr>
            </w:pPr>
            <w:r>
              <w:rPr>
                <w:rFonts w:cs="Arial"/>
                <w:sz w:val="24"/>
                <w:szCs w:val="24"/>
              </w:rPr>
              <w:t>£</w:t>
            </w:r>
            <w:r w:rsidR="00980F8B">
              <w:rPr>
                <w:rFonts w:cs="Arial"/>
                <w:sz w:val="24"/>
                <w:szCs w:val="24"/>
              </w:rPr>
              <w:t>396,658</w:t>
            </w:r>
          </w:p>
        </w:tc>
        <w:tc>
          <w:tcPr>
            <w:tcW w:w="2217" w:type="dxa"/>
          </w:tcPr>
          <w:p w:rsidR="0019405B" w:rsidP="00467472" w:rsidRDefault="00916A0C" w14:paraId="4DBD481A" w14:textId="6596D402">
            <w:pPr>
              <w:jc w:val="right"/>
              <w:rPr>
                <w:rFonts w:cs="Arial"/>
                <w:sz w:val="24"/>
                <w:szCs w:val="24"/>
              </w:rPr>
            </w:pPr>
            <w:r>
              <w:rPr>
                <w:rFonts w:cs="Arial"/>
                <w:sz w:val="24"/>
                <w:szCs w:val="24"/>
              </w:rPr>
              <w:t>Schools</w:t>
            </w:r>
          </w:p>
        </w:tc>
      </w:tr>
      <w:tr w:rsidR="0019405B" w:rsidTr="00973815" w14:paraId="04C9B653" w14:textId="7183FAFD">
        <w:trPr>
          <w:trHeight w:val="79"/>
        </w:trPr>
        <w:tc>
          <w:tcPr>
            <w:tcW w:w="5240" w:type="dxa"/>
          </w:tcPr>
          <w:p w:rsidRPr="00196801" w:rsidR="0019405B" w:rsidP="00467472" w:rsidRDefault="0019405B" w14:paraId="31E2BD05" w14:textId="56DD9967">
            <w:pPr>
              <w:rPr>
                <w:rFonts w:cs="Arial"/>
                <w:sz w:val="24"/>
                <w:szCs w:val="24"/>
              </w:rPr>
            </w:pPr>
            <w:r>
              <w:rPr>
                <w:rFonts w:cs="Arial"/>
                <w:sz w:val="24"/>
                <w:szCs w:val="24"/>
              </w:rPr>
              <w:t>Standards in Education</w:t>
            </w:r>
          </w:p>
        </w:tc>
        <w:tc>
          <w:tcPr>
            <w:tcW w:w="1559" w:type="dxa"/>
          </w:tcPr>
          <w:p w:rsidR="0019405B" w:rsidP="00467472" w:rsidRDefault="0019405B" w14:paraId="627A317F" w14:textId="3FA35491">
            <w:pPr>
              <w:jc w:val="right"/>
              <w:rPr>
                <w:rFonts w:cs="Arial"/>
                <w:sz w:val="24"/>
                <w:szCs w:val="24"/>
              </w:rPr>
            </w:pPr>
            <w:r>
              <w:rPr>
                <w:rFonts w:cs="Arial"/>
                <w:sz w:val="24"/>
                <w:szCs w:val="24"/>
              </w:rPr>
              <w:t>£</w:t>
            </w:r>
            <w:r w:rsidR="00980F8B">
              <w:rPr>
                <w:rFonts w:cs="Arial"/>
                <w:sz w:val="24"/>
                <w:szCs w:val="24"/>
              </w:rPr>
              <w:t>227,904</w:t>
            </w:r>
          </w:p>
        </w:tc>
        <w:tc>
          <w:tcPr>
            <w:tcW w:w="2217" w:type="dxa"/>
          </w:tcPr>
          <w:p w:rsidR="0019405B" w:rsidP="00467472" w:rsidRDefault="00973815" w14:paraId="6F40AB2D" w14:textId="54635DF5">
            <w:pPr>
              <w:jc w:val="right"/>
              <w:rPr>
                <w:rFonts w:cs="Arial"/>
                <w:sz w:val="24"/>
                <w:szCs w:val="24"/>
              </w:rPr>
            </w:pPr>
            <w:r>
              <w:rPr>
                <w:rFonts w:cs="Arial"/>
                <w:sz w:val="24"/>
                <w:szCs w:val="24"/>
              </w:rPr>
              <w:t>Regional PL body</w:t>
            </w:r>
          </w:p>
        </w:tc>
      </w:tr>
      <w:tr w:rsidR="0019405B" w:rsidTr="00973815" w14:paraId="216671BF" w14:textId="1EF3D383">
        <w:trPr>
          <w:trHeight w:val="79"/>
        </w:trPr>
        <w:tc>
          <w:tcPr>
            <w:tcW w:w="5240" w:type="dxa"/>
          </w:tcPr>
          <w:p w:rsidR="0019405B" w:rsidP="00467472" w:rsidRDefault="0019405B" w14:paraId="647D3E60" w14:textId="1F545915">
            <w:pPr>
              <w:rPr>
                <w:rFonts w:cs="Arial"/>
                <w:sz w:val="24"/>
                <w:szCs w:val="24"/>
              </w:rPr>
            </w:pPr>
            <w:r>
              <w:rPr>
                <w:rFonts w:cs="Arial"/>
                <w:sz w:val="24"/>
                <w:szCs w:val="24"/>
              </w:rPr>
              <w:t>LA Match funding</w:t>
            </w:r>
          </w:p>
        </w:tc>
        <w:tc>
          <w:tcPr>
            <w:tcW w:w="1559" w:type="dxa"/>
          </w:tcPr>
          <w:p w:rsidR="0019405B" w:rsidP="00467472" w:rsidRDefault="0019405B" w14:paraId="33CED8F8" w14:textId="2A21819B">
            <w:pPr>
              <w:jc w:val="right"/>
              <w:rPr>
                <w:rFonts w:cs="Arial"/>
                <w:sz w:val="24"/>
                <w:szCs w:val="24"/>
              </w:rPr>
            </w:pPr>
            <w:r>
              <w:rPr>
                <w:rFonts w:cs="Arial"/>
                <w:sz w:val="24"/>
                <w:szCs w:val="24"/>
              </w:rPr>
              <w:t>£315,814</w:t>
            </w:r>
          </w:p>
        </w:tc>
        <w:tc>
          <w:tcPr>
            <w:tcW w:w="2217" w:type="dxa"/>
          </w:tcPr>
          <w:p w:rsidR="0019405B" w:rsidP="00467472" w:rsidRDefault="0019405B" w14:paraId="0B060D4D" w14:textId="0120C05B">
            <w:pPr>
              <w:jc w:val="right"/>
              <w:rPr>
                <w:rFonts w:cs="Arial"/>
                <w:sz w:val="24"/>
                <w:szCs w:val="24"/>
              </w:rPr>
            </w:pPr>
            <w:r>
              <w:rPr>
                <w:rFonts w:cs="Arial"/>
                <w:sz w:val="24"/>
                <w:szCs w:val="24"/>
              </w:rPr>
              <w:t>Central</w:t>
            </w:r>
          </w:p>
        </w:tc>
      </w:tr>
    </w:tbl>
    <w:p w:rsidRPr="00FD5212" w:rsidR="00FD5212" w:rsidP="00FD5212" w:rsidRDefault="00FD5212" w14:paraId="6D7E1079" w14:textId="77777777">
      <w:pPr>
        <w:jc w:val="both"/>
        <w:rPr>
          <w:rFonts w:cs="Arial"/>
          <w:bCs/>
          <w:sz w:val="24"/>
          <w:szCs w:val="24"/>
        </w:rPr>
      </w:pPr>
    </w:p>
    <w:p w:rsidRPr="0063689C" w:rsidR="0063689C" w:rsidP="0063689C" w:rsidRDefault="0063689C" w14:paraId="16818851" w14:textId="09B27636">
      <w:pPr>
        <w:jc w:val="both"/>
        <w:rPr>
          <w:rFonts w:cs="Arial"/>
          <w:b/>
          <w:sz w:val="24"/>
          <w:szCs w:val="24"/>
          <w:u w:val="single"/>
        </w:rPr>
      </w:pPr>
      <w:r w:rsidRPr="00555DF6">
        <w:rPr>
          <w:rFonts w:cs="Arial"/>
          <w:b/>
          <w:sz w:val="24"/>
          <w:szCs w:val="24"/>
          <w:u w:val="single"/>
        </w:rPr>
        <w:t>Equit</w:t>
      </w:r>
      <w:r w:rsidRPr="00555DF6" w:rsidR="00AF3EFA">
        <w:rPr>
          <w:rFonts w:cs="Arial"/>
          <w:b/>
          <w:sz w:val="24"/>
          <w:szCs w:val="24"/>
          <w:u w:val="single"/>
        </w:rPr>
        <w:t>y - £</w:t>
      </w:r>
      <w:r w:rsidR="00222355">
        <w:rPr>
          <w:rFonts w:cs="Arial"/>
          <w:b/>
          <w:sz w:val="24"/>
          <w:szCs w:val="24"/>
          <w:u w:val="single"/>
        </w:rPr>
        <w:t>6,0</w:t>
      </w:r>
      <w:r w:rsidR="00980F8B">
        <w:rPr>
          <w:rFonts w:cs="Arial"/>
          <w:b/>
          <w:sz w:val="24"/>
          <w:szCs w:val="24"/>
          <w:u w:val="single"/>
        </w:rPr>
        <w:t>8</w:t>
      </w:r>
      <w:r w:rsidR="00222355">
        <w:rPr>
          <w:rFonts w:cs="Arial"/>
          <w:b/>
          <w:sz w:val="24"/>
          <w:szCs w:val="24"/>
          <w:u w:val="single"/>
        </w:rPr>
        <w:t>0,</w:t>
      </w:r>
      <w:r w:rsidR="00980F8B">
        <w:rPr>
          <w:rFonts w:cs="Arial"/>
          <w:b/>
          <w:sz w:val="24"/>
          <w:szCs w:val="24"/>
          <w:u w:val="single"/>
        </w:rPr>
        <w:t>920</w:t>
      </w:r>
      <w:r w:rsidR="00FD5212">
        <w:rPr>
          <w:rFonts w:cs="Arial"/>
          <w:b/>
          <w:sz w:val="24"/>
          <w:szCs w:val="24"/>
          <w:u w:val="single"/>
        </w:rPr>
        <w:t xml:space="preserve"> </w:t>
      </w:r>
      <w:r w:rsidRPr="00973815" w:rsidR="00FD5212">
        <w:rPr>
          <w:rFonts w:cs="Arial"/>
          <w:b/>
          <w:u w:val="single"/>
        </w:rPr>
        <w:t xml:space="preserve">(this includes schools </w:t>
      </w:r>
      <w:r w:rsidRPr="00973815" w:rsidR="00555DF6">
        <w:rPr>
          <w:rFonts w:cs="Arial"/>
          <w:b/>
          <w:u w:val="single"/>
        </w:rPr>
        <w:t>and centrally retained funding)</w:t>
      </w:r>
    </w:p>
    <w:p w:rsidRPr="00555DF6" w:rsidR="009D497A" w:rsidP="00555DF6" w:rsidRDefault="00555DF6" w14:paraId="1253C254" w14:textId="60D6A55A">
      <w:pPr>
        <w:jc w:val="both"/>
        <w:rPr>
          <w:rFonts w:cs="Arial"/>
          <w:bCs/>
          <w:sz w:val="24"/>
          <w:szCs w:val="24"/>
        </w:rPr>
      </w:pPr>
      <w:r>
        <w:rPr>
          <w:rFonts w:cs="Arial"/>
          <w:bCs/>
          <w:sz w:val="24"/>
          <w:szCs w:val="24"/>
        </w:rPr>
        <w:t xml:space="preserve">PDG is based </w:t>
      </w:r>
      <w:r w:rsidR="00980F8B">
        <w:rPr>
          <w:rFonts w:cs="Arial"/>
          <w:bCs/>
          <w:sz w:val="24"/>
          <w:szCs w:val="24"/>
        </w:rPr>
        <w:t xml:space="preserve">on a new methodology called Ever2, if a pupil has been </w:t>
      </w:r>
      <w:proofErr w:type="spellStart"/>
      <w:r w:rsidR="00980F8B">
        <w:rPr>
          <w:rFonts w:cs="Arial"/>
          <w:bCs/>
          <w:sz w:val="24"/>
          <w:szCs w:val="24"/>
        </w:rPr>
        <w:t>eFSM</w:t>
      </w:r>
      <w:proofErr w:type="spellEnd"/>
      <w:r w:rsidR="00980F8B">
        <w:rPr>
          <w:rFonts w:cs="Arial"/>
          <w:bCs/>
          <w:sz w:val="24"/>
          <w:szCs w:val="24"/>
        </w:rPr>
        <w:t xml:space="preserve"> in the previous 2 years, funding will be applicable.  For 26/27 PLASC 25 &amp; PLASC 24 have been used to create allocations.  There is </w:t>
      </w:r>
      <w:r>
        <w:rPr>
          <w:rFonts w:cs="Arial"/>
          <w:bCs/>
          <w:sz w:val="24"/>
          <w:szCs w:val="24"/>
        </w:rPr>
        <w:t>also</w:t>
      </w:r>
      <w:r w:rsidR="009D497A">
        <w:rPr>
          <w:rFonts w:cs="Arial"/>
          <w:bCs/>
          <w:sz w:val="24"/>
          <w:szCs w:val="24"/>
        </w:rPr>
        <w:t xml:space="preserve"> an element </w:t>
      </w:r>
      <w:r w:rsidR="00980F8B">
        <w:rPr>
          <w:rFonts w:cs="Arial"/>
          <w:bCs/>
          <w:sz w:val="24"/>
          <w:szCs w:val="24"/>
        </w:rPr>
        <w:t>of</w:t>
      </w:r>
      <w:r w:rsidR="009D497A">
        <w:rPr>
          <w:rFonts w:cs="Arial"/>
          <w:bCs/>
          <w:sz w:val="24"/>
          <w:szCs w:val="24"/>
        </w:rPr>
        <w:t xml:space="preserve"> PDG Smoothing </w:t>
      </w:r>
      <w:r w:rsidR="00980F8B">
        <w:rPr>
          <w:rFonts w:cs="Arial"/>
          <w:bCs/>
          <w:sz w:val="24"/>
          <w:szCs w:val="24"/>
        </w:rPr>
        <w:t xml:space="preserve">again, </w:t>
      </w:r>
      <w:r w:rsidR="009D497A">
        <w:rPr>
          <w:rFonts w:cs="Arial"/>
          <w:bCs/>
          <w:sz w:val="24"/>
          <w:szCs w:val="24"/>
        </w:rPr>
        <w:t xml:space="preserve">this is to help reduce the impact for schools where there has been a decrease in PDG allocations between </w:t>
      </w:r>
      <w:r w:rsidR="00973815">
        <w:rPr>
          <w:rFonts w:cs="Arial"/>
          <w:bCs/>
          <w:sz w:val="24"/>
          <w:szCs w:val="24"/>
        </w:rPr>
        <w:t>the current and previous year</w:t>
      </w:r>
      <w:r w:rsidR="00980F8B">
        <w:rPr>
          <w:rFonts w:cs="Arial"/>
          <w:bCs/>
          <w:sz w:val="24"/>
          <w:szCs w:val="24"/>
        </w:rPr>
        <w:t xml:space="preserve">, </w:t>
      </w:r>
      <w:r w:rsidR="00442AAA">
        <w:rPr>
          <w:rFonts w:cs="Arial"/>
          <w:bCs/>
          <w:sz w:val="24"/>
          <w:szCs w:val="24"/>
        </w:rPr>
        <w:t>the grant being given to the schools where their PDG allocations is less than 2</w:t>
      </w:r>
      <w:r w:rsidR="00980F8B">
        <w:rPr>
          <w:rFonts w:cs="Arial"/>
          <w:bCs/>
          <w:sz w:val="24"/>
          <w:szCs w:val="24"/>
        </w:rPr>
        <w:t>5</w:t>
      </w:r>
      <w:r w:rsidR="00442AAA">
        <w:rPr>
          <w:rFonts w:cs="Arial"/>
          <w:bCs/>
          <w:sz w:val="24"/>
          <w:szCs w:val="24"/>
        </w:rPr>
        <w:t>/2</w:t>
      </w:r>
      <w:r w:rsidR="00980F8B">
        <w:rPr>
          <w:rFonts w:cs="Arial"/>
          <w:bCs/>
          <w:sz w:val="24"/>
          <w:szCs w:val="24"/>
        </w:rPr>
        <w:t>6</w:t>
      </w:r>
      <w:r w:rsidR="00442AAA">
        <w:rPr>
          <w:rFonts w:cs="Arial"/>
          <w:bCs/>
          <w:sz w:val="24"/>
          <w:szCs w:val="24"/>
        </w:rPr>
        <w:t>.</w:t>
      </w:r>
      <w:r w:rsidR="00980F8B">
        <w:rPr>
          <w:rFonts w:cs="Arial"/>
          <w:bCs/>
          <w:sz w:val="24"/>
          <w:szCs w:val="24"/>
        </w:rPr>
        <w:t xml:space="preserve">  Due to the introduction of Ever2, the smoothing pot is lower than previous years, meaning that only 44.49% of the decrease can be funded.</w:t>
      </w:r>
      <w:r w:rsidR="00087857">
        <w:rPr>
          <w:rFonts w:cs="Arial"/>
          <w:bCs/>
          <w:sz w:val="24"/>
          <w:szCs w:val="24"/>
        </w:rPr>
        <w:t xml:space="preserve">  Where allocations are known, these have already been allocated to schools for the new year budgets.</w:t>
      </w:r>
    </w:p>
    <w:tbl>
      <w:tblPr>
        <w:tblStyle w:val="TableGrid"/>
        <w:tblW w:w="0" w:type="auto"/>
        <w:tblLook w:val="04A0" w:firstRow="1" w:lastRow="0" w:firstColumn="1" w:lastColumn="0" w:noHBand="0" w:noVBand="1"/>
      </w:tblPr>
      <w:tblGrid>
        <w:gridCol w:w="5098"/>
        <w:gridCol w:w="1418"/>
        <w:gridCol w:w="2500"/>
      </w:tblGrid>
      <w:tr w:rsidRPr="003E6C28" w:rsidR="0019405B" w:rsidTr="002A3C5D" w14:paraId="1FDA2A22" w14:textId="51EF44D9">
        <w:tc>
          <w:tcPr>
            <w:tcW w:w="5098" w:type="dxa"/>
          </w:tcPr>
          <w:p w:rsidRPr="003E6C28" w:rsidR="0019405B" w:rsidP="00467472" w:rsidRDefault="0019405B" w14:paraId="3DE30648" w14:textId="2646565A">
            <w:pPr>
              <w:rPr>
                <w:rFonts w:cs="Arial"/>
                <w:b/>
                <w:bCs/>
                <w:sz w:val="24"/>
                <w:szCs w:val="24"/>
              </w:rPr>
            </w:pPr>
            <w:r>
              <w:rPr>
                <w:rFonts w:cs="Arial"/>
                <w:b/>
                <w:bCs/>
                <w:sz w:val="24"/>
                <w:szCs w:val="24"/>
              </w:rPr>
              <w:t xml:space="preserve">Funding stream within </w:t>
            </w:r>
            <w:r w:rsidR="00B81A77">
              <w:rPr>
                <w:rFonts w:cs="Arial"/>
                <w:b/>
                <w:bCs/>
                <w:sz w:val="24"/>
                <w:szCs w:val="24"/>
              </w:rPr>
              <w:t>Equity</w:t>
            </w:r>
          </w:p>
        </w:tc>
        <w:tc>
          <w:tcPr>
            <w:tcW w:w="1418" w:type="dxa"/>
          </w:tcPr>
          <w:p w:rsidRPr="003E6C28" w:rsidR="0019405B" w:rsidP="00467472" w:rsidRDefault="0019405B" w14:paraId="4974C5EE" w14:textId="77777777">
            <w:pPr>
              <w:jc w:val="center"/>
              <w:rPr>
                <w:rFonts w:cs="Arial"/>
                <w:b/>
                <w:bCs/>
                <w:sz w:val="24"/>
                <w:szCs w:val="24"/>
              </w:rPr>
            </w:pPr>
            <w:r>
              <w:rPr>
                <w:rFonts w:cs="Arial"/>
                <w:b/>
                <w:bCs/>
                <w:sz w:val="24"/>
                <w:szCs w:val="24"/>
              </w:rPr>
              <w:t>Allocation</w:t>
            </w:r>
          </w:p>
        </w:tc>
        <w:tc>
          <w:tcPr>
            <w:tcW w:w="2500" w:type="dxa"/>
          </w:tcPr>
          <w:p w:rsidR="0019405B" w:rsidP="00467472" w:rsidRDefault="0019405B" w14:paraId="63310D59" w14:textId="13C7D5C1">
            <w:pPr>
              <w:jc w:val="center"/>
              <w:rPr>
                <w:rFonts w:cs="Arial"/>
                <w:b/>
                <w:bCs/>
                <w:sz w:val="24"/>
                <w:szCs w:val="24"/>
              </w:rPr>
            </w:pPr>
            <w:r>
              <w:rPr>
                <w:rFonts w:cs="Arial"/>
                <w:b/>
                <w:bCs/>
                <w:sz w:val="24"/>
                <w:szCs w:val="24"/>
              </w:rPr>
              <w:t>Where</w:t>
            </w:r>
          </w:p>
        </w:tc>
      </w:tr>
      <w:tr w:rsidRPr="00196801" w:rsidR="0019405B" w:rsidTr="002A3C5D" w14:paraId="57746602" w14:textId="6BDA0B56">
        <w:tc>
          <w:tcPr>
            <w:tcW w:w="5098" w:type="dxa"/>
          </w:tcPr>
          <w:p w:rsidRPr="00196801" w:rsidR="0019405B" w:rsidP="00467472" w:rsidRDefault="0019405B" w14:paraId="60F36FC1" w14:textId="1D36B5E2">
            <w:pPr>
              <w:rPr>
                <w:rFonts w:cs="Arial"/>
                <w:sz w:val="24"/>
                <w:szCs w:val="24"/>
              </w:rPr>
            </w:pPr>
            <w:r>
              <w:rPr>
                <w:rFonts w:cs="Arial"/>
                <w:sz w:val="24"/>
                <w:szCs w:val="24"/>
              </w:rPr>
              <w:t>Elective Home Education</w:t>
            </w:r>
          </w:p>
        </w:tc>
        <w:tc>
          <w:tcPr>
            <w:tcW w:w="1418" w:type="dxa"/>
          </w:tcPr>
          <w:p w:rsidRPr="00196801" w:rsidR="0019405B" w:rsidP="00467472" w:rsidRDefault="0019405B" w14:paraId="761324B7" w14:textId="0696F50F">
            <w:pPr>
              <w:jc w:val="right"/>
              <w:rPr>
                <w:rFonts w:cs="Arial"/>
                <w:sz w:val="24"/>
                <w:szCs w:val="24"/>
              </w:rPr>
            </w:pPr>
            <w:r>
              <w:rPr>
                <w:rFonts w:cs="Arial"/>
                <w:sz w:val="24"/>
                <w:szCs w:val="24"/>
              </w:rPr>
              <w:t>£67,696</w:t>
            </w:r>
          </w:p>
        </w:tc>
        <w:tc>
          <w:tcPr>
            <w:tcW w:w="2500" w:type="dxa"/>
          </w:tcPr>
          <w:p w:rsidR="0019405B" w:rsidP="00467472" w:rsidRDefault="0019405B" w14:paraId="26F1D3AF" w14:textId="74E5175F">
            <w:pPr>
              <w:jc w:val="right"/>
              <w:rPr>
                <w:rFonts w:cs="Arial"/>
                <w:sz w:val="24"/>
                <w:szCs w:val="24"/>
              </w:rPr>
            </w:pPr>
            <w:r>
              <w:rPr>
                <w:rFonts w:cs="Arial"/>
                <w:sz w:val="24"/>
                <w:szCs w:val="24"/>
              </w:rPr>
              <w:t>Central</w:t>
            </w:r>
          </w:p>
        </w:tc>
      </w:tr>
      <w:tr w:rsidRPr="00196801" w:rsidR="0019405B" w:rsidTr="002A3C5D" w14:paraId="2C6058BA" w14:textId="2652BAB7">
        <w:tc>
          <w:tcPr>
            <w:tcW w:w="5098" w:type="dxa"/>
          </w:tcPr>
          <w:p w:rsidRPr="00196801" w:rsidR="0019405B" w:rsidP="00467472" w:rsidRDefault="0019405B" w14:paraId="277A395D" w14:textId="6E03935C">
            <w:pPr>
              <w:rPr>
                <w:rFonts w:cs="Arial"/>
                <w:sz w:val="24"/>
                <w:szCs w:val="24"/>
              </w:rPr>
            </w:pPr>
            <w:r>
              <w:rPr>
                <w:rFonts w:cs="Arial"/>
                <w:sz w:val="24"/>
                <w:szCs w:val="24"/>
              </w:rPr>
              <w:t>Family Engagement Officers</w:t>
            </w:r>
          </w:p>
        </w:tc>
        <w:tc>
          <w:tcPr>
            <w:tcW w:w="1418" w:type="dxa"/>
          </w:tcPr>
          <w:p w:rsidRPr="00196801" w:rsidR="0019405B" w:rsidP="00467472" w:rsidRDefault="0019405B" w14:paraId="16F76813" w14:textId="1F489646">
            <w:pPr>
              <w:jc w:val="right"/>
              <w:rPr>
                <w:rFonts w:cs="Arial"/>
                <w:sz w:val="24"/>
                <w:szCs w:val="24"/>
              </w:rPr>
            </w:pPr>
            <w:r>
              <w:rPr>
                <w:rFonts w:cs="Arial"/>
                <w:sz w:val="24"/>
                <w:szCs w:val="24"/>
              </w:rPr>
              <w:t>£</w:t>
            </w:r>
            <w:r w:rsidR="00980F8B">
              <w:rPr>
                <w:rFonts w:cs="Arial"/>
                <w:sz w:val="24"/>
                <w:szCs w:val="24"/>
              </w:rPr>
              <w:t>461,330</w:t>
            </w:r>
          </w:p>
        </w:tc>
        <w:tc>
          <w:tcPr>
            <w:tcW w:w="2500" w:type="dxa"/>
          </w:tcPr>
          <w:p w:rsidR="0019405B" w:rsidP="00467472" w:rsidRDefault="00222355" w14:paraId="4ED1C5A9" w14:textId="1E61696A">
            <w:pPr>
              <w:jc w:val="right"/>
              <w:rPr>
                <w:rFonts w:cs="Arial"/>
                <w:sz w:val="24"/>
                <w:szCs w:val="24"/>
              </w:rPr>
            </w:pPr>
            <w:r>
              <w:rPr>
                <w:rFonts w:cs="Arial"/>
                <w:sz w:val="24"/>
                <w:szCs w:val="24"/>
              </w:rPr>
              <w:t>Schools/Central</w:t>
            </w:r>
          </w:p>
        </w:tc>
      </w:tr>
      <w:tr w:rsidRPr="00196801" w:rsidR="0019405B" w:rsidTr="002A3C5D" w14:paraId="4D37D541" w14:textId="6098D3A9">
        <w:tc>
          <w:tcPr>
            <w:tcW w:w="5098" w:type="dxa"/>
          </w:tcPr>
          <w:p w:rsidRPr="00196801" w:rsidR="0019405B" w:rsidP="00467472" w:rsidRDefault="0019405B" w14:paraId="0738976A" w14:textId="5E3C5FBE">
            <w:pPr>
              <w:rPr>
                <w:rFonts w:cs="Arial"/>
                <w:sz w:val="24"/>
                <w:szCs w:val="24"/>
              </w:rPr>
            </w:pPr>
            <w:r>
              <w:rPr>
                <w:rFonts w:cs="Arial"/>
                <w:sz w:val="24"/>
                <w:szCs w:val="24"/>
              </w:rPr>
              <w:t>Community Focused Schools Manager</w:t>
            </w:r>
          </w:p>
        </w:tc>
        <w:tc>
          <w:tcPr>
            <w:tcW w:w="1418" w:type="dxa"/>
          </w:tcPr>
          <w:p w:rsidRPr="00196801" w:rsidR="0019405B" w:rsidP="00467472" w:rsidRDefault="0019405B" w14:paraId="211567B2" w14:textId="4A9BBFF1">
            <w:pPr>
              <w:jc w:val="right"/>
              <w:rPr>
                <w:rFonts w:cs="Arial"/>
                <w:sz w:val="24"/>
                <w:szCs w:val="24"/>
              </w:rPr>
            </w:pPr>
            <w:r>
              <w:rPr>
                <w:rFonts w:cs="Arial"/>
                <w:sz w:val="24"/>
                <w:szCs w:val="24"/>
              </w:rPr>
              <w:t>£31,500</w:t>
            </w:r>
          </w:p>
        </w:tc>
        <w:tc>
          <w:tcPr>
            <w:tcW w:w="2500" w:type="dxa"/>
          </w:tcPr>
          <w:p w:rsidR="0019405B" w:rsidP="00467472" w:rsidRDefault="00222355" w14:paraId="61FCF07B" w14:textId="78DA24DC">
            <w:pPr>
              <w:jc w:val="right"/>
              <w:rPr>
                <w:rFonts w:cs="Arial"/>
                <w:sz w:val="24"/>
                <w:szCs w:val="24"/>
              </w:rPr>
            </w:pPr>
            <w:r>
              <w:rPr>
                <w:rFonts w:cs="Arial"/>
                <w:sz w:val="24"/>
                <w:szCs w:val="24"/>
              </w:rPr>
              <w:t>Schools/Central</w:t>
            </w:r>
          </w:p>
        </w:tc>
      </w:tr>
      <w:tr w:rsidRPr="00196801" w:rsidR="00442AAA" w:rsidTr="002A3C5D" w14:paraId="6FBE01D0" w14:textId="77777777">
        <w:tc>
          <w:tcPr>
            <w:tcW w:w="5098" w:type="dxa"/>
          </w:tcPr>
          <w:p w:rsidR="00442AAA" w:rsidP="00467472" w:rsidRDefault="00442AAA" w14:paraId="5F643E12" w14:textId="4F8B1048">
            <w:pPr>
              <w:rPr>
                <w:rFonts w:cs="Arial"/>
                <w:sz w:val="24"/>
                <w:szCs w:val="24"/>
              </w:rPr>
            </w:pPr>
            <w:r>
              <w:rPr>
                <w:rFonts w:cs="Arial"/>
                <w:sz w:val="24"/>
                <w:szCs w:val="24"/>
              </w:rPr>
              <w:t>Community Focused Schools PL</w:t>
            </w:r>
          </w:p>
        </w:tc>
        <w:tc>
          <w:tcPr>
            <w:tcW w:w="1418" w:type="dxa"/>
          </w:tcPr>
          <w:p w:rsidR="00442AAA" w:rsidP="00467472" w:rsidRDefault="00442AAA" w14:paraId="23AE336C" w14:textId="167D8556">
            <w:pPr>
              <w:jc w:val="right"/>
              <w:rPr>
                <w:rFonts w:cs="Arial"/>
                <w:sz w:val="24"/>
                <w:szCs w:val="24"/>
              </w:rPr>
            </w:pPr>
            <w:r>
              <w:rPr>
                <w:rFonts w:cs="Arial"/>
                <w:sz w:val="24"/>
                <w:szCs w:val="24"/>
              </w:rPr>
              <w:t>£</w:t>
            </w:r>
            <w:r w:rsidR="00980F8B">
              <w:rPr>
                <w:rFonts w:cs="Arial"/>
                <w:sz w:val="24"/>
                <w:szCs w:val="24"/>
              </w:rPr>
              <w:t>74,548</w:t>
            </w:r>
          </w:p>
        </w:tc>
        <w:tc>
          <w:tcPr>
            <w:tcW w:w="2500" w:type="dxa"/>
          </w:tcPr>
          <w:p w:rsidR="00442AAA" w:rsidP="00467472" w:rsidRDefault="00980F8B" w14:paraId="6CF78BE0" w14:textId="17153983">
            <w:pPr>
              <w:jc w:val="right"/>
              <w:rPr>
                <w:rFonts w:cs="Arial"/>
                <w:sz w:val="24"/>
                <w:szCs w:val="24"/>
              </w:rPr>
            </w:pPr>
            <w:r>
              <w:rPr>
                <w:rFonts w:cs="Arial"/>
                <w:sz w:val="24"/>
                <w:szCs w:val="24"/>
              </w:rPr>
              <w:t>Central</w:t>
            </w:r>
          </w:p>
        </w:tc>
      </w:tr>
      <w:tr w:rsidRPr="00196801" w:rsidR="0019405B" w:rsidTr="002A3C5D" w14:paraId="72249FAA" w14:textId="3FA282B7">
        <w:tc>
          <w:tcPr>
            <w:tcW w:w="5098" w:type="dxa"/>
          </w:tcPr>
          <w:p w:rsidRPr="00196801" w:rsidR="0019405B" w:rsidP="00467472" w:rsidRDefault="0019405B" w14:paraId="00588DEB" w14:textId="3F07AA40">
            <w:pPr>
              <w:rPr>
                <w:rFonts w:cs="Arial"/>
                <w:sz w:val="24"/>
                <w:szCs w:val="24"/>
              </w:rPr>
            </w:pPr>
            <w:r>
              <w:rPr>
                <w:rFonts w:cs="Arial"/>
                <w:sz w:val="24"/>
                <w:szCs w:val="24"/>
              </w:rPr>
              <w:t>Education Welfare Officers</w:t>
            </w:r>
          </w:p>
        </w:tc>
        <w:tc>
          <w:tcPr>
            <w:tcW w:w="1418" w:type="dxa"/>
          </w:tcPr>
          <w:p w:rsidRPr="00196801" w:rsidR="0019405B" w:rsidP="00467472" w:rsidRDefault="0019405B" w14:paraId="60492BDD" w14:textId="69F179A0">
            <w:pPr>
              <w:jc w:val="right"/>
              <w:rPr>
                <w:rFonts w:cs="Arial"/>
                <w:sz w:val="24"/>
                <w:szCs w:val="24"/>
              </w:rPr>
            </w:pPr>
            <w:r>
              <w:rPr>
                <w:rFonts w:cs="Arial"/>
                <w:sz w:val="24"/>
                <w:szCs w:val="24"/>
              </w:rPr>
              <w:t>£10</w:t>
            </w:r>
            <w:r w:rsidR="00442AAA">
              <w:rPr>
                <w:rFonts w:cs="Arial"/>
                <w:sz w:val="24"/>
                <w:szCs w:val="24"/>
              </w:rPr>
              <w:t>9,05</w:t>
            </w:r>
            <w:r w:rsidR="002A3C5D">
              <w:rPr>
                <w:rFonts w:cs="Arial"/>
                <w:sz w:val="24"/>
                <w:szCs w:val="24"/>
              </w:rPr>
              <w:t>7</w:t>
            </w:r>
          </w:p>
        </w:tc>
        <w:tc>
          <w:tcPr>
            <w:tcW w:w="2500" w:type="dxa"/>
          </w:tcPr>
          <w:p w:rsidR="0019405B" w:rsidP="00467472" w:rsidRDefault="00710E30" w14:paraId="587D6CC3" w14:textId="72732570">
            <w:pPr>
              <w:jc w:val="right"/>
              <w:rPr>
                <w:rFonts w:cs="Arial"/>
                <w:sz w:val="24"/>
                <w:szCs w:val="24"/>
              </w:rPr>
            </w:pPr>
            <w:r>
              <w:rPr>
                <w:rFonts w:cs="Arial"/>
                <w:sz w:val="24"/>
                <w:szCs w:val="24"/>
              </w:rPr>
              <w:t>Central</w:t>
            </w:r>
          </w:p>
        </w:tc>
      </w:tr>
      <w:tr w:rsidRPr="00196801" w:rsidR="00442AAA" w:rsidTr="002A3C5D" w14:paraId="6150FB85" w14:textId="77777777">
        <w:tc>
          <w:tcPr>
            <w:tcW w:w="5098" w:type="dxa"/>
          </w:tcPr>
          <w:p w:rsidR="00442AAA" w:rsidP="00467472" w:rsidRDefault="00442AAA" w14:paraId="0D0BDEF1" w14:textId="1BA852FF">
            <w:pPr>
              <w:rPr>
                <w:rFonts w:cs="Arial"/>
                <w:sz w:val="24"/>
                <w:szCs w:val="24"/>
              </w:rPr>
            </w:pPr>
            <w:r>
              <w:rPr>
                <w:rFonts w:cs="Arial"/>
                <w:sz w:val="24"/>
                <w:szCs w:val="24"/>
              </w:rPr>
              <w:t>Enrichment Opportunities</w:t>
            </w:r>
          </w:p>
        </w:tc>
        <w:tc>
          <w:tcPr>
            <w:tcW w:w="1418" w:type="dxa"/>
          </w:tcPr>
          <w:p w:rsidR="00442AAA" w:rsidP="00467472" w:rsidRDefault="00442AAA" w14:paraId="1B746F63" w14:textId="2463862C">
            <w:pPr>
              <w:jc w:val="right"/>
              <w:rPr>
                <w:rFonts w:cs="Arial"/>
                <w:sz w:val="24"/>
                <w:szCs w:val="24"/>
              </w:rPr>
            </w:pPr>
            <w:r>
              <w:rPr>
                <w:rFonts w:cs="Arial"/>
                <w:sz w:val="24"/>
                <w:szCs w:val="24"/>
              </w:rPr>
              <w:t>£</w:t>
            </w:r>
            <w:r w:rsidR="002A3C5D">
              <w:rPr>
                <w:rFonts w:cs="Arial"/>
                <w:sz w:val="24"/>
                <w:szCs w:val="24"/>
              </w:rPr>
              <w:t>137,420</w:t>
            </w:r>
          </w:p>
        </w:tc>
        <w:tc>
          <w:tcPr>
            <w:tcW w:w="2500" w:type="dxa"/>
          </w:tcPr>
          <w:p w:rsidR="00442AAA" w:rsidP="00467472" w:rsidRDefault="00222355" w14:paraId="5CE1E668" w14:textId="416AE73C">
            <w:pPr>
              <w:jc w:val="right"/>
              <w:rPr>
                <w:rFonts w:cs="Arial"/>
                <w:sz w:val="24"/>
                <w:szCs w:val="24"/>
              </w:rPr>
            </w:pPr>
            <w:r>
              <w:rPr>
                <w:rFonts w:cs="Arial"/>
                <w:sz w:val="24"/>
                <w:szCs w:val="24"/>
              </w:rPr>
              <w:t>Central for Schools</w:t>
            </w:r>
          </w:p>
        </w:tc>
      </w:tr>
      <w:tr w:rsidRPr="00196801" w:rsidR="0019405B" w:rsidTr="002A3C5D" w14:paraId="63205159" w14:textId="5EC25D37">
        <w:tc>
          <w:tcPr>
            <w:tcW w:w="5098" w:type="dxa"/>
          </w:tcPr>
          <w:p w:rsidRPr="00196801" w:rsidR="0019405B" w:rsidP="00467472" w:rsidRDefault="0019405B" w14:paraId="020E37F2" w14:textId="17F5C56E">
            <w:pPr>
              <w:rPr>
                <w:rFonts w:cs="Arial"/>
                <w:sz w:val="24"/>
                <w:szCs w:val="24"/>
              </w:rPr>
            </w:pPr>
            <w:r>
              <w:rPr>
                <w:rFonts w:cs="Arial"/>
                <w:sz w:val="24"/>
                <w:szCs w:val="24"/>
              </w:rPr>
              <w:t>MEGRT</w:t>
            </w:r>
          </w:p>
        </w:tc>
        <w:tc>
          <w:tcPr>
            <w:tcW w:w="1418" w:type="dxa"/>
          </w:tcPr>
          <w:p w:rsidRPr="00196801" w:rsidR="0019405B" w:rsidP="00467472" w:rsidRDefault="0019405B" w14:paraId="7684E3B3" w14:textId="36AE1787">
            <w:pPr>
              <w:jc w:val="right"/>
              <w:rPr>
                <w:rFonts w:cs="Arial"/>
                <w:sz w:val="24"/>
                <w:szCs w:val="24"/>
              </w:rPr>
            </w:pPr>
            <w:r>
              <w:rPr>
                <w:rFonts w:cs="Arial"/>
                <w:sz w:val="24"/>
                <w:szCs w:val="24"/>
              </w:rPr>
              <w:t>£</w:t>
            </w:r>
            <w:r w:rsidR="002A3C5D">
              <w:rPr>
                <w:rFonts w:cs="Arial"/>
                <w:sz w:val="24"/>
                <w:szCs w:val="24"/>
              </w:rPr>
              <w:t>354,862</w:t>
            </w:r>
          </w:p>
        </w:tc>
        <w:tc>
          <w:tcPr>
            <w:tcW w:w="2500" w:type="dxa"/>
          </w:tcPr>
          <w:p w:rsidR="0019405B" w:rsidP="00467472" w:rsidRDefault="00710E30" w14:paraId="617EE1CB" w14:textId="46F9A41A">
            <w:pPr>
              <w:jc w:val="right"/>
              <w:rPr>
                <w:rFonts w:cs="Arial"/>
                <w:sz w:val="24"/>
                <w:szCs w:val="24"/>
              </w:rPr>
            </w:pPr>
            <w:r>
              <w:rPr>
                <w:rFonts w:cs="Arial"/>
                <w:sz w:val="24"/>
                <w:szCs w:val="24"/>
              </w:rPr>
              <w:t>Central</w:t>
            </w:r>
          </w:p>
        </w:tc>
      </w:tr>
      <w:tr w:rsidRPr="00196801" w:rsidR="0019405B" w:rsidTr="002A3C5D" w14:paraId="5876F057" w14:textId="5BA90847">
        <w:tc>
          <w:tcPr>
            <w:tcW w:w="5098" w:type="dxa"/>
          </w:tcPr>
          <w:p w:rsidRPr="00196801" w:rsidR="0019405B" w:rsidP="00467472" w:rsidRDefault="0019405B" w14:paraId="69DDB5E5" w14:textId="72C52CC5">
            <w:pPr>
              <w:rPr>
                <w:rFonts w:cs="Arial"/>
                <w:sz w:val="24"/>
                <w:szCs w:val="24"/>
              </w:rPr>
            </w:pPr>
            <w:r>
              <w:rPr>
                <w:rFonts w:cs="Arial"/>
                <w:sz w:val="24"/>
                <w:szCs w:val="24"/>
              </w:rPr>
              <w:t xml:space="preserve">PDG </w:t>
            </w:r>
          </w:p>
        </w:tc>
        <w:tc>
          <w:tcPr>
            <w:tcW w:w="1418" w:type="dxa"/>
          </w:tcPr>
          <w:p w:rsidRPr="00196801" w:rsidR="0019405B" w:rsidP="00467472" w:rsidRDefault="0019405B" w14:paraId="799807FA" w14:textId="322D84E7">
            <w:pPr>
              <w:jc w:val="right"/>
              <w:rPr>
                <w:rFonts w:cs="Arial"/>
                <w:sz w:val="24"/>
                <w:szCs w:val="24"/>
              </w:rPr>
            </w:pPr>
            <w:r>
              <w:rPr>
                <w:rFonts w:cs="Arial"/>
                <w:sz w:val="24"/>
                <w:szCs w:val="24"/>
              </w:rPr>
              <w:t>£4,</w:t>
            </w:r>
            <w:r w:rsidR="002A3C5D">
              <w:rPr>
                <w:rFonts w:cs="Arial"/>
                <w:sz w:val="24"/>
                <w:szCs w:val="24"/>
              </w:rPr>
              <w:t>320,550</w:t>
            </w:r>
          </w:p>
        </w:tc>
        <w:tc>
          <w:tcPr>
            <w:tcW w:w="2500" w:type="dxa"/>
          </w:tcPr>
          <w:p w:rsidR="0019405B" w:rsidP="00467472" w:rsidRDefault="00710E30" w14:paraId="7EAF7C55" w14:textId="31339C20">
            <w:pPr>
              <w:jc w:val="right"/>
              <w:rPr>
                <w:rFonts w:cs="Arial"/>
                <w:sz w:val="24"/>
                <w:szCs w:val="24"/>
              </w:rPr>
            </w:pPr>
            <w:r>
              <w:rPr>
                <w:rFonts w:cs="Arial"/>
                <w:sz w:val="24"/>
                <w:szCs w:val="24"/>
              </w:rPr>
              <w:t>Schools</w:t>
            </w:r>
          </w:p>
        </w:tc>
      </w:tr>
      <w:tr w:rsidRPr="00196801" w:rsidR="0019405B" w:rsidTr="002A3C5D" w14:paraId="1569E67A" w14:textId="2D41C257">
        <w:tc>
          <w:tcPr>
            <w:tcW w:w="5098" w:type="dxa"/>
          </w:tcPr>
          <w:p w:rsidRPr="00196801" w:rsidR="0019405B" w:rsidP="00467472" w:rsidRDefault="0019405B" w14:paraId="0F8F18B2" w14:textId="5C1B3F02">
            <w:pPr>
              <w:rPr>
                <w:rFonts w:cs="Arial"/>
                <w:sz w:val="24"/>
                <w:szCs w:val="24"/>
              </w:rPr>
            </w:pPr>
            <w:r>
              <w:rPr>
                <w:rFonts w:cs="Arial"/>
                <w:sz w:val="24"/>
                <w:szCs w:val="24"/>
              </w:rPr>
              <w:t>PDG Smoothing</w:t>
            </w:r>
          </w:p>
        </w:tc>
        <w:tc>
          <w:tcPr>
            <w:tcW w:w="1418" w:type="dxa"/>
          </w:tcPr>
          <w:p w:rsidRPr="00196801" w:rsidR="0019405B" w:rsidP="00467472" w:rsidRDefault="0019405B" w14:paraId="7FB31CEF" w14:textId="29F2EE01">
            <w:pPr>
              <w:jc w:val="right"/>
              <w:rPr>
                <w:rFonts w:cs="Arial"/>
                <w:sz w:val="24"/>
                <w:szCs w:val="24"/>
              </w:rPr>
            </w:pPr>
            <w:r>
              <w:rPr>
                <w:rFonts w:cs="Arial"/>
                <w:sz w:val="24"/>
                <w:szCs w:val="24"/>
              </w:rPr>
              <w:t>£</w:t>
            </w:r>
            <w:r w:rsidR="002A3C5D">
              <w:rPr>
                <w:rFonts w:cs="Arial"/>
                <w:sz w:val="24"/>
                <w:szCs w:val="24"/>
              </w:rPr>
              <w:t>207,458</w:t>
            </w:r>
          </w:p>
        </w:tc>
        <w:tc>
          <w:tcPr>
            <w:tcW w:w="2500" w:type="dxa"/>
          </w:tcPr>
          <w:p w:rsidR="0019405B" w:rsidP="00467472" w:rsidRDefault="00710E30" w14:paraId="4EC94804" w14:textId="23F941F5">
            <w:pPr>
              <w:jc w:val="right"/>
              <w:rPr>
                <w:rFonts w:cs="Arial"/>
                <w:sz w:val="24"/>
                <w:szCs w:val="24"/>
              </w:rPr>
            </w:pPr>
            <w:r>
              <w:rPr>
                <w:rFonts w:cs="Arial"/>
                <w:sz w:val="24"/>
                <w:szCs w:val="24"/>
              </w:rPr>
              <w:t>Schools</w:t>
            </w:r>
          </w:p>
        </w:tc>
      </w:tr>
      <w:tr w:rsidR="0019405B" w:rsidTr="002A3C5D" w14:paraId="6B842B7C" w14:textId="1ADC9513">
        <w:tc>
          <w:tcPr>
            <w:tcW w:w="5098" w:type="dxa"/>
          </w:tcPr>
          <w:p w:rsidRPr="00196801" w:rsidR="0019405B" w:rsidP="00467472" w:rsidRDefault="0019405B" w14:paraId="1ABB8E4B" w14:textId="54547505">
            <w:pPr>
              <w:rPr>
                <w:rFonts w:cs="Arial"/>
                <w:sz w:val="24"/>
                <w:szCs w:val="24"/>
              </w:rPr>
            </w:pPr>
            <w:r>
              <w:rPr>
                <w:rFonts w:cs="Arial"/>
                <w:sz w:val="24"/>
                <w:szCs w:val="24"/>
              </w:rPr>
              <w:t xml:space="preserve">PDG </w:t>
            </w:r>
            <w:r w:rsidR="00241A65">
              <w:rPr>
                <w:rFonts w:cs="Arial"/>
                <w:sz w:val="24"/>
                <w:szCs w:val="24"/>
              </w:rPr>
              <w:t>CLA</w:t>
            </w:r>
          </w:p>
        </w:tc>
        <w:tc>
          <w:tcPr>
            <w:tcW w:w="1418" w:type="dxa"/>
          </w:tcPr>
          <w:p w:rsidR="0019405B" w:rsidP="00467472" w:rsidRDefault="0019405B" w14:paraId="284EA106" w14:textId="396CF10D">
            <w:pPr>
              <w:jc w:val="right"/>
              <w:rPr>
                <w:rFonts w:cs="Arial"/>
                <w:sz w:val="24"/>
                <w:szCs w:val="24"/>
              </w:rPr>
            </w:pPr>
            <w:r>
              <w:rPr>
                <w:rFonts w:cs="Arial"/>
                <w:sz w:val="24"/>
                <w:szCs w:val="24"/>
              </w:rPr>
              <w:t>£2</w:t>
            </w:r>
            <w:r w:rsidR="002A3C5D">
              <w:rPr>
                <w:rFonts w:cs="Arial"/>
                <w:sz w:val="24"/>
                <w:szCs w:val="24"/>
              </w:rPr>
              <w:t>6</w:t>
            </w:r>
            <w:r w:rsidR="00442AAA">
              <w:rPr>
                <w:rFonts w:cs="Arial"/>
                <w:sz w:val="24"/>
                <w:szCs w:val="24"/>
              </w:rPr>
              <w:t>1,0</w:t>
            </w:r>
            <w:r w:rsidR="002A3C5D">
              <w:rPr>
                <w:rFonts w:cs="Arial"/>
                <w:sz w:val="24"/>
                <w:szCs w:val="24"/>
              </w:rPr>
              <w:t>5</w:t>
            </w:r>
            <w:r w:rsidR="00442AAA">
              <w:rPr>
                <w:rFonts w:cs="Arial"/>
                <w:sz w:val="24"/>
                <w:szCs w:val="24"/>
              </w:rPr>
              <w:t>0</w:t>
            </w:r>
          </w:p>
        </w:tc>
        <w:tc>
          <w:tcPr>
            <w:tcW w:w="2500" w:type="dxa"/>
          </w:tcPr>
          <w:p w:rsidR="0019405B" w:rsidP="00467472" w:rsidRDefault="00710E30" w14:paraId="1B4FC8A8" w14:textId="3A895D2D">
            <w:pPr>
              <w:jc w:val="right"/>
              <w:rPr>
                <w:rFonts w:cs="Arial"/>
                <w:sz w:val="24"/>
                <w:szCs w:val="24"/>
              </w:rPr>
            </w:pPr>
            <w:r>
              <w:rPr>
                <w:rFonts w:cs="Arial"/>
                <w:sz w:val="24"/>
                <w:szCs w:val="24"/>
              </w:rPr>
              <w:t>Schools/</w:t>
            </w:r>
            <w:r w:rsidR="00241A65">
              <w:rPr>
                <w:rFonts w:cs="Arial"/>
                <w:sz w:val="24"/>
                <w:szCs w:val="24"/>
              </w:rPr>
              <w:t>C</w:t>
            </w:r>
            <w:r>
              <w:rPr>
                <w:rFonts w:cs="Arial"/>
                <w:sz w:val="24"/>
                <w:szCs w:val="24"/>
              </w:rPr>
              <w:t>entral</w:t>
            </w:r>
          </w:p>
        </w:tc>
      </w:tr>
      <w:tr w:rsidR="00442AAA" w:rsidTr="002A3C5D" w14:paraId="422F2537" w14:textId="77777777">
        <w:tc>
          <w:tcPr>
            <w:tcW w:w="5098" w:type="dxa"/>
          </w:tcPr>
          <w:p w:rsidR="00442AAA" w:rsidP="00467472" w:rsidRDefault="00442AAA" w14:paraId="54C520DB" w14:textId="426648B9">
            <w:pPr>
              <w:rPr>
                <w:rFonts w:cs="Arial"/>
                <w:sz w:val="24"/>
                <w:szCs w:val="24"/>
              </w:rPr>
            </w:pPr>
            <w:r>
              <w:rPr>
                <w:rFonts w:cs="Arial"/>
                <w:sz w:val="24"/>
                <w:szCs w:val="24"/>
              </w:rPr>
              <w:t>PDG Advisors</w:t>
            </w:r>
          </w:p>
        </w:tc>
        <w:tc>
          <w:tcPr>
            <w:tcW w:w="1418" w:type="dxa"/>
          </w:tcPr>
          <w:p w:rsidR="00442AAA" w:rsidP="00467472" w:rsidRDefault="00442AAA" w14:paraId="298A5165" w14:textId="09AB48B4">
            <w:pPr>
              <w:jc w:val="right"/>
              <w:rPr>
                <w:rFonts w:cs="Arial"/>
                <w:sz w:val="24"/>
                <w:szCs w:val="24"/>
              </w:rPr>
            </w:pPr>
            <w:r>
              <w:rPr>
                <w:rFonts w:cs="Arial"/>
                <w:sz w:val="24"/>
                <w:szCs w:val="24"/>
              </w:rPr>
              <w:t>£</w:t>
            </w:r>
            <w:r w:rsidR="002A3C5D">
              <w:rPr>
                <w:rFonts w:cs="Arial"/>
                <w:sz w:val="24"/>
                <w:szCs w:val="24"/>
              </w:rPr>
              <w:t>55,000</w:t>
            </w:r>
          </w:p>
        </w:tc>
        <w:tc>
          <w:tcPr>
            <w:tcW w:w="2500" w:type="dxa"/>
          </w:tcPr>
          <w:p w:rsidR="00442AAA" w:rsidP="00467472" w:rsidRDefault="00442AAA" w14:paraId="3A614F62" w14:textId="48F4CE5C">
            <w:pPr>
              <w:jc w:val="right"/>
              <w:rPr>
                <w:rFonts w:cs="Arial"/>
                <w:sz w:val="24"/>
                <w:szCs w:val="24"/>
              </w:rPr>
            </w:pPr>
            <w:r>
              <w:rPr>
                <w:rFonts w:cs="Arial"/>
                <w:sz w:val="24"/>
                <w:szCs w:val="24"/>
              </w:rPr>
              <w:t>Central</w:t>
            </w:r>
          </w:p>
        </w:tc>
      </w:tr>
    </w:tbl>
    <w:p w:rsidR="00555DF6" w:rsidP="00555DF6" w:rsidRDefault="00555DF6" w14:paraId="4922249A" w14:textId="77777777">
      <w:pPr>
        <w:jc w:val="both"/>
        <w:rPr>
          <w:rFonts w:cs="Arial"/>
          <w:bCs/>
          <w:sz w:val="24"/>
          <w:szCs w:val="24"/>
        </w:rPr>
      </w:pPr>
    </w:p>
    <w:p w:rsidRPr="00555DF6" w:rsidR="00B9141C" w:rsidP="00555DF6" w:rsidRDefault="00B9141C" w14:paraId="0AD0969D" w14:textId="77777777">
      <w:pPr>
        <w:jc w:val="both"/>
        <w:rPr>
          <w:rFonts w:cs="Arial"/>
          <w:bCs/>
          <w:sz w:val="24"/>
          <w:szCs w:val="24"/>
        </w:rPr>
      </w:pPr>
    </w:p>
    <w:p w:rsidRPr="0063689C" w:rsidR="0063689C" w:rsidP="0063689C" w:rsidRDefault="0063689C" w14:paraId="0648754E" w14:textId="20E5D887">
      <w:pPr>
        <w:jc w:val="both"/>
        <w:rPr>
          <w:rFonts w:cs="Arial"/>
          <w:b/>
          <w:sz w:val="24"/>
          <w:szCs w:val="24"/>
          <w:u w:val="single"/>
        </w:rPr>
      </w:pPr>
      <w:r w:rsidRPr="00710E30">
        <w:rPr>
          <w:rFonts w:cs="Arial"/>
          <w:b/>
          <w:sz w:val="24"/>
          <w:szCs w:val="24"/>
          <w:u w:val="single"/>
        </w:rPr>
        <w:lastRenderedPageBreak/>
        <w:t>Reform</w:t>
      </w:r>
      <w:r w:rsidRPr="00710E30" w:rsidR="00AF3EFA">
        <w:rPr>
          <w:rFonts w:cs="Arial"/>
          <w:b/>
          <w:sz w:val="24"/>
          <w:szCs w:val="24"/>
          <w:u w:val="single"/>
        </w:rPr>
        <w:t xml:space="preserve"> - £</w:t>
      </w:r>
      <w:r w:rsidR="00916A0C">
        <w:rPr>
          <w:rFonts w:cs="Arial"/>
          <w:b/>
          <w:sz w:val="24"/>
          <w:szCs w:val="24"/>
          <w:u w:val="single"/>
        </w:rPr>
        <w:t>3,</w:t>
      </w:r>
      <w:r w:rsidR="00CB69DB">
        <w:rPr>
          <w:rFonts w:cs="Arial"/>
          <w:b/>
          <w:sz w:val="24"/>
          <w:szCs w:val="24"/>
          <w:u w:val="single"/>
        </w:rPr>
        <w:t>150,039</w:t>
      </w:r>
      <w:r w:rsidR="0019405B">
        <w:rPr>
          <w:rFonts w:cs="Arial"/>
          <w:b/>
          <w:sz w:val="24"/>
          <w:szCs w:val="24"/>
          <w:u w:val="single"/>
        </w:rPr>
        <w:t xml:space="preserve"> </w:t>
      </w:r>
      <w:r w:rsidRPr="003751DA" w:rsidR="0019405B">
        <w:rPr>
          <w:rFonts w:cs="Arial"/>
          <w:b/>
          <w:u w:val="single"/>
        </w:rPr>
        <w:t xml:space="preserve">(includes schools, centrally retained and </w:t>
      </w:r>
      <w:r w:rsidR="003751DA">
        <w:rPr>
          <w:rFonts w:cs="Arial"/>
          <w:b/>
          <w:u w:val="single"/>
        </w:rPr>
        <w:t>regional PL body</w:t>
      </w:r>
      <w:r w:rsidRPr="003751DA" w:rsidR="0019405B">
        <w:rPr>
          <w:rFonts w:cs="Arial"/>
          <w:b/>
          <w:u w:val="single"/>
        </w:rPr>
        <w:t>)</w:t>
      </w:r>
    </w:p>
    <w:p w:rsidRPr="004F3461" w:rsidR="00735A54" w:rsidP="004F3461" w:rsidRDefault="004F3461" w14:paraId="4C70EAAC" w14:textId="0F0E4BC0">
      <w:pPr>
        <w:jc w:val="both"/>
        <w:rPr>
          <w:rFonts w:cs="Arial"/>
          <w:bCs/>
          <w:sz w:val="24"/>
          <w:szCs w:val="24"/>
        </w:rPr>
      </w:pPr>
      <w:r>
        <w:rPr>
          <w:rFonts w:cs="Arial"/>
          <w:bCs/>
          <w:sz w:val="24"/>
          <w:szCs w:val="24"/>
        </w:rPr>
        <w:t>Allocations for schools have been provided by W</w:t>
      </w:r>
      <w:r w:rsidR="00735A54">
        <w:rPr>
          <w:rFonts w:cs="Arial"/>
          <w:bCs/>
          <w:sz w:val="24"/>
          <w:szCs w:val="24"/>
        </w:rPr>
        <w:t>G, with exception of Curriculum schools, this is for the LA to determine the allocations</w:t>
      </w:r>
      <w:r w:rsidR="003751DA">
        <w:rPr>
          <w:rFonts w:cs="Arial"/>
          <w:bCs/>
          <w:sz w:val="24"/>
          <w:szCs w:val="24"/>
        </w:rPr>
        <w:t>.  Allocations are based on PLASC 2</w:t>
      </w:r>
      <w:r w:rsidR="00087857">
        <w:rPr>
          <w:rFonts w:cs="Arial"/>
          <w:bCs/>
          <w:sz w:val="24"/>
          <w:szCs w:val="24"/>
        </w:rPr>
        <w:t>5, these have already been allocated to schools for the new year budgets.</w:t>
      </w:r>
    </w:p>
    <w:tbl>
      <w:tblPr>
        <w:tblStyle w:val="TableGrid"/>
        <w:tblW w:w="9067" w:type="dxa"/>
        <w:tblLook w:val="04A0" w:firstRow="1" w:lastRow="0" w:firstColumn="1" w:lastColumn="0" w:noHBand="0" w:noVBand="1"/>
      </w:tblPr>
      <w:tblGrid>
        <w:gridCol w:w="5615"/>
        <w:gridCol w:w="1541"/>
        <w:gridCol w:w="1911"/>
      </w:tblGrid>
      <w:tr w:rsidR="00B81A77" w:rsidTr="00CB69DB" w14:paraId="27B1F051" w14:textId="77777777">
        <w:tc>
          <w:tcPr>
            <w:tcW w:w="5615" w:type="dxa"/>
          </w:tcPr>
          <w:p w:rsidRPr="003E6C28" w:rsidR="00B81A77" w:rsidP="00467472" w:rsidRDefault="00B81A77" w14:paraId="394809D2" w14:textId="70792362">
            <w:pPr>
              <w:rPr>
                <w:rFonts w:cs="Arial"/>
                <w:b/>
                <w:bCs/>
                <w:sz w:val="24"/>
                <w:szCs w:val="24"/>
              </w:rPr>
            </w:pPr>
            <w:r>
              <w:rPr>
                <w:rFonts w:cs="Arial"/>
                <w:b/>
                <w:bCs/>
                <w:sz w:val="24"/>
                <w:szCs w:val="24"/>
              </w:rPr>
              <w:t>Funding stream within Reform</w:t>
            </w:r>
          </w:p>
        </w:tc>
        <w:tc>
          <w:tcPr>
            <w:tcW w:w="1541" w:type="dxa"/>
          </w:tcPr>
          <w:p w:rsidRPr="003E6C28" w:rsidR="00B81A77" w:rsidP="00467472" w:rsidRDefault="00B81A77" w14:paraId="1BAD97A8" w14:textId="77777777">
            <w:pPr>
              <w:jc w:val="center"/>
              <w:rPr>
                <w:rFonts w:cs="Arial"/>
                <w:b/>
                <w:bCs/>
                <w:sz w:val="24"/>
                <w:szCs w:val="24"/>
              </w:rPr>
            </w:pPr>
            <w:r>
              <w:rPr>
                <w:rFonts w:cs="Arial"/>
                <w:b/>
                <w:bCs/>
                <w:sz w:val="24"/>
                <w:szCs w:val="24"/>
              </w:rPr>
              <w:t>Allocation</w:t>
            </w:r>
          </w:p>
        </w:tc>
        <w:tc>
          <w:tcPr>
            <w:tcW w:w="1911" w:type="dxa"/>
          </w:tcPr>
          <w:p w:rsidR="00B81A77" w:rsidP="00467472" w:rsidRDefault="00B81A77" w14:paraId="6D9FD4C1" w14:textId="77777777">
            <w:pPr>
              <w:jc w:val="center"/>
              <w:rPr>
                <w:rFonts w:cs="Arial"/>
                <w:b/>
                <w:bCs/>
                <w:sz w:val="24"/>
                <w:szCs w:val="24"/>
              </w:rPr>
            </w:pPr>
            <w:r>
              <w:rPr>
                <w:rFonts w:cs="Arial"/>
                <w:b/>
                <w:bCs/>
                <w:sz w:val="24"/>
                <w:szCs w:val="24"/>
              </w:rPr>
              <w:t>Where</w:t>
            </w:r>
          </w:p>
        </w:tc>
      </w:tr>
      <w:tr w:rsidR="00B81A77" w:rsidTr="00CB69DB" w14:paraId="6E3C27C5" w14:textId="77777777">
        <w:tc>
          <w:tcPr>
            <w:tcW w:w="5615" w:type="dxa"/>
          </w:tcPr>
          <w:p w:rsidRPr="00196801" w:rsidR="00B81A77" w:rsidP="00467472" w:rsidRDefault="00B81A77" w14:paraId="705D252C" w14:textId="0650BA9E">
            <w:pPr>
              <w:rPr>
                <w:rFonts w:cs="Arial"/>
                <w:sz w:val="24"/>
                <w:szCs w:val="24"/>
              </w:rPr>
            </w:pPr>
            <w:r>
              <w:rPr>
                <w:rFonts w:cs="Arial"/>
                <w:sz w:val="24"/>
                <w:szCs w:val="24"/>
              </w:rPr>
              <w:t xml:space="preserve">ALN </w:t>
            </w:r>
            <w:r w:rsidR="00CB69DB">
              <w:rPr>
                <w:rFonts w:cs="Arial"/>
                <w:sz w:val="24"/>
                <w:szCs w:val="24"/>
              </w:rPr>
              <w:t>Quality &amp; Delivery</w:t>
            </w:r>
            <w:r w:rsidR="00C42F1E">
              <w:rPr>
                <w:rFonts w:cs="Arial"/>
                <w:sz w:val="24"/>
                <w:szCs w:val="24"/>
              </w:rPr>
              <w:t xml:space="preserve"> </w:t>
            </w:r>
            <w:r>
              <w:rPr>
                <w:rFonts w:cs="Arial"/>
                <w:sz w:val="24"/>
                <w:szCs w:val="24"/>
              </w:rPr>
              <w:t>Schools</w:t>
            </w:r>
          </w:p>
        </w:tc>
        <w:tc>
          <w:tcPr>
            <w:tcW w:w="1541" w:type="dxa"/>
          </w:tcPr>
          <w:p w:rsidRPr="00196801" w:rsidR="00B81A77" w:rsidP="00467472" w:rsidRDefault="00B81A77" w14:paraId="4067E958" w14:textId="5DF2A73C">
            <w:pPr>
              <w:jc w:val="right"/>
              <w:rPr>
                <w:rFonts w:cs="Arial"/>
                <w:sz w:val="24"/>
                <w:szCs w:val="24"/>
              </w:rPr>
            </w:pPr>
            <w:r>
              <w:rPr>
                <w:rFonts w:cs="Arial"/>
                <w:sz w:val="24"/>
                <w:szCs w:val="24"/>
              </w:rPr>
              <w:t>£4</w:t>
            </w:r>
            <w:r w:rsidR="00CB69DB">
              <w:rPr>
                <w:rFonts w:cs="Arial"/>
                <w:sz w:val="24"/>
                <w:szCs w:val="24"/>
              </w:rPr>
              <w:t>89,840</w:t>
            </w:r>
          </w:p>
        </w:tc>
        <w:tc>
          <w:tcPr>
            <w:tcW w:w="1911" w:type="dxa"/>
          </w:tcPr>
          <w:p w:rsidR="00B81A77" w:rsidP="00467472" w:rsidRDefault="00B81A77" w14:paraId="6D6F9F38" w14:textId="1E85F93C">
            <w:pPr>
              <w:jc w:val="right"/>
              <w:rPr>
                <w:rFonts w:cs="Arial"/>
                <w:sz w:val="24"/>
                <w:szCs w:val="24"/>
              </w:rPr>
            </w:pPr>
            <w:r>
              <w:rPr>
                <w:rFonts w:cs="Arial"/>
                <w:sz w:val="24"/>
                <w:szCs w:val="24"/>
              </w:rPr>
              <w:t>Schools</w:t>
            </w:r>
          </w:p>
        </w:tc>
      </w:tr>
      <w:tr w:rsidR="00B81A77" w:rsidTr="00CB69DB" w14:paraId="339B7C66" w14:textId="77777777">
        <w:tc>
          <w:tcPr>
            <w:tcW w:w="5615" w:type="dxa"/>
          </w:tcPr>
          <w:p w:rsidRPr="00196801" w:rsidR="00B81A77" w:rsidP="00467472" w:rsidRDefault="00B81A77" w14:paraId="14CE974C" w14:textId="515D4AB1">
            <w:pPr>
              <w:rPr>
                <w:rFonts w:cs="Arial"/>
                <w:sz w:val="24"/>
                <w:szCs w:val="24"/>
              </w:rPr>
            </w:pPr>
            <w:r>
              <w:rPr>
                <w:rFonts w:cs="Arial"/>
                <w:sz w:val="24"/>
                <w:szCs w:val="24"/>
              </w:rPr>
              <w:t>ALN</w:t>
            </w:r>
            <w:r w:rsidR="00C42F1E">
              <w:rPr>
                <w:rFonts w:cs="Arial"/>
                <w:sz w:val="24"/>
                <w:szCs w:val="24"/>
              </w:rPr>
              <w:t xml:space="preserve"> </w:t>
            </w:r>
            <w:r w:rsidR="00CB69DB">
              <w:rPr>
                <w:rFonts w:cs="Arial"/>
                <w:sz w:val="24"/>
                <w:szCs w:val="24"/>
              </w:rPr>
              <w:t>Quality &amp; Delivery</w:t>
            </w:r>
            <w:r>
              <w:rPr>
                <w:rFonts w:cs="Arial"/>
                <w:sz w:val="24"/>
                <w:szCs w:val="24"/>
              </w:rPr>
              <w:t xml:space="preserve"> LA’s</w:t>
            </w:r>
          </w:p>
        </w:tc>
        <w:tc>
          <w:tcPr>
            <w:tcW w:w="1541" w:type="dxa"/>
          </w:tcPr>
          <w:p w:rsidRPr="00196801" w:rsidR="00B81A77" w:rsidP="00467472" w:rsidRDefault="00B81A77" w14:paraId="548EF348" w14:textId="6E06F10B">
            <w:pPr>
              <w:jc w:val="right"/>
              <w:rPr>
                <w:rFonts w:cs="Arial"/>
                <w:sz w:val="24"/>
                <w:szCs w:val="24"/>
              </w:rPr>
            </w:pPr>
            <w:r>
              <w:rPr>
                <w:rFonts w:cs="Arial"/>
                <w:sz w:val="24"/>
                <w:szCs w:val="24"/>
              </w:rPr>
              <w:t>£112,000</w:t>
            </w:r>
          </w:p>
        </w:tc>
        <w:tc>
          <w:tcPr>
            <w:tcW w:w="1911" w:type="dxa"/>
          </w:tcPr>
          <w:p w:rsidR="00B81A77" w:rsidP="00467472" w:rsidRDefault="00B81A77" w14:paraId="0B180599" w14:textId="2171A98F">
            <w:pPr>
              <w:jc w:val="right"/>
              <w:rPr>
                <w:rFonts w:cs="Arial"/>
                <w:sz w:val="24"/>
                <w:szCs w:val="24"/>
              </w:rPr>
            </w:pPr>
            <w:r>
              <w:rPr>
                <w:rFonts w:cs="Arial"/>
                <w:sz w:val="24"/>
                <w:szCs w:val="24"/>
              </w:rPr>
              <w:t>Central</w:t>
            </w:r>
          </w:p>
        </w:tc>
      </w:tr>
      <w:tr w:rsidR="00B81A77" w:rsidTr="00CB69DB" w14:paraId="11376ED0" w14:textId="77777777">
        <w:tc>
          <w:tcPr>
            <w:tcW w:w="5615" w:type="dxa"/>
          </w:tcPr>
          <w:p w:rsidRPr="00196801" w:rsidR="00B81A77" w:rsidP="00467472" w:rsidRDefault="00B81A77" w14:paraId="6F002946" w14:textId="12E4CEB7">
            <w:pPr>
              <w:rPr>
                <w:rFonts w:cs="Arial"/>
                <w:sz w:val="24"/>
                <w:szCs w:val="24"/>
              </w:rPr>
            </w:pPr>
            <w:r>
              <w:rPr>
                <w:rFonts w:cs="Arial"/>
                <w:sz w:val="24"/>
                <w:szCs w:val="24"/>
              </w:rPr>
              <w:t>ALN Provision</w:t>
            </w:r>
          </w:p>
        </w:tc>
        <w:tc>
          <w:tcPr>
            <w:tcW w:w="1541" w:type="dxa"/>
          </w:tcPr>
          <w:p w:rsidRPr="00196801" w:rsidR="00B81A77" w:rsidP="00467472" w:rsidRDefault="00B81A77" w14:paraId="743C428F" w14:textId="54C44FB7">
            <w:pPr>
              <w:jc w:val="right"/>
              <w:rPr>
                <w:rFonts w:cs="Arial"/>
                <w:sz w:val="24"/>
                <w:szCs w:val="24"/>
              </w:rPr>
            </w:pPr>
            <w:r>
              <w:rPr>
                <w:rFonts w:cs="Arial"/>
                <w:sz w:val="24"/>
                <w:szCs w:val="24"/>
              </w:rPr>
              <w:t>£</w:t>
            </w:r>
            <w:r w:rsidR="00B9141C">
              <w:rPr>
                <w:rFonts w:cs="Arial"/>
                <w:sz w:val="24"/>
                <w:szCs w:val="24"/>
              </w:rPr>
              <w:t>1,</w:t>
            </w:r>
            <w:r w:rsidR="00CB69DB">
              <w:rPr>
                <w:rFonts w:cs="Arial"/>
                <w:sz w:val="24"/>
                <w:szCs w:val="24"/>
              </w:rPr>
              <w:t>050,806</w:t>
            </w:r>
          </w:p>
        </w:tc>
        <w:tc>
          <w:tcPr>
            <w:tcW w:w="1911" w:type="dxa"/>
          </w:tcPr>
          <w:p w:rsidR="00B81A77" w:rsidP="00467472" w:rsidRDefault="00B9141C" w14:paraId="46D269F3" w14:textId="4CD047F4">
            <w:pPr>
              <w:jc w:val="right"/>
              <w:rPr>
                <w:rFonts w:cs="Arial"/>
                <w:sz w:val="24"/>
                <w:szCs w:val="24"/>
              </w:rPr>
            </w:pPr>
            <w:r>
              <w:rPr>
                <w:rFonts w:cs="Arial"/>
                <w:sz w:val="24"/>
                <w:szCs w:val="24"/>
              </w:rPr>
              <w:t>Schools/</w:t>
            </w:r>
            <w:r w:rsidR="00B81A77">
              <w:rPr>
                <w:rFonts w:cs="Arial"/>
                <w:sz w:val="24"/>
                <w:szCs w:val="24"/>
              </w:rPr>
              <w:t>Central</w:t>
            </w:r>
          </w:p>
        </w:tc>
      </w:tr>
      <w:tr w:rsidR="00B81A77" w:rsidTr="00CB69DB" w14:paraId="745C223C" w14:textId="77777777">
        <w:tc>
          <w:tcPr>
            <w:tcW w:w="5615" w:type="dxa"/>
          </w:tcPr>
          <w:p w:rsidRPr="00196801" w:rsidR="00B81A77" w:rsidP="00467472" w:rsidRDefault="00B81A77" w14:paraId="16A2EBBF" w14:textId="71CF6BB7">
            <w:pPr>
              <w:rPr>
                <w:rFonts w:cs="Arial"/>
                <w:sz w:val="24"/>
                <w:szCs w:val="24"/>
              </w:rPr>
            </w:pPr>
            <w:r>
              <w:rPr>
                <w:rFonts w:cs="Arial"/>
                <w:sz w:val="24"/>
                <w:szCs w:val="24"/>
              </w:rPr>
              <w:t>Wellbeing Counselling</w:t>
            </w:r>
          </w:p>
        </w:tc>
        <w:tc>
          <w:tcPr>
            <w:tcW w:w="1541" w:type="dxa"/>
          </w:tcPr>
          <w:p w:rsidRPr="00196801" w:rsidR="00B81A77" w:rsidP="00467472" w:rsidRDefault="00B81A77" w14:paraId="033AAB1F" w14:textId="34DFD12C">
            <w:pPr>
              <w:jc w:val="right"/>
              <w:rPr>
                <w:rFonts w:cs="Arial"/>
                <w:sz w:val="24"/>
                <w:szCs w:val="24"/>
              </w:rPr>
            </w:pPr>
            <w:r>
              <w:rPr>
                <w:rFonts w:cs="Arial"/>
                <w:sz w:val="24"/>
                <w:szCs w:val="24"/>
              </w:rPr>
              <w:t>£</w:t>
            </w:r>
            <w:r w:rsidR="00CB69DB">
              <w:rPr>
                <w:rFonts w:cs="Arial"/>
                <w:sz w:val="24"/>
                <w:szCs w:val="24"/>
              </w:rPr>
              <w:t>TBC</w:t>
            </w:r>
          </w:p>
        </w:tc>
        <w:tc>
          <w:tcPr>
            <w:tcW w:w="1911" w:type="dxa"/>
          </w:tcPr>
          <w:p w:rsidR="00B81A77" w:rsidP="00467472" w:rsidRDefault="00B81A77" w14:paraId="7CC38898" w14:textId="6C6A9292">
            <w:pPr>
              <w:jc w:val="right"/>
              <w:rPr>
                <w:rFonts w:cs="Arial"/>
                <w:sz w:val="24"/>
                <w:szCs w:val="24"/>
              </w:rPr>
            </w:pPr>
            <w:r>
              <w:rPr>
                <w:rFonts w:cs="Arial"/>
                <w:sz w:val="24"/>
                <w:szCs w:val="24"/>
              </w:rPr>
              <w:t>Central</w:t>
            </w:r>
          </w:p>
        </w:tc>
      </w:tr>
      <w:tr w:rsidR="00B81A77" w:rsidTr="00CB69DB" w14:paraId="4E620111" w14:textId="77777777">
        <w:tc>
          <w:tcPr>
            <w:tcW w:w="5615" w:type="dxa"/>
          </w:tcPr>
          <w:p w:rsidRPr="00196801" w:rsidR="00B81A77" w:rsidP="00467472" w:rsidRDefault="00B81A77" w14:paraId="0D9A41AD" w14:textId="0577A7E2">
            <w:pPr>
              <w:rPr>
                <w:rFonts w:cs="Arial"/>
                <w:sz w:val="24"/>
                <w:szCs w:val="24"/>
              </w:rPr>
            </w:pPr>
            <w:r>
              <w:rPr>
                <w:rFonts w:cs="Arial"/>
                <w:sz w:val="24"/>
                <w:szCs w:val="24"/>
              </w:rPr>
              <w:t>Wellbeing PRU/EOTAS</w:t>
            </w:r>
          </w:p>
        </w:tc>
        <w:tc>
          <w:tcPr>
            <w:tcW w:w="1541" w:type="dxa"/>
          </w:tcPr>
          <w:p w:rsidRPr="00196801" w:rsidR="00B81A77" w:rsidP="00467472" w:rsidRDefault="00B81A77" w14:paraId="71D63048" w14:textId="08516E46">
            <w:pPr>
              <w:jc w:val="right"/>
              <w:rPr>
                <w:rFonts w:cs="Arial"/>
                <w:sz w:val="24"/>
                <w:szCs w:val="24"/>
              </w:rPr>
            </w:pPr>
            <w:r>
              <w:rPr>
                <w:rFonts w:cs="Arial"/>
                <w:sz w:val="24"/>
                <w:szCs w:val="24"/>
              </w:rPr>
              <w:t>£</w:t>
            </w:r>
            <w:r w:rsidR="00CB69DB">
              <w:rPr>
                <w:rFonts w:cs="Arial"/>
                <w:sz w:val="24"/>
                <w:szCs w:val="24"/>
              </w:rPr>
              <w:t>TBC</w:t>
            </w:r>
          </w:p>
        </w:tc>
        <w:tc>
          <w:tcPr>
            <w:tcW w:w="1911" w:type="dxa"/>
          </w:tcPr>
          <w:p w:rsidR="00B81A77" w:rsidP="00467472" w:rsidRDefault="00B81A77" w14:paraId="41074154" w14:textId="7B9F2BDC">
            <w:pPr>
              <w:jc w:val="right"/>
              <w:rPr>
                <w:rFonts w:cs="Arial"/>
                <w:sz w:val="24"/>
                <w:szCs w:val="24"/>
              </w:rPr>
            </w:pPr>
            <w:r>
              <w:rPr>
                <w:rFonts w:cs="Arial"/>
                <w:sz w:val="24"/>
                <w:szCs w:val="24"/>
              </w:rPr>
              <w:t>EOTAS</w:t>
            </w:r>
          </w:p>
        </w:tc>
      </w:tr>
      <w:tr w:rsidR="00B81A77" w:rsidTr="00CB69DB" w14:paraId="3396DA7A" w14:textId="77777777">
        <w:tc>
          <w:tcPr>
            <w:tcW w:w="5615" w:type="dxa"/>
          </w:tcPr>
          <w:p w:rsidRPr="00B81A77" w:rsidR="00B81A77" w:rsidP="00467472" w:rsidRDefault="00B81A77" w14:paraId="20CFC2F1" w14:textId="77341817">
            <w:pPr>
              <w:rPr>
                <w:rFonts w:cs="Arial"/>
                <w:sz w:val="24"/>
                <w:szCs w:val="24"/>
              </w:rPr>
            </w:pPr>
            <w:r w:rsidRPr="00B81A77">
              <w:rPr>
                <w:rFonts w:cs="Arial"/>
                <w:sz w:val="24"/>
                <w:szCs w:val="24"/>
              </w:rPr>
              <w:t>Wellbeing interventions</w:t>
            </w:r>
          </w:p>
        </w:tc>
        <w:tc>
          <w:tcPr>
            <w:tcW w:w="1541" w:type="dxa"/>
          </w:tcPr>
          <w:p w:rsidRPr="00196801" w:rsidR="00B81A77" w:rsidP="00467472" w:rsidRDefault="00B81A77" w14:paraId="5D766241" w14:textId="4DEB2B7F">
            <w:pPr>
              <w:jc w:val="right"/>
              <w:rPr>
                <w:rFonts w:cs="Arial"/>
                <w:sz w:val="24"/>
                <w:szCs w:val="24"/>
              </w:rPr>
            </w:pPr>
            <w:r>
              <w:rPr>
                <w:rFonts w:cs="Arial"/>
                <w:sz w:val="24"/>
                <w:szCs w:val="24"/>
              </w:rPr>
              <w:t>£</w:t>
            </w:r>
            <w:r w:rsidR="00CB69DB">
              <w:rPr>
                <w:rFonts w:cs="Arial"/>
                <w:sz w:val="24"/>
                <w:szCs w:val="24"/>
              </w:rPr>
              <w:t>TBC</w:t>
            </w:r>
          </w:p>
        </w:tc>
        <w:tc>
          <w:tcPr>
            <w:tcW w:w="1911" w:type="dxa"/>
          </w:tcPr>
          <w:p w:rsidR="00B81A77" w:rsidP="00467472" w:rsidRDefault="00B81A77" w14:paraId="21A43520" w14:textId="246291BB">
            <w:pPr>
              <w:jc w:val="right"/>
              <w:rPr>
                <w:rFonts w:cs="Arial"/>
                <w:sz w:val="24"/>
                <w:szCs w:val="24"/>
              </w:rPr>
            </w:pPr>
            <w:r>
              <w:rPr>
                <w:rFonts w:cs="Arial"/>
                <w:sz w:val="24"/>
                <w:szCs w:val="24"/>
              </w:rPr>
              <w:t>Central</w:t>
            </w:r>
          </w:p>
        </w:tc>
      </w:tr>
      <w:tr w:rsidR="00B81A77" w:rsidTr="00CB69DB" w14:paraId="6CF86746" w14:textId="77777777">
        <w:tc>
          <w:tcPr>
            <w:tcW w:w="5615" w:type="dxa"/>
          </w:tcPr>
          <w:p w:rsidRPr="00B81A77" w:rsidR="00B81A77" w:rsidP="00467472" w:rsidRDefault="00B81A77" w14:paraId="7FC49A32" w14:textId="67C826C0">
            <w:pPr>
              <w:rPr>
                <w:rFonts w:cs="Arial"/>
                <w:color w:val="000000"/>
                <w:sz w:val="24"/>
                <w:szCs w:val="24"/>
              </w:rPr>
            </w:pPr>
            <w:r w:rsidRPr="00B81A77">
              <w:rPr>
                <w:rFonts w:cs="Arial"/>
                <w:color w:val="000000"/>
                <w:sz w:val="24"/>
                <w:szCs w:val="24"/>
              </w:rPr>
              <w:t>Curriculum schools</w:t>
            </w:r>
          </w:p>
        </w:tc>
        <w:tc>
          <w:tcPr>
            <w:tcW w:w="1541" w:type="dxa"/>
          </w:tcPr>
          <w:p w:rsidR="00B81A77" w:rsidP="00467472" w:rsidRDefault="00B81A77" w14:paraId="345C7C35" w14:textId="384396A2">
            <w:pPr>
              <w:jc w:val="right"/>
              <w:rPr>
                <w:rFonts w:cs="Arial"/>
                <w:sz w:val="24"/>
                <w:szCs w:val="24"/>
              </w:rPr>
            </w:pPr>
            <w:r>
              <w:rPr>
                <w:rFonts w:cs="Arial"/>
                <w:sz w:val="24"/>
                <w:szCs w:val="24"/>
              </w:rPr>
              <w:t>£26</w:t>
            </w:r>
            <w:r w:rsidR="00CB69DB">
              <w:rPr>
                <w:rFonts w:cs="Arial"/>
                <w:sz w:val="24"/>
                <w:szCs w:val="24"/>
              </w:rPr>
              <w:t>2,689</w:t>
            </w:r>
          </w:p>
        </w:tc>
        <w:tc>
          <w:tcPr>
            <w:tcW w:w="1911" w:type="dxa"/>
          </w:tcPr>
          <w:p w:rsidR="00B81A77" w:rsidP="00467472" w:rsidRDefault="00B81A77" w14:paraId="5B15C376" w14:textId="75E24675">
            <w:pPr>
              <w:jc w:val="right"/>
              <w:rPr>
                <w:rFonts w:cs="Arial"/>
                <w:sz w:val="24"/>
                <w:szCs w:val="24"/>
              </w:rPr>
            </w:pPr>
            <w:r>
              <w:rPr>
                <w:rFonts w:cs="Arial"/>
                <w:sz w:val="24"/>
                <w:szCs w:val="24"/>
              </w:rPr>
              <w:t>Schools</w:t>
            </w:r>
          </w:p>
        </w:tc>
      </w:tr>
      <w:tr w:rsidR="00B81A77" w:rsidTr="00CB69DB" w14:paraId="5E0F155B" w14:textId="77777777">
        <w:tc>
          <w:tcPr>
            <w:tcW w:w="5615" w:type="dxa"/>
          </w:tcPr>
          <w:p w:rsidRPr="00B81A77" w:rsidR="00B81A77" w:rsidP="00467472" w:rsidRDefault="004B016C" w14:paraId="6F3C9C33" w14:textId="6685093F">
            <w:pPr>
              <w:rPr>
                <w:rFonts w:cs="Arial"/>
                <w:color w:val="000000"/>
                <w:sz w:val="24"/>
                <w:szCs w:val="24"/>
              </w:rPr>
            </w:pPr>
            <w:r>
              <w:rPr>
                <w:rFonts w:cs="Arial"/>
                <w:color w:val="000000"/>
                <w:sz w:val="24"/>
                <w:szCs w:val="24"/>
              </w:rPr>
              <w:t xml:space="preserve">Reform Programmes - </w:t>
            </w:r>
            <w:r w:rsidRPr="00B81A77" w:rsidR="00B81A77">
              <w:rPr>
                <w:rFonts w:cs="Arial"/>
                <w:color w:val="000000"/>
                <w:sz w:val="24"/>
                <w:szCs w:val="24"/>
              </w:rPr>
              <w:t xml:space="preserve">Curriculum </w:t>
            </w:r>
            <w:r>
              <w:rPr>
                <w:rFonts w:cs="Arial"/>
                <w:color w:val="000000"/>
                <w:sz w:val="24"/>
                <w:szCs w:val="24"/>
              </w:rPr>
              <w:t>support</w:t>
            </w:r>
            <w:r w:rsidRPr="00B81A77" w:rsidR="00B81A77">
              <w:rPr>
                <w:rFonts w:cs="Arial"/>
                <w:color w:val="000000"/>
                <w:sz w:val="24"/>
                <w:szCs w:val="24"/>
              </w:rPr>
              <w:t xml:space="preserve"> </w:t>
            </w:r>
          </w:p>
        </w:tc>
        <w:tc>
          <w:tcPr>
            <w:tcW w:w="1541" w:type="dxa"/>
          </w:tcPr>
          <w:p w:rsidRPr="004B016C" w:rsidR="00B81A77" w:rsidP="00467472" w:rsidRDefault="00B81A77" w14:paraId="034130F7" w14:textId="71C9B440">
            <w:pPr>
              <w:jc w:val="right"/>
              <w:rPr>
                <w:rFonts w:cs="Arial"/>
                <w:sz w:val="24"/>
                <w:szCs w:val="24"/>
              </w:rPr>
            </w:pPr>
            <w:r w:rsidRPr="004B016C">
              <w:rPr>
                <w:rFonts w:cs="Arial"/>
                <w:sz w:val="24"/>
                <w:szCs w:val="24"/>
              </w:rPr>
              <w:t>£</w:t>
            </w:r>
            <w:r w:rsidRPr="004B016C" w:rsidR="004B016C">
              <w:rPr>
                <w:rFonts w:cs="Arial"/>
                <w:sz w:val="24"/>
                <w:szCs w:val="24"/>
              </w:rPr>
              <w:t>261,</w:t>
            </w:r>
            <w:r w:rsidR="00CB69DB">
              <w:rPr>
                <w:rFonts w:cs="Arial"/>
                <w:sz w:val="24"/>
                <w:szCs w:val="24"/>
              </w:rPr>
              <w:t>677</w:t>
            </w:r>
          </w:p>
        </w:tc>
        <w:tc>
          <w:tcPr>
            <w:tcW w:w="1911" w:type="dxa"/>
          </w:tcPr>
          <w:p w:rsidRPr="004B016C" w:rsidR="00B81A77" w:rsidP="00467472" w:rsidRDefault="004B016C" w14:paraId="77003571" w14:textId="7659DAFD">
            <w:pPr>
              <w:jc w:val="right"/>
              <w:rPr>
                <w:rFonts w:cs="Arial"/>
                <w:sz w:val="24"/>
                <w:szCs w:val="24"/>
              </w:rPr>
            </w:pPr>
            <w:r w:rsidRPr="004B016C">
              <w:rPr>
                <w:rFonts w:cs="Arial"/>
                <w:sz w:val="24"/>
                <w:szCs w:val="24"/>
              </w:rPr>
              <w:t>Regional PL body</w:t>
            </w:r>
          </w:p>
        </w:tc>
      </w:tr>
      <w:tr w:rsidR="00B81A77" w:rsidTr="00CB69DB" w14:paraId="740753BE" w14:textId="77777777">
        <w:tc>
          <w:tcPr>
            <w:tcW w:w="5615" w:type="dxa"/>
          </w:tcPr>
          <w:p w:rsidRPr="00B81A77" w:rsidR="00B81A77" w:rsidP="00467472" w:rsidRDefault="00B81A77" w14:paraId="03B324CC" w14:textId="4B555506">
            <w:pPr>
              <w:rPr>
                <w:rFonts w:cs="Arial"/>
                <w:color w:val="000000"/>
                <w:sz w:val="24"/>
                <w:szCs w:val="24"/>
              </w:rPr>
            </w:pPr>
            <w:r w:rsidRPr="00B81A77">
              <w:rPr>
                <w:rFonts w:cs="Arial"/>
                <w:color w:val="000000"/>
                <w:sz w:val="24"/>
                <w:szCs w:val="24"/>
              </w:rPr>
              <w:t xml:space="preserve">Curriculum reform programme </w:t>
            </w:r>
            <w:r w:rsidR="004B016C">
              <w:rPr>
                <w:rFonts w:cs="Arial"/>
                <w:color w:val="000000"/>
                <w:sz w:val="24"/>
                <w:szCs w:val="24"/>
              </w:rPr>
              <w:t>–</w:t>
            </w:r>
            <w:r w:rsidRPr="00B81A77">
              <w:rPr>
                <w:rFonts w:cs="Arial"/>
                <w:color w:val="000000"/>
                <w:sz w:val="24"/>
                <w:szCs w:val="24"/>
              </w:rPr>
              <w:t xml:space="preserve"> </w:t>
            </w:r>
            <w:r w:rsidR="004B016C">
              <w:rPr>
                <w:rFonts w:cs="Arial"/>
                <w:color w:val="000000"/>
                <w:sz w:val="24"/>
                <w:szCs w:val="24"/>
              </w:rPr>
              <w:t>LA Literacy &amp; Numeracy Capacity</w:t>
            </w:r>
          </w:p>
        </w:tc>
        <w:tc>
          <w:tcPr>
            <w:tcW w:w="1541" w:type="dxa"/>
          </w:tcPr>
          <w:p w:rsidRPr="004B016C" w:rsidR="00B81A77" w:rsidP="00467472" w:rsidRDefault="00B81A77" w14:paraId="0A974655" w14:textId="5D918426">
            <w:pPr>
              <w:jc w:val="right"/>
              <w:rPr>
                <w:rFonts w:cs="Arial"/>
                <w:sz w:val="24"/>
                <w:szCs w:val="24"/>
              </w:rPr>
            </w:pPr>
            <w:r w:rsidRPr="004B016C">
              <w:rPr>
                <w:rFonts w:cs="Arial"/>
                <w:sz w:val="24"/>
                <w:szCs w:val="24"/>
              </w:rPr>
              <w:t>£</w:t>
            </w:r>
            <w:r w:rsidRPr="004B016C" w:rsidR="004B016C">
              <w:rPr>
                <w:rFonts w:cs="Arial"/>
                <w:sz w:val="24"/>
                <w:szCs w:val="24"/>
              </w:rPr>
              <w:t>109,</w:t>
            </w:r>
            <w:r w:rsidR="00CB69DB">
              <w:rPr>
                <w:rFonts w:cs="Arial"/>
                <w:sz w:val="24"/>
                <w:szCs w:val="24"/>
              </w:rPr>
              <w:t>454</w:t>
            </w:r>
          </w:p>
        </w:tc>
        <w:tc>
          <w:tcPr>
            <w:tcW w:w="1911" w:type="dxa"/>
          </w:tcPr>
          <w:p w:rsidRPr="004B016C" w:rsidR="00B81A77" w:rsidP="00467472" w:rsidRDefault="004B016C" w14:paraId="6871E266" w14:textId="0DAEF35B">
            <w:pPr>
              <w:jc w:val="right"/>
              <w:rPr>
                <w:rFonts w:cs="Arial"/>
                <w:sz w:val="24"/>
                <w:szCs w:val="24"/>
              </w:rPr>
            </w:pPr>
            <w:r w:rsidRPr="004B016C">
              <w:rPr>
                <w:rFonts w:cs="Arial"/>
                <w:sz w:val="24"/>
                <w:szCs w:val="24"/>
              </w:rPr>
              <w:t>Central</w:t>
            </w:r>
          </w:p>
        </w:tc>
      </w:tr>
      <w:tr w:rsidR="00B81A77" w:rsidTr="00CB69DB" w14:paraId="6A58D0EF" w14:textId="77777777">
        <w:tc>
          <w:tcPr>
            <w:tcW w:w="5615" w:type="dxa"/>
          </w:tcPr>
          <w:p w:rsidRPr="00B81A77" w:rsidR="00B81A77" w:rsidP="00467472" w:rsidRDefault="00B81A77" w14:paraId="668F87AC" w14:textId="67A5B512">
            <w:pPr>
              <w:rPr>
                <w:rFonts w:cs="Arial"/>
                <w:color w:val="000000"/>
                <w:sz w:val="24"/>
                <w:szCs w:val="24"/>
              </w:rPr>
            </w:pPr>
            <w:r w:rsidRPr="00B81A77">
              <w:rPr>
                <w:rFonts w:cs="Arial"/>
                <w:color w:val="000000"/>
                <w:sz w:val="24"/>
                <w:szCs w:val="24"/>
              </w:rPr>
              <w:t>Professional Learning schools</w:t>
            </w:r>
          </w:p>
        </w:tc>
        <w:tc>
          <w:tcPr>
            <w:tcW w:w="1541" w:type="dxa"/>
          </w:tcPr>
          <w:p w:rsidRPr="004B016C" w:rsidR="00B81A77" w:rsidP="00467472" w:rsidRDefault="00B81A77" w14:paraId="2B54D117" w14:textId="702097B5">
            <w:pPr>
              <w:jc w:val="right"/>
              <w:rPr>
                <w:rFonts w:cs="Arial"/>
                <w:sz w:val="24"/>
                <w:szCs w:val="24"/>
              </w:rPr>
            </w:pPr>
            <w:r w:rsidRPr="004B016C">
              <w:rPr>
                <w:rFonts w:cs="Arial"/>
                <w:sz w:val="24"/>
                <w:szCs w:val="24"/>
              </w:rPr>
              <w:t>£</w:t>
            </w:r>
            <w:r w:rsidR="00CB69DB">
              <w:rPr>
                <w:rFonts w:cs="Arial"/>
                <w:sz w:val="24"/>
                <w:szCs w:val="24"/>
              </w:rPr>
              <w:t>759,266</w:t>
            </w:r>
          </w:p>
        </w:tc>
        <w:tc>
          <w:tcPr>
            <w:tcW w:w="1911" w:type="dxa"/>
          </w:tcPr>
          <w:p w:rsidRPr="004B016C" w:rsidR="00B81A77" w:rsidP="00467472" w:rsidRDefault="00B81A77" w14:paraId="6FE61FA4" w14:textId="7267044C">
            <w:pPr>
              <w:jc w:val="right"/>
              <w:rPr>
                <w:rFonts w:cs="Arial"/>
                <w:sz w:val="24"/>
                <w:szCs w:val="24"/>
              </w:rPr>
            </w:pPr>
            <w:r w:rsidRPr="004B016C">
              <w:rPr>
                <w:rFonts w:cs="Arial"/>
                <w:sz w:val="24"/>
                <w:szCs w:val="24"/>
              </w:rPr>
              <w:t>Schools</w:t>
            </w:r>
          </w:p>
        </w:tc>
      </w:tr>
      <w:tr w:rsidR="00B81A77" w:rsidTr="00CB69DB" w14:paraId="4899515B" w14:textId="77777777">
        <w:tc>
          <w:tcPr>
            <w:tcW w:w="5615" w:type="dxa"/>
          </w:tcPr>
          <w:p w:rsidRPr="00B81A77" w:rsidR="00B81A77" w:rsidP="00467472" w:rsidRDefault="00B81A77" w14:paraId="70DEE43A" w14:textId="7A8988DC">
            <w:pPr>
              <w:rPr>
                <w:rFonts w:cs="Arial"/>
                <w:color w:val="000000"/>
                <w:sz w:val="24"/>
                <w:szCs w:val="24"/>
              </w:rPr>
            </w:pPr>
            <w:r w:rsidRPr="00B81A77">
              <w:rPr>
                <w:rFonts w:cs="Arial"/>
                <w:color w:val="000000"/>
                <w:sz w:val="24"/>
                <w:szCs w:val="24"/>
              </w:rPr>
              <w:t>Prof. learning and leadership - school led prof learning</w:t>
            </w:r>
          </w:p>
        </w:tc>
        <w:tc>
          <w:tcPr>
            <w:tcW w:w="1541" w:type="dxa"/>
          </w:tcPr>
          <w:p w:rsidRPr="004B016C" w:rsidR="00B81A77" w:rsidP="00467472" w:rsidRDefault="00B81A77" w14:paraId="31E67B3C" w14:textId="0C71190D">
            <w:pPr>
              <w:jc w:val="right"/>
              <w:rPr>
                <w:rFonts w:cs="Arial"/>
                <w:sz w:val="24"/>
                <w:szCs w:val="24"/>
              </w:rPr>
            </w:pPr>
            <w:r w:rsidRPr="004B016C">
              <w:rPr>
                <w:rFonts w:cs="Arial"/>
                <w:sz w:val="24"/>
                <w:szCs w:val="24"/>
              </w:rPr>
              <w:t>£</w:t>
            </w:r>
            <w:r w:rsidRPr="004B016C" w:rsidR="004B016C">
              <w:rPr>
                <w:rFonts w:cs="Arial"/>
                <w:sz w:val="24"/>
                <w:szCs w:val="24"/>
              </w:rPr>
              <w:t>65,</w:t>
            </w:r>
            <w:r w:rsidR="00CB69DB">
              <w:rPr>
                <w:rFonts w:cs="Arial"/>
                <w:sz w:val="24"/>
                <w:szCs w:val="24"/>
              </w:rPr>
              <w:t>672</w:t>
            </w:r>
          </w:p>
        </w:tc>
        <w:tc>
          <w:tcPr>
            <w:tcW w:w="1911" w:type="dxa"/>
          </w:tcPr>
          <w:p w:rsidRPr="004B016C" w:rsidR="00B81A77" w:rsidP="00467472" w:rsidRDefault="004B016C" w14:paraId="72127181" w14:textId="449B9676">
            <w:pPr>
              <w:jc w:val="right"/>
              <w:rPr>
                <w:rFonts w:cs="Arial"/>
                <w:sz w:val="24"/>
                <w:szCs w:val="24"/>
              </w:rPr>
            </w:pPr>
            <w:r w:rsidRPr="004B016C">
              <w:rPr>
                <w:rFonts w:cs="Arial"/>
                <w:sz w:val="24"/>
                <w:szCs w:val="24"/>
              </w:rPr>
              <w:t>Regional PL body</w:t>
            </w:r>
          </w:p>
        </w:tc>
      </w:tr>
      <w:tr w:rsidR="00B81A77" w:rsidTr="00CB69DB" w14:paraId="0774FDFD" w14:textId="77777777">
        <w:tc>
          <w:tcPr>
            <w:tcW w:w="5615" w:type="dxa"/>
          </w:tcPr>
          <w:p w:rsidRPr="00B81A77" w:rsidR="00B81A77" w:rsidP="00467472" w:rsidRDefault="00B81A77" w14:paraId="6DC075C8" w14:textId="76CA838C">
            <w:pPr>
              <w:rPr>
                <w:rFonts w:cs="Arial"/>
                <w:color w:val="000000"/>
                <w:sz w:val="24"/>
                <w:szCs w:val="24"/>
              </w:rPr>
            </w:pPr>
            <w:r w:rsidRPr="00B81A77">
              <w:rPr>
                <w:rFonts w:cs="Arial"/>
                <w:color w:val="000000"/>
                <w:sz w:val="24"/>
                <w:szCs w:val="24"/>
              </w:rPr>
              <w:t xml:space="preserve">Prof. learning and leadership </w:t>
            </w:r>
            <w:r w:rsidR="004B016C">
              <w:rPr>
                <w:rFonts w:cs="Arial"/>
                <w:color w:val="000000"/>
                <w:sz w:val="24"/>
                <w:szCs w:val="24"/>
              </w:rPr>
              <w:t>–</w:t>
            </w:r>
            <w:r w:rsidRPr="00B81A77">
              <w:rPr>
                <w:rFonts w:cs="Arial"/>
                <w:color w:val="000000"/>
                <w:sz w:val="24"/>
                <w:szCs w:val="24"/>
              </w:rPr>
              <w:t xml:space="preserve"> </w:t>
            </w:r>
            <w:r w:rsidR="004B016C">
              <w:rPr>
                <w:rFonts w:cs="Arial"/>
                <w:color w:val="000000"/>
                <w:sz w:val="24"/>
                <w:szCs w:val="24"/>
              </w:rPr>
              <w:t xml:space="preserve">TA </w:t>
            </w:r>
            <w:r w:rsidRPr="00B81A77">
              <w:rPr>
                <w:rFonts w:cs="Arial"/>
                <w:color w:val="000000"/>
                <w:sz w:val="24"/>
                <w:szCs w:val="24"/>
              </w:rPr>
              <w:t>pathways</w:t>
            </w:r>
          </w:p>
        </w:tc>
        <w:tc>
          <w:tcPr>
            <w:tcW w:w="1541" w:type="dxa"/>
          </w:tcPr>
          <w:p w:rsidRPr="004B016C" w:rsidR="00B81A77" w:rsidP="00467472" w:rsidRDefault="00B81A77" w14:paraId="0B735AC4" w14:textId="2B7CECDB">
            <w:pPr>
              <w:jc w:val="right"/>
              <w:rPr>
                <w:rFonts w:cs="Arial"/>
                <w:sz w:val="24"/>
                <w:szCs w:val="24"/>
                <w:highlight w:val="yellow"/>
              </w:rPr>
            </w:pPr>
            <w:r w:rsidRPr="004B016C">
              <w:rPr>
                <w:rFonts w:cs="Arial"/>
                <w:sz w:val="24"/>
                <w:szCs w:val="24"/>
              </w:rPr>
              <w:t>£</w:t>
            </w:r>
            <w:r w:rsidRPr="004B016C" w:rsidR="004B016C">
              <w:rPr>
                <w:rFonts w:cs="Arial"/>
                <w:sz w:val="24"/>
                <w:szCs w:val="24"/>
              </w:rPr>
              <w:t>38,636</w:t>
            </w:r>
          </w:p>
        </w:tc>
        <w:tc>
          <w:tcPr>
            <w:tcW w:w="1911" w:type="dxa"/>
          </w:tcPr>
          <w:p w:rsidRPr="004B016C" w:rsidR="00B81A77" w:rsidP="00467472" w:rsidRDefault="004B016C" w14:paraId="636DD443" w14:textId="395EBD99">
            <w:pPr>
              <w:jc w:val="right"/>
              <w:rPr>
                <w:rFonts w:cs="Arial"/>
                <w:sz w:val="24"/>
                <w:szCs w:val="24"/>
                <w:highlight w:val="yellow"/>
              </w:rPr>
            </w:pPr>
            <w:r w:rsidRPr="004B016C">
              <w:rPr>
                <w:rFonts w:cs="Arial"/>
                <w:sz w:val="24"/>
                <w:szCs w:val="24"/>
              </w:rPr>
              <w:t>Regional PL body</w:t>
            </w:r>
          </w:p>
        </w:tc>
      </w:tr>
    </w:tbl>
    <w:p w:rsidRPr="00B81A77" w:rsidR="00B81A77" w:rsidP="00B81A77" w:rsidRDefault="00B81A77" w14:paraId="61F79302" w14:textId="77777777">
      <w:pPr>
        <w:jc w:val="both"/>
        <w:rPr>
          <w:rFonts w:cs="Arial"/>
          <w:bCs/>
          <w:sz w:val="24"/>
          <w:szCs w:val="24"/>
        </w:rPr>
      </w:pPr>
    </w:p>
    <w:p w:rsidRPr="004B016C" w:rsidR="004B016C" w:rsidP="00470A73" w:rsidRDefault="00AF3EFA" w14:paraId="3AF2BE99" w14:textId="0D38DA3E">
      <w:pPr>
        <w:jc w:val="both"/>
        <w:rPr>
          <w:rFonts w:cs="Arial"/>
          <w:bCs/>
          <w:sz w:val="24"/>
          <w:szCs w:val="24"/>
        </w:rPr>
      </w:pPr>
      <w:r w:rsidRPr="00735A54">
        <w:rPr>
          <w:rFonts w:cs="Arial"/>
          <w:b/>
          <w:sz w:val="24"/>
          <w:szCs w:val="24"/>
          <w:u w:val="single"/>
        </w:rPr>
        <w:t>Cymraeg 2050 - £</w:t>
      </w:r>
      <w:r w:rsidR="004B016C">
        <w:rPr>
          <w:rFonts w:cs="Arial"/>
          <w:b/>
          <w:sz w:val="24"/>
          <w:szCs w:val="24"/>
          <w:u w:val="single"/>
        </w:rPr>
        <w:t>457,</w:t>
      </w:r>
      <w:r w:rsidR="00CB69DB">
        <w:rPr>
          <w:rFonts w:cs="Arial"/>
          <w:b/>
          <w:sz w:val="24"/>
          <w:szCs w:val="24"/>
          <w:u w:val="single"/>
        </w:rPr>
        <w:t>74</w:t>
      </w:r>
      <w:r w:rsidR="004B016C">
        <w:rPr>
          <w:rFonts w:cs="Arial"/>
          <w:b/>
          <w:sz w:val="24"/>
          <w:szCs w:val="24"/>
          <w:u w:val="single"/>
        </w:rPr>
        <w:t>7</w:t>
      </w:r>
      <w:r w:rsidRPr="00735A54" w:rsidR="00735A54">
        <w:rPr>
          <w:rFonts w:cs="Arial"/>
          <w:b/>
          <w:sz w:val="24"/>
          <w:szCs w:val="24"/>
          <w:u w:val="single"/>
        </w:rPr>
        <w:t xml:space="preserve"> </w:t>
      </w:r>
      <w:r w:rsidRPr="004B016C" w:rsidR="00735A54">
        <w:rPr>
          <w:rFonts w:cs="Arial"/>
          <w:b/>
          <w:u w:val="single"/>
        </w:rPr>
        <w:t>(includes schools, centrally retained and LA match funding)</w:t>
      </w:r>
      <w:r w:rsidRPr="005D7703" w:rsidR="00470A73">
        <w:rPr>
          <w:rFonts w:cs="Arial"/>
          <w:bCs/>
          <w:sz w:val="24"/>
          <w:szCs w:val="24"/>
        </w:rPr>
        <w:t xml:space="preserve"> </w:t>
      </w:r>
    </w:p>
    <w:tbl>
      <w:tblPr>
        <w:tblStyle w:val="TableGrid"/>
        <w:tblW w:w="0" w:type="auto"/>
        <w:tblLook w:val="04A0" w:firstRow="1" w:lastRow="0" w:firstColumn="1" w:lastColumn="0" w:noHBand="0" w:noVBand="1"/>
      </w:tblPr>
      <w:tblGrid>
        <w:gridCol w:w="5905"/>
        <w:gridCol w:w="1547"/>
        <w:gridCol w:w="1564"/>
      </w:tblGrid>
      <w:tr w:rsidR="00735A54" w:rsidTr="00467472" w14:paraId="4BF1FCAC" w14:textId="77777777">
        <w:tc>
          <w:tcPr>
            <w:tcW w:w="6232" w:type="dxa"/>
          </w:tcPr>
          <w:p w:rsidRPr="003E6C28" w:rsidR="00735A54" w:rsidP="00467472" w:rsidRDefault="00735A54" w14:paraId="0EE82A7F" w14:textId="02D7E3E4">
            <w:pPr>
              <w:rPr>
                <w:rFonts w:cs="Arial"/>
                <w:b/>
                <w:bCs/>
                <w:sz w:val="24"/>
                <w:szCs w:val="24"/>
              </w:rPr>
            </w:pPr>
            <w:r>
              <w:rPr>
                <w:rFonts w:cs="Arial"/>
                <w:b/>
                <w:bCs/>
                <w:sz w:val="24"/>
                <w:szCs w:val="24"/>
              </w:rPr>
              <w:t xml:space="preserve">Funding stream within </w:t>
            </w:r>
            <w:r w:rsidR="00470A73">
              <w:rPr>
                <w:rFonts w:cs="Arial"/>
                <w:b/>
                <w:bCs/>
                <w:sz w:val="24"/>
                <w:szCs w:val="24"/>
              </w:rPr>
              <w:t>Cymraeg 2050</w:t>
            </w:r>
          </w:p>
        </w:tc>
        <w:tc>
          <w:tcPr>
            <w:tcW w:w="1560" w:type="dxa"/>
          </w:tcPr>
          <w:p w:rsidRPr="003E6C28" w:rsidR="00735A54" w:rsidP="00467472" w:rsidRDefault="00735A54" w14:paraId="7BB30434" w14:textId="77777777">
            <w:pPr>
              <w:jc w:val="center"/>
              <w:rPr>
                <w:rFonts w:cs="Arial"/>
                <w:b/>
                <w:bCs/>
                <w:sz w:val="24"/>
                <w:szCs w:val="24"/>
              </w:rPr>
            </w:pPr>
            <w:r>
              <w:rPr>
                <w:rFonts w:cs="Arial"/>
                <w:b/>
                <w:bCs/>
                <w:sz w:val="24"/>
                <w:szCs w:val="24"/>
              </w:rPr>
              <w:t>Allocation</w:t>
            </w:r>
          </w:p>
        </w:tc>
        <w:tc>
          <w:tcPr>
            <w:tcW w:w="1224" w:type="dxa"/>
          </w:tcPr>
          <w:p w:rsidR="00735A54" w:rsidP="00467472" w:rsidRDefault="00735A54" w14:paraId="1DB53654" w14:textId="77777777">
            <w:pPr>
              <w:jc w:val="center"/>
              <w:rPr>
                <w:rFonts w:cs="Arial"/>
                <w:b/>
                <w:bCs/>
                <w:sz w:val="24"/>
                <w:szCs w:val="24"/>
              </w:rPr>
            </w:pPr>
            <w:r>
              <w:rPr>
                <w:rFonts w:cs="Arial"/>
                <w:b/>
                <w:bCs/>
                <w:sz w:val="24"/>
                <w:szCs w:val="24"/>
              </w:rPr>
              <w:t>Where</w:t>
            </w:r>
          </w:p>
        </w:tc>
      </w:tr>
      <w:tr w:rsidR="00735A54" w:rsidTr="00467472" w14:paraId="695218E8" w14:textId="77777777">
        <w:tc>
          <w:tcPr>
            <w:tcW w:w="6232" w:type="dxa"/>
          </w:tcPr>
          <w:p w:rsidRPr="00470A73" w:rsidR="00735A54" w:rsidP="00470A73" w:rsidRDefault="00470A73" w14:paraId="1D772941" w14:textId="76CCE730">
            <w:pPr>
              <w:jc w:val="both"/>
              <w:rPr>
                <w:rFonts w:cs="Arial"/>
                <w:bCs/>
                <w:sz w:val="24"/>
                <w:szCs w:val="24"/>
              </w:rPr>
            </w:pPr>
            <w:r>
              <w:rPr>
                <w:rFonts w:cs="Arial"/>
                <w:bCs/>
                <w:sz w:val="24"/>
                <w:szCs w:val="24"/>
              </w:rPr>
              <w:t xml:space="preserve">Cymraeg 2050 </w:t>
            </w:r>
            <w:r w:rsidRPr="00470A73">
              <w:rPr>
                <w:rFonts w:cs="Arial"/>
                <w:bCs/>
                <w:sz w:val="24"/>
                <w:szCs w:val="24"/>
              </w:rPr>
              <w:t>Welsh in Education</w:t>
            </w:r>
          </w:p>
        </w:tc>
        <w:tc>
          <w:tcPr>
            <w:tcW w:w="1560" w:type="dxa"/>
          </w:tcPr>
          <w:p w:rsidRPr="00196801" w:rsidR="00735A54" w:rsidP="00467472" w:rsidRDefault="00735A54" w14:paraId="7F76631F" w14:textId="6F3BC79F">
            <w:pPr>
              <w:jc w:val="right"/>
              <w:rPr>
                <w:rFonts w:cs="Arial"/>
                <w:sz w:val="24"/>
                <w:szCs w:val="24"/>
              </w:rPr>
            </w:pPr>
            <w:r>
              <w:rPr>
                <w:rFonts w:cs="Arial"/>
                <w:sz w:val="24"/>
                <w:szCs w:val="24"/>
              </w:rPr>
              <w:t>£</w:t>
            </w:r>
            <w:r w:rsidR="00470A73">
              <w:rPr>
                <w:rFonts w:cs="Arial"/>
                <w:sz w:val="24"/>
                <w:szCs w:val="24"/>
              </w:rPr>
              <w:t>167,530</w:t>
            </w:r>
          </w:p>
        </w:tc>
        <w:tc>
          <w:tcPr>
            <w:tcW w:w="1224" w:type="dxa"/>
          </w:tcPr>
          <w:p w:rsidR="00735A54" w:rsidP="00467472" w:rsidRDefault="00470A73" w14:paraId="7BC5AB85" w14:textId="6E8B23EB">
            <w:pPr>
              <w:jc w:val="right"/>
              <w:rPr>
                <w:rFonts w:cs="Arial"/>
                <w:sz w:val="24"/>
                <w:szCs w:val="24"/>
              </w:rPr>
            </w:pPr>
            <w:r>
              <w:rPr>
                <w:rFonts w:cs="Arial"/>
                <w:sz w:val="24"/>
                <w:szCs w:val="24"/>
              </w:rPr>
              <w:t>Central</w:t>
            </w:r>
          </w:p>
        </w:tc>
      </w:tr>
      <w:tr w:rsidR="00735A54" w:rsidTr="00467472" w14:paraId="7DAE0B91" w14:textId="77777777">
        <w:tc>
          <w:tcPr>
            <w:tcW w:w="6232" w:type="dxa"/>
          </w:tcPr>
          <w:p w:rsidRPr="00196801" w:rsidR="00735A54" w:rsidP="00467472" w:rsidRDefault="00470A73" w14:paraId="0D926569" w14:textId="6C689894">
            <w:pPr>
              <w:rPr>
                <w:rFonts w:cs="Arial"/>
                <w:sz w:val="24"/>
                <w:szCs w:val="24"/>
              </w:rPr>
            </w:pPr>
            <w:r>
              <w:rPr>
                <w:rFonts w:cs="Arial"/>
                <w:sz w:val="24"/>
                <w:szCs w:val="24"/>
              </w:rPr>
              <w:t>Cymraeg 2050 Welsh Professional Learning</w:t>
            </w:r>
          </w:p>
        </w:tc>
        <w:tc>
          <w:tcPr>
            <w:tcW w:w="1560" w:type="dxa"/>
          </w:tcPr>
          <w:p w:rsidRPr="00196801" w:rsidR="00735A54" w:rsidP="00467472" w:rsidRDefault="00735A54" w14:paraId="44491A8D" w14:textId="186E2D43">
            <w:pPr>
              <w:jc w:val="right"/>
              <w:rPr>
                <w:rFonts w:cs="Arial"/>
                <w:sz w:val="24"/>
                <w:szCs w:val="24"/>
              </w:rPr>
            </w:pPr>
            <w:r>
              <w:rPr>
                <w:rFonts w:cs="Arial"/>
                <w:sz w:val="24"/>
                <w:szCs w:val="24"/>
              </w:rPr>
              <w:t>£</w:t>
            </w:r>
            <w:r w:rsidR="004B016C">
              <w:rPr>
                <w:rFonts w:cs="Arial"/>
                <w:sz w:val="24"/>
                <w:szCs w:val="24"/>
              </w:rPr>
              <w:t>61,</w:t>
            </w:r>
            <w:r w:rsidR="00CB69DB">
              <w:rPr>
                <w:rFonts w:cs="Arial"/>
                <w:sz w:val="24"/>
                <w:szCs w:val="24"/>
              </w:rPr>
              <w:t>294</w:t>
            </w:r>
          </w:p>
        </w:tc>
        <w:tc>
          <w:tcPr>
            <w:tcW w:w="1224" w:type="dxa"/>
          </w:tcPr>
          <w:p w:rsidR="00735A54" w:rsidP="00467472" w:rsidRDefault="004B016C" w14:paraId="438C6FE9" w14:textId="6427F79C">
            <w:pPr>
              <w:jc w:val="right"/>
              <w:rPr>
                <w:rFonts w:cs="Arial"/>
                <w:sz w:val="24"/>
                <w:szCs w:val="24"/>
              </w:rPr>
            </w:pPr>
            <w:r w:rsidRPr="004B016C">
              <w:rPr>
                <w:rFonts w:cs="Arial"/>
                <w:sz w:val="24"/>
                <w:szCs w:val="24"/>
              </w:rPr>
              <w:t>Regional PL body</w:t>
            </w:r>
          </w:p>
        </w:tc>
      </w:tr>
      <w:tr w:rsidR="00735A54" w:rsidTr="00467472" w14:paraId="64C9054D" w14:textId="77777777">
        <w:tc>
          <w:tcPr>
            <w:tcW w:w="6232" w:type="dxa"/>
          </w:tcPr>
          <w:p w:rsidRPr="00196801" w:rsidR="00735A54" w:rsidP="00467472" w:rsidRDefault="00470A73" w14:paraId="18FEB649" w14:textId="4BF33CEC">
            <w:pPr>
              <w:rPr>
                <w:rFonts w:cs="Arial"/>
                <w:sz w:val="24"/>
                <w:szCs w:val="24"/>
              </w:rPr>
            </w:pPr>
            <w:r>
              <w:rPr>
                <w:rFonts w:cs="Arial"/>
                <w:sz w:val="24"/>
                <w:szCs w:val="24"/>
              </w:rPr>
              <w:t xml:space="preserve">Cymraeg 2050 </w:t>
            </w:r>
            <w:proofErr w:type="spellStart"/>
            <w:r>
              <w:rPr>
                <w:rFonts w:cs="Arial"/>
                <w:sz w:val="24"/>
                <w:szCs w:val="24"/>
              </w:rPr>
              <w:t>Siarter</w:t>
            </w:r>
            <w:proofErr w:type="spellEnd"/>
            <w:r>
              <w:rPr>
                <w:rFonts w:cs="Arial"/>
                <w:sz w:val="24"/>
                <w:szCs w:val="24"/>
              </w:rPr>
              <w:t xml:space="preserve"> Iaith</w:t>
            </w:r>
          </w:p>
        </w:tc>
        <w:tc>
          <w:tcPr>
            <w:tcW w:w="1560" w:type="dxa"/>
          </w:tcPr>
          <w:p w:rsidRPr="00196801" w:rsidR="00735A54" w:rsidP="00467472" w:rsidRDefault="00735A54" w14:paraId="7EA3C4B0" w14:textId="4073E7B4">
            <w:pPr>
              <w:jc w:val="right"/>
              <w:rPr>
                <w:rFonts w:cs="Arial"/>
                <w:sz w:val="24"/>
                <w:szCs w:val="24"/>
              </w:rPr>
            </w:pPr>
            <w:r>
              <w:rPr>
                <w:rFonts w:cs="Arial"/>
                <w:sz w:val="24"/>
                <w:szCs w:val="24"/>
              </w:rPr>
              <w:t>£</w:t>
            </w:r>
            <w:r w:rsidR="00CB69DB">
              <w:rPr>
                <w:rFonts w:cs="Arial"/>
                <w:sz w:val="24"/>
                <w:szCs w:val="24"/>
              </w:rPr>
              <w:t>20,087</w:t>
            </w:r>
          </w:p>
        </w:tc>
        <w:tc>
          <w:tcPr>
            <w:tcW w:w="1224" w:type="dxa"/>
          </w:tcPr>
          <w:p w:rsidR="00735A54" w:rsidP="00467472" w:rsidRDefault="00735A54" w14:paraId="6BBDA0A7" w14:textId="42346428">
            <w:pPr>
              <w:jc w:val="right"/>
              <w:rPr>
                <w:rFonts w:cs="Arial"/>
                <w:sz w:val="24"/>
                <w:szCs w:val="24"/>
              </w:rPr>
            </w:pPr>
            <w:r>
              <w:rPr>
                <w:rFonts w:cs="Arial"/>
                <w:sz w:val="24"/>
                <w:szCs w:val="24"/>
              </w:rPr>
              <w:t>C</w:t>
            </w:r>
            <w:r w:rsidR="003A5D82">
              <w:rPr>
                <w:rFonts w:cs="Arial"/>
                <w:sz w:val="24"/>
                <w:szCs w:val="24"/>
              </w:rPr>
              <w:t>entral</w:t>
            </w:r>
          </w:p>
        </w:tc>
      </w:tr>
      <w:tr w:rsidR="00735A54" w:rsidTr="00467472" w14:paraId="74642EA5" w14:textId="77777777">
        <w:tc>
          <w:tcPr>
            <w:tcW w:w="6232" w:type="dxa"/>
          </w:tcPr>
          <w:p w:rsidRPr="00196801" w:rsidR="00735A54" w:rsidP="00467472" w:rsidRDefault="00470A73" w14:paraId="0EDD44B3" w14:textId="43D6AE9D">
            <w:pPr>
              <w:rPr>
                <w:rFonts w:cs="Arial"/>
                <w:sz w:val="24"/>
                <w:szCs w:val="24"/>
              </w:rPr>
            </w:pPr>
            <w:r>
              <w:rPr>
                <w:rFonts w:cs="Arial"/>
                <w:sz w:val="24"/>
                <w:szCs w:val="24"/>
              </w:rPr>
              <w:t>Cymraeg 2050 Late Immersion</w:t>
            </w:r>
          </w:p>
        </w:tc>
        <w:tc>
          <w:tcPr>
            <w:tcW w:w="1560" w:type="dxa"/>
          </w:tcPr>
          <w:p w:rsidRPr="00196801" w:rsidR="00735A54" w:rsidP="00467472" w:rsidRDefault="00735A54" w14:paraId="59A145D1" w14:textId="1B55D079">
            <w:pPr>
              <w:jc w:val="right"/>
              <w:rPr>
                <w:rFonts w:cs="Arial"/>
                <w:sz w:val="24"/>
                <w:szCs w:val="24"/>
              </w:rPr>
            </w:pPr>
            <w:r>
              <w:rPr>
                <w:rFonts w:cs="Arial"/>
                <w:sz w:val="24"/>
                <w:szCs w:val="24"/>
              </w:rPr>
              <w:t>£</w:t>
            </w:r>
            <w:r w:rsidR="00470A73">
              <w:rPr>
                <w:rFonts w:cs="Arial"/>
                <w:sz w:val="24"/>
                <w:szCs w:val="24"/>
              </w:rPr>
              <w:t>1</w:t>
            </w:r>
            <w:r w:rsidR="004B016C">
              <w:rPr>
                <w:rFonts w:cs="Arial"/>
                <w:sz w:val="24"/>
                <w:szCs w:val="24"/>
              </w:rPr>
              <w:t>11,844</w:t>
            </w:r>
          </w:p>
        </w:tc>
        <w:tc>
          <w:tcPr>
            <w:tcW w:w="1224" w:type="dxa"/>
          </w:tcPr>
          <w:p w:rsidR="00735A54" w:rsidP="00467472" w:rsidRDefault="00735A54" w14:paraId="1B004502" w14:textId="32CBDEDB">
            <w:pPr>
              <w:jc w:val="right"/>
              <w:rPr>
                <w:rFonts w:cs="Arial"/>
                <w:sz w:val="24"/>
                <w:szCs w:val="24"/>
              </w:rPr>
            </w:pPr>
            <w:r>
              <w:rPr>
                <w:rFonts w:cs="Arial"/>
                <w:sz w:val="24"/>
                <w:szCs w:val="24"/>
              </w:rPr>
              <w:t>C</w:t>
            </w:r>
            <w:r w:rsidR="003A5D82">
              <w:rPr>
                <w:rFonts w:cs="Arial"/>
                <w:sz w:val="24"/>
                <w:szCs w:val="24"/>
              </w:rPr>
              <w:t>entral</w:t>
            </w:r>
          </w:p>
        </w:tc>
      </w:tr>
      <w:tr w:rsidR="00735A54" w:rsidTr="00470A73" w14:paraId="24A3500F" w14:textId="77777777">
        <w:trPr>
          <w:trHeight w:val="76"/>
        </w:trPr>
        <w:tc>
          <w:tcPr>
            <w:tcW w:w="6232" w:type="dxa"/>
          </w:tcPr>
          <w:p w:rsidRPr="00196801" w:rsidR="00735A54" w:rsidP="00467472" w:rsidRDefault="00470A73" w14:paraId="425E76BD" w14:textId="134406D8">
            <w:pPr>
              <w:rPr>
                <w:rFonts w:cs="Arial"/>
                <w:sz w:val="24"/>
                <w:szCs w:val="24"/>
              </w:rPr>
            </w:pPr>
            <w:r>
              <w:rPr>
                <w:rFonts w:cs="Arial"/>
                <w:sz w:val="24"/>
                <w:szCs w:val="24"/>
              </w:rPr>
              <w:t xml:space="preserve">LA Match funding </w:t>
            </w:r>
          </w:p>
        </w:tc>
        <w:tc>
          <w:tcPr>
            <w:tcW w:w="1560" w:type="dxa"/>
          </w:tcPr>
          <w:p w:rsidRPr="00196801" w:rsidR="00735A54" w:rsidP="00467472" w:rsidRDefault="00735A54" w14:paraId="3CFE01CF" w14:textId="17D133CF">
            <w:pPr>
              <w:jc w:val="right"/>
              <w:rPr>
                <w:rFonts w:cs="Arial"/>
                <w:sz w:val="24"/>
                <w:szCs w:val="24"/>
              </w:rPr>
            </w:pPr>
            <w:r>
              <w:rPr>
                <w:rFonts w:cs="Arial"/>
                <w:sz w:val="24"/>
                <w:szCs w:val="24"/>
              </w:rPr>
              <w:t>£</w:t>
            </w:r>
            <w:r w:rsidR="00470A73">
              <w:rPr>
                <w:rFonts w:cs="Arial"/>
                <w:sz w:val="24"/>
                <w:szCs w:val="24"/>
              </w:rPr>
              <w:t>96,992</w:t>
            </w:r>
          </w:p>
        </w:tc>
        <w:tc>
          <w:tcPr>
            <w:tcW w:w="1224" w:type="dxa"/>
          </w:tcPr>
          <w:p w:rsidR="00735A54" w:rsidP="00467472" w:rsidRDefault="00470A73" w14:paraId="7798312C" w14:textId="7F570E3D">
            <w:pPr>
              <w:jc w:val="right"/>
              <w:rPr>
                <w:rFonts w:cs="Arial"/>
                <w:sz w:val="24"/>
                <w:szCs w:val="24"/>
              </w:rPr>
            </w:pPr>
            <w:r>
              <w:rPr>
                <w:rFonts w:cs="Arial"/>
                <w:sz w:val="24"/>
                <w:szCs w:val="24"/>
              </w:rPr>
              <w:t>Central</w:t>
            </w:r>
            <w:r w:rsidR="005D7703">
              <w:rPr>
                <w:rFonts w:cs="Arial"/>
                <w:sz w:val="24"/>
                <w:szCs w:val="24"/>
              </w:rPr>
              <w:t>/CSC</w:t>
            </w:r>
          </w:p>
        </w:tc>
      </w:tr>
    </w:tbl>
    <w:p w:rsidR="004B016C" w:rsidP="00AF3EFA" w:rsidRDefault="004B016C" w14:paraId="02F44923" w14:textId="77777777">
      <w:pPr>
        <w:jc w:val="both"/>
        <w:rPr>
          <w:rFonts w:cs="Arial"/>
          <w:bCs/>
          <w:sz w:val="24"/>
          <w:szCs w:val="24"/>
        </w:rPr>
      </w:pPr>
    </w:p>
    <w:p w:rsidRPr="005173E9" w:rsidR="005173E9" w:rsidP="00AF3EFA" w:rsidRDefault="005173E9" w14:paraId="0BA1A48C" w14:textId="51DA992B">
      <w:pPr>
        <w:jc w:val="both"/>
        <w:rPr>
          <w:rFonts w:cs="Arial"/>
          <w:b/>
          <w:sz w:val="24"/>
          <w:szCs w:val="24"/>
          <w:u w:val="single"/>
        </w:rPr>
      </w:pPr>
      <w:r>
        <w:rPr>
          <w:rFonts w:cs="Arial"/>
          <w:b/>
          <w:sz w:val="24"/>
          <w:szCs w:val="24"/>
          <w:u w:val="single"/>
        </w:rPr>
        <w:t>Other grants</w:t>
      </w:r>
    </w:p>
    <w:p w:rsidR="005173E9" w:rsidP="005173E9" w:rsidRDefault="005173E9" w14:paraId="42257584" w14:textId="53621998">
      <w:pPr>
        <w:jc w:val="both"/>
        <w:rPr>
          <w:rFonts w:cs="Arial"/>
          <w:b/>
          <w:sz w:val="24"/>
          <w:szCs w:val="24"/>
          <w:u w:val="single"/>
        </w:rPr>
      </w:pPr>
      <w:r>
        <w:rPr>
          <w:rFonts w:cs="Arial"/>
          <w:b/>
          <w:sz w:val="24"/>
          <w:szCs w:val="24"/>
          <w:u w:val="single"/>
        </w:rPr>
        <w:t>Post 16 Grant - £</w:t>
      </w:r>
      <w:r w:rsidR="004B016C">
        <w:rPr>
          <w:rFonts w:cs="Arial"/>
          <w:b/>
          <w:sz w:val="24"/>
          <w:szCs w:val="24"/>
          <w:u w:val="single"/>
        </w:rPr>
        <w:t>8,</w:t>
      </w:r>
      <w:r w:rsidR="00087857">
        <w:rPr>
          <w:rFonts w:cs="Arial"/>
          <w:b/>
          <w:sz w:val="24"/>
          <w:szCs w:val="24"/>
          <w:u w:val="single"/>
        </w:rPr>
        <w:t>835,111</w:t>
      </w:r>
    </w:p>
    <w:p w:rsidR="005173E9" w:rsidP="005173E9" w:rsidRDefault="005173E9" w14:paraId="321A3214" w14:textId="1354D632">
      <w:pPr>
        <w:jc w:val="both"/>
        <w:rPr>
          <w:rFonts w:cs="Arial"/>
          <w:bCs/>
          <w:sz w:val="24"/>
          <w:szCs w:val="24"/>
        </w:rPr>
      </w:pPr>
      <w:r>
        <w:rPr>
          <w:rFonts w:cs="Arial"/>
          <w:bCs/>
          <w:sz w:val="24"/>
          <w:szCs w:val="24"/>
        </w:rPr>
        <w:t>The post 16 grant will be delegated within the schools funding formula</w:t>
      </w:r>
      <w:r w:rsidR="00F275B1">
        <w:rPr>
          <w:rFonts w:cs="Arial"/>
          <w:bCs/>
          <w:sz w:val="24"/>
          <w:szCs w:val="24"/>
        </w:rPr>
        <w:t>, with 3% retained centrally for administration.</w:t>
      </w:r>
    </w:p>
    <w:p w:rsidRPr="00D015A5" w:rsidR="00D13597" w:rsidP="00D13597" w:rsidRDefault="00D13597" w14:paraId="35EF25CC" w14:textId="178C045B">
      <w:pPr>
        <w:jc w:val="both"/>
        <w:rPr>
          <w:rFonts w:cs="Arial"/>
          <w:b/>
          <w:sz w:val="24"/>
          <w:szCs w:val="24"/>
          <w:u w:val="single"/>
        </w:rPr>
      </w:pPr>
      <w:r w:rsidRPr="00D015A5">
        <w:rPr>
          <w:rFonts w:cs="Arial"/>
          <w:b/>
          <w:sz w:val="24"/>
          <w:szCs w:val="24"/>
          <w:u w:val="single"/>
        </w:rPr>
        <w:t xml:space="preserve">Post 16 transition grant </w:t>
      </w:r>
      <w:r>
        <w:rPr>
          <w:rFonts w:cs="Arial"/>
          <w:b/>
          <w:sz w:val="24"/>
          <w:szCs w:val="24"/>
          <w:u w:val="single"/>
        </w:rPr>
        <w:t xml:space="preserve">- </w:t>
      </w:r>
      <w:r w:rsidRPr="00D015A5">
        <w:rPr>
          <w:rFonts w:cs="Arial"/>
          <w:b/>
          <w:sz w:val="24"/>
          <w:szCs w:val="24"/>
          <w:u w:val="single"/>
        </w:rPr>
        <w:t>£</w:t>
      </w:r>
      <w:r>
        <w:rPr>
          <w:rFonts w:cs="Arial"/>
          <w:b/>
          <w:sz w:val="24"/>
          <w:szCs w:val="24"/>
          <w:u w:val="single"/>
        </w:rPr>
        <w:t>42,000</w:t>
      </w:r>
    </w:p>
    <w:p w:rsidR="00D13597" w:rsidP="00D13597" w:rsidRDefault="00D13597" w14:paraId="3289E0EC" w14:textId="44670782">
      <w:pPr>
        <w:jc w:val="both"/>
        <w:rPr>
          <w:rFonts w:cs="Arial"/>
          <w:bCs/>
          <w:sz w:val="24"/>
          <w:szCs w:val="24"/>
        </w:rPr>
      </w:pPr>
      <w:r>
        <w:rPr>
          <w:rFonts w:cs="Arial"/>
          <w:bCs/>
          <w:sz w:val="24"/>
          <w:szCs w:val="24"/>
        </w:rPr>
        <w:t>Five months of funding from April 202</w:t>
      </w:r>
      <w:r w:rsidR="00CB69DB">
        <w:rPr>
          <w:rFonts w:cs="Arial"/>
          <w:bCs/>
          <w:sz w:val="24"/>
          <w:szCs w:val="24"/>
        </w:rPr>
        <w:t>6</w:t>
      </w:r>
      <w:r>
        <w:rPr>
          <w:rFonts w:cs="Arial"/>
          <w:bCs/>
          <w:sz w:val="24"/>
          <w:szCs w:val="24"/>
        </w:rPr>
        <w:t xml:space="preserve"> – August 202</w:t>
      </w:r>
      <w:r w:rsidR="00CB69DB">
        <w:rPr>
          <w:rFonts w:cs="Arial"/>
          <w:bCs/>
          <w:sz w:val="24"/>
          <w:szCs w:val="24"/>
        </w:rPr>
        <w:t>6</w:t>
      </w:r>
      <w:r>
        <w:rPr>
          <w:rFonts w:cs="Arial"/>
          <w:bCs/>
          <w:sz w:val="24"/>
          <w:szCs w:val="24"/>
        </w:rPr>
        <w:t xml:space="preserve"> to assist pupils in the transition to their next phase of education.  </w:t>
      </w:r>
    </w:p>
    <w:p w:rsidR="00087857" w:rsidP="00D13597" w:rsidRDefault="00087857" w14:paraId="750502A1" w14:textId="77777777">
      <w:pPr>
        <w:jc w:val="both"/>
        <w:rPr>
          <w:rFonts w:cs="Arial"/>
          <w:bCs/>
          <w:sz w:val="24"/>
          <w:szCs w:val="24"/>
        </w:rPr>
      </w:pPr>
    </w:p>
    <w:p w:rsidRPr="00D015A5" w:rsidR="00D13597" w:rsidP="00D13597" w:rsidRDefault="00D13597" w14:paraId="6E868118" w14:textId="60B52E79">
      <w:pPr>
        <w:jc w:val="both"/>
        <w:rPr>
          <w:rFonts w:cs="Arial"/>
          <w:b/>
          <w:sz w:val="24"/>
          <w:szCs w:val="24"/>
          <w:u w:val="single"/>
        </w:rPr>
      </w:pPr>
      <w:r w:rsidRPr="00D015A5">
        <w:rPr>
          <w:rFonts w:cs="Arial"/>
          <w:b/>
          <w:sz w:val="24"/>
          <w:szCs w:val="24"/>
          <w:u w:val="single"/>
        </w:rPr>
        <w:lastRenderedPageBreak/>
        <w:t>Post 16 Learner Progression funding - £</w:t>
      </w:r>
      <w:r w:rsidR="00CB69DB">
        <w:rPr>
          <w:rFonts w:cs="Arial"/>
          <w:b/>
          <w:sz w:val="24"/>
          <w:szCs w:val="24"/>
          <w:u w:val="single"/>
        </w:rPr>
        <w:t>tbc</w:t>
      </w:r>
      <w:r w:rsidRPr="00D015A5">
        <w:rPr>
          <w:rFonts w:cs="Arial"/>
          <w:b/>
          <w:sz w:val="24"/>
          <w:szCs w:val="24"/>
          <w:u w:val="single"/>
        </w:rPr>
        <w:t xml:space="preserve"> </w:t>
      </w:r>
    </w:p>
    <w:p w:rsidR="002F2882" w:rsidP="00D13597" w:rsidRDefault="00087857" w14:paraId="2D689607" w14:textId="0BBA5571">
      <w:pPr>
        <w:jc w:val="both"/>
        <w:rPr>
          <w:rFonts w:cs="Arial"/>
          <w:bCs/>
          <w:sz w:val="24"/>
          <w:szCs w:val="24"/>
        </w:rPr>
      </w:pPr>
      <w:bookmarkStart w:name="_Hlk214435043" w:id="0"/>
      <w:r>
        <w:rPr>
          <w:rFonts w:cs="Arial"/>
          <w:bCs/>
          <w:sz w:val="24"/>
          <w:szCs w:val="24"/>
        </w:rPr>
        <w:t xml:space="preserve">Awaiting allocations from </w:t>
      </w:r>
      <w:proofErr w:type="spellStart"/>
      <w:r>
        <w:rPr>
          <w:rFonts w:cs="Arial"/>
          <w:bCs/>
          <w:sz w:val="24"/>
          <w:szCs w:val="24"/>
        </w:rPr>
        <w:t>Medr</w:t>
      </w:r>
      <w:proofErr w:type="spellEnd"/>
      <w:r w:rsidR="00D13597">
        <w:rPr>
          <w:rFonts w:cs="Arial"/>
          <w:bCs/>
          <w:sz w:val="24"/>
          <w:szCs w:val="24"/>
        </w:rPr>
        <w:t>.</w:t>
      </w:r>
      <w:bookmarkEnd w:id="0"/>
    </w:p>
    <w:p w:rsidRPr="006D72EB" w:rsidR="00920DA9" w:rsidP="00920DA9" w:rsidRDefault="00920DA9" w14:paraId="0C142E4D" w14:textId="4BA62DC8">
      <w:pPr>
        <w:jc w:val="both"/>
        <w:rPr>
          <w:rFonts w:cs="Arial"/>
          <w:b/>
          <w:sz w:val="24"/>
          <w:szCs w:val="24"/>
          <w:u w:val="single"/>
        </w:rPr>
      </w:pPr>
      <w:r>
        <w:rPr>
          <w:rFonts w:cs="Arial"/>
          <w:b/>
          <w:sz w:val="24"/>
          <w:szCs w:val="24"/>
          <w:u w:val="single"/>
        </w:rPr>
        <w:t>NRPF (</w:t>
      </w:r>
      <w:proofErr w:type="spellStart"/>
      <w:proofErr w:type="gramStart"/>
      <w:r>
        <w:rPr>
          <w:rFonts w:cs="Arial"/>
          <w:b/>
          <w:sz w:val="24"/>
          <w:szCs w:val="24"/>
          <w:u w:val="single"/>
        </w:rPr>
        <w:t>non recourse</w:t>
      </w:r>
      <w:proofErr w:type="spellEnd"/>
      <w:proofErr w:type="gramEnd"/>
      <w:r>
        <w:rPr>
          <w:rFonts w:cs="Arial"/>
          <w:b/>
          <w:sz w:val="24"/>
          <w:szCs w:val="24"/>
          <w:u w:val="single"/>
        </w:rPr>
        <w:t xml:space="preserve"> to public funds)</w:t>
      </w:r>
      <w:r w:rsidRPr="006D72EB">
        <w:rPr>
          <w:rFonts w:cs="Arial"/>
          <w:b/>
          <w:sz w:val="24"/>
          <w:szCs w:val="24"/>
          <w:u w:val="single"/>
        </w:rPr>
        <w:t xml:space="preserve"> - £</w:t>
      </w:r>
      <w:r w:rsidR="00087857">
        <w:rPr>
          <w:rFonts w:cs="Arial"/>
          <w:b/>
          <w:sz w:val="24"/>
          <w:szCs w:val="24"/>
          <w:u w:val="single"/>
        </w:rPr>
        <w:t>tbc</w:t>
      </w:r>
    </w:p>
    <w:p w:rsidRPr="00087857" w:rsidR="00DA1534" w:rsidP="00DA1534" w:rsidRDefault="00920DA9" w14:paraId="6F38C576" w14:textId="6BA79EDF">
      <w:pPr>
        <w:jc w:val="both"/>
        <w:rPr>
          <w:rFonts w:eastAsia="Times New Roman" w:cs="Arial"/>
          <w:color w:val="000000"/>
          <w:lang w:eastAsia="en-GB"/>
        </w:rPr>
      </w:pPr>
      <w:r w:rsidRPr="00920DA9">
        <w:rPr>
          <w:rFonts w:cs="Arial"/>
          <w:bCs/>
          <w:sz w:val="24"/>
          <w:szCs w:val="24"/>
        </w:rPr>
        <w:t xml:space="preserve">Funding </w:t>
      </w:r>
      <w:r w:rsidR="00087857">
        <w:rPr>
          <w:rFonts w:cs="Arial"/>
          <w:bCs/>
          <w:sz w:val="24"/>
          <w:szCs w:val="24"/>
        </w:rPr>
        <w:t>for</w:t>
      </w:r>
      <w:r w:rsidRPr="00920DA9">
        <w:rPr>
          <w:rFonts w:cs="Arial"/>
          <w:bCs/>
          <w:sz w:val="24"/>
          <w:szCs w:val="24"/>
        </w:rPr>
        <w:t xml:space="preserve"> secondary schools via claim forms </w:t>
      </w:r>
      <w:r w:rsidRPr="00920DA9">
        <w:rPr>
          <w:rFonts w:eastAsia="Times New Roman" w:cs="Arial"/>
          <w:color w:val="000000"/>
          <w:sz w:val="24"/>
          <w:szCs w:val="24"/>
          <w:lang w:eastAsia="en-GB"/>
        </w:rPr>
        <w:t>to help overcome barriers in providing free meals in secondary aged pupils who do not receive support under Part VI of the Immigration &amp; Asylum Act 1999 who are unable to access FSM - funding based on PLASC 25</w:t>
      </w:r>
      <w:r>
        <w:rPr>
          <w:rFonts w:eastAsia="Times New Roman" w:cs="Arial"/>
          <w:color w:val="000000"/>
          <w:sz w:val="24"/>
          <w:szCs w:val="24"/>
          <w:lang w:eastAsia="en-GB"/>
        </w:rPr>
        <w:t>.</w:t>
      </w:r>
    </w:p>
    <w:p w:rsidRPr="006D72EB" w:rsidR="00FC296A" w:rsidP="00FC296A" w:rsidRDefault="00FC296A" w14:paraId="29EDB04D" w14:textId="68E0F41C">
      <w:pPr>
        <w:jc w:val="both"/>
        <w:rPr>
          <w:rFonts w:cs="Arial"/>
          <w:b/>
          <w:sz w:val="24"/>
          <w:szCs w:val="24"/>
          <w:u w:val="single"/>
        </w:rPr>
      </w:pPr>
      <w:r>
        <w:rPr>
          <w:rFonts w:cs="Arial"/>
          <w:b/>
          <w:sz w:val="24"/>
          <w:szCs w:val="24"/>
          <w:u w:val="single"/>
        </w:rPr>
        <w:t xml:space="preserve">Food and Fun </w:t>
      </w:r>
      <w:r w:rsidRPr="006D72EB">
        <w:rPr>
          <w:rFonts w:cs="Arial"/>
          <w:b/>
          <w:sz w:val="24"/>
          <w:szCs w:val="24"/>
          <w:u w:val="single"/>
        </w:rPr>
        <w:t>- £</w:t>
      </w:r>
      <w:r w:rsidR="00087857">
        <w:rPr>
          <w:rFonts w:cs="Arial"/>
          <w:b/>
          <w:sz w:val="24"/>
          <w:szCs w:val="24"/>
          <w:u w:val="single"/>
        </w:rPr>
        <w:t>tbc</w:t>
      </w:r>
    </w:p>
    <w:p w:rsidRPr="00FC296A" w:rsidR="00920DA9" w:rsidP="00A40199" w:rsidRDefault="00FC296A" w14:paraId="338B2BB4" w14:textId="6D0F89E8">
      <w:pPr>
        <w:jc w:val="both"/>
        <w:rPr>
          <w:rFonts w:cs="Arial"/>
          <w:bCs/>
          <w:sz w:val="24"/>
          <w:szCs w:val="24"/>
        </w:rPr>
      </w:pPr>
      <w:r>
        <w:rPr>
          <w:rFonts w:cs="Arial"/>
          <w:bCs/>
          <w:sz w:val="24"/>
          <w:szCs w:val="24"/>
        </w:rPr>
        <w:t xml:space="preserve">School holiday clubs to support school to provide fun activities and food to pupils, </w:t>
      </w:r>
      <w:r w:rsidRPr="00FC296A">
        <w:rPr>
          <w:rFonts w:cs="Arial"/>
          <w:bCs/>
          <w:sz w:val="24"/>
          <w:szCs w:val="24"/>
        </w:rPr>
        <w:t>allocations for participating schools coordinated by BFCC.</w:t>
      </w:r>
    </w:p>
    <w:p w:rsidR="001E25AC" w:rsidP="00A40199" w:rsidRDefault="001E25AC" w14:paraId="4C377D89" w14:textId="498FF6F2">
      <w:pPr>
        <w:jc w:val="both"/>
        <w:rPr>
          <w:rFonts w:cs="Arial"/>
          <w:b/>
          <w:sz w:val="24"/>
          <w:szCs w:val="24"/>
          <w:u w:val="single"/>
        </w:rPr>
      </w:pPr>
      <w:r w:rsidRPr="00FC296A">
        <w:rPr>
          <w:rFonts w:cs="Arial"/>
          <w:b/>
          <w:sz w:val="24"/>
          <w:szCs w:val="24"/>
          <w:u w:val="single"/>
        </w:rPr>
        <w:t>Afghan Resettlements funding - £</w:t>
      </w:r>
      <w:r w:rsidR="00087857">
        <w:rPr>
          <w:rFonts w:cs="Arial"/>
          <w:b/>
          <w:sz w:val="24"/>
          <w:szCs w:val="24"/>
          <w:u w:val="single"/>
        </w:rPr>
        <w:t>tbc</w:t>
      </w:r>
    </w:p>
    <w:p w:rsidRPr="00C466BF" w:rsidR="00C466BF" w:rsidP="00A40199" w:rsidRDefault="001E25AC" w14:paraId="707A35BD" w14:textId="526F1EFD">
      <w:pPr>
        <w:jc w:val="both"/>
        <w:rPr>
          <w:rFonts w:cs="Arial"/>
          <w:bCs/>
          <w:sz w:val="24"/>
          <w:szCs w:val="24"/>
        </w:rPr>
      </w:pPr>
      <w:r w:rsidRPr="001E25AC">
        <w:rPr>
          <w:rFonts w:cs="Arial"/>
          <w:bCs/>
          <w:sz w:val="24"/>
          <w:szCs w:val="24"/>
        </w:rPr>
        <w:t xml:space="preserve">There </w:t>
      </w:r>
      <w:r>
        <w:rPr>
          <w:rFonts w:cs="Arial"/>
          <w:bCs/>
          <w:sz w:val="24"/>
          <w:szCs w:val="24"/>
        </w:rPr>
        <w:t xml:space="preserve">is funding available from the Home Office as part of the Afghan </w:t>
      </w:r>
      <w:r w:rsidR="006D72EB">
        <w:rPr>
          <w:rFonts w:cs="Arial"/>
          <w:bCs/>
          <w:sz w:val="24"/>
          <w:szCs w:val="24"/>
        </w:rPr>
        <w:t xml:space="preserve">Resettlement programme, the Education tariff available </w:t>
      </w:r>
      <w:r w:rsidR="00333AFC">
        <w:rPr>
          <w:rFonts w:cs="Arial"/>
          <w:bCs/>
          <w:sz w:val="24"/>
          <w:szCs w:val="24"/>
        </w:rPr>
        <w:t>must</w:t>
      </w:r>
      <w:r w:rsidR="006D72EB">
        <w:rPr>
          <w:rFonts w:cs="Arial"/>
          <w:bCs/>
          <w:sz w:val="24"/>
          <w:szCs w:val="24"/>
        </w:rPr>
        <w:t xml:space="preserve"> fund the central transport costs already incurred with the balance going to schools.  The first claim funding has not yet been agreed by the Central Resettlement team, but once confirmed, the schools with new Afghan Pupils will be told their allocations.</w:t>
      </w:r>
      <w:r w:rsidR="00333AFC">
        <w:rPr>
          <w:rFonts w:cs="Arial"/>
          <w:bCs/>
          <w:sz w:val="24"/>
          <w:szCs w:val="24"/>
        </w:rPr>
        <w:t xml:space="preserve">  Further funding will </w:t>
      </w:r>
      <w:proofErr w:type="gramStart"/>
      <w:r w:rsidR="00333AFC">
        <w:rPr>
          <w:rFonts w:cs="Arial"/>
          <w:bCs/>
          <w:sz w:val="24"/>
          <w:szCs w:val="24"/>
        </w:rPr>
        <w:t>follow after</w:t>
      </w:r>
      <w:proofErr w:type="gramEnd"/>
      <w:r w:rsidR="00333AFC">
        <w:rPr>
          <w:rFonts w:cs="Arial"/>
          <w:bCs/>
          <w:sz w:val="24"/>
          <w:szCs w:val="24"/>
        </w:rPr>
        <w:t xml:space="preserve"> submission of claims to the Home </w:t>
      </w:r>
      <w:proofErr w:type="gramStart"/>
      <w:r w:rsidR="00333AFC">
        <w:rPr>
          <w:rFonts w:cs="Arial"/>
          <w:bCs/>
          <w:sz w:val="24"/>
          <w:szCs w:val="24"/>
        </w:rPr>
        <w:t>Office,</w:t>
      </w:r>
      <w:proofErr w:type="gramEnd"/>
      <w:r w:rsidR="00333AFC">
        <w:rPr>
          <w:rFonts w:cs="Arial"/>
          <w:bCs/>
          <w:sz w:val="24"/>
          <w:szCs w:val="24"/>
        </w:rPr>
        <w:t xml:space="preserve"> this includes Exceptional funding claims for specific pupils in some schools.</w:t>
      </w:r>
    </w:p>
    <w:p w:rsidRPr="003321DA" w:rsidR="00D13597" w:rsidP="00D13597" w:rsidRDefault="00D13597" w14:paraId="2F129CAB" w14:textId="5E51E5C0">
      <w:pPr>
        <w:rPr>
          <w:rFonts w:cs="Arial"/>
          <w:b/>
          <w:bCs/>
          <w:sz w:val="24"/>
          <w:szCs w:val="24"/>
          <w:u w:val="single"/>
        </w:rPr>
      </w:pPr>
      <w:r w:rsidRPr="003321DA">
        <w:rPr>
          <w:rFonts w:cs="Arial"/>
          <w:b/>
          <w:bCs/>
          <w:sz w:val="24"/>
          <w:szCs w:val="24"/>
          <w:u w:val="single"/>
        </w:rPr>
        <w:t xml:space="preserve">Centrally allocated revenue grant funding for </w:t>
      </w:r>
      <w:r>
        <w:rPr>
          <w:rFonts w:cs="Arial"/>
          <w:b/>
          <w:bCs/>
          <w:sz w:val="24"/>
          <w:szCs w:val="24"/>
          <w:u w:val="single"/>
        </w:rPr>
        <w:t>learners</w:t>
      </w:r>
    </w:p>
    <w:p w:rsidRPr="003321DA" w:rsidR="00D13597" w:rsidP="00D13597" w:rsidRDefault="00D13597" w14:paraId="78110879" w14:textId="77777777">
      <w:pPr>
        <w:jc w:val="both"/>
        <w:rPr>
          <w:rFonts w:cs="Arial"/>
          <w:sz w:val="24"/>
          <w:szCs w:val="24"/>
        </w:rPr>
      </w:pPr>
      <w:r w:rsidRPr="003321DA">
        <w:rPr>
          <w:rFonts w:cs="Arial"/>
          <w:sz w:val="24"/>
          <w:szCs w:val="24"/>
        </w:rPr>
        <w:t xml:space="preserve">In addition to the grants delegated to schools, the Local Authority </w:t>
      </w:r>
      <w:r>
        <w:rPr>
          <w:rFonts w:cs="Arial"/>
          <w:sz w:val="24"/>
          <w:szCs w:val="24"/>
        </w:rPr>
        <w:t>has received notification of the following grants which will be centrally managed. Some of these grants below may be delegated to schools for allocation within the individual grant terms and conditions where applicable.</w:t>
      </w:r>
    </w:p>
    <w:tbl>
      <w:tblPr>
        <w:tblStyle w:val="TableGrid"/>
        <w:tblW w:w="0" w:type="auto"/>
        <w:tblLook w:val="04A0" w:firstRow="1" w:lastRow="0" w:firstColumn="1" w:lastColumn="0" w:noHBand="0" w:noVBand="1"/>
      </w:tblPr>
      <w:tblGrid>
        <w:gridCol w:w="7199"/>
        <w:gridCol w:w="1817"/>
      </w:tblGrid>
      <w:tr w:rsidRPr="00196801" w:rsidR="00D13597" w:rsidTr="00333AFC" w14:paraId="1424316D" w14:textId="77777777">
        <w:tc>
          <w:tcPr>
            <w:tcW w:w="7199" w:type="dxa"/>
          </w:tcPr>
          <w:p w:rsidRPr="003E6C28" w:rsidR="00D13597" w:rsidP="00467472" w:rsidRDefault="00D13597" w14:paraId="407F02EE" w14:textId="77777777">
            <w:pPr>
              <w:rPr>
                <w:rFonts w:cs="Arial"/>
                <w:b/>
                <w:bCs/>
                <w:sz w:val="24"/>
                <w:szCs w:val="24"/>
              </w:rPr>
            </w:pPr>
            <w:r w:rsidRPr="003E6C28">
              <w:rPr>
                <w:rFonts w:cs="Arial"/>
                <w:b/>
                <w:bCs/>
                <w:sz w:val="24"/>
                <w:szCs w:val="24"/>
              </w:rPr>
              <w:t>Grant name</w:t>
            </w:r>
          </w:p>
        </w:tc>
        <w:tc>
          <w:tcPr>
            <w:tcW w:w="1817" w:type="dxa"/>
          </w:tcPr>
          <w:p w:rsidRPr="003E6C28" w:rsidR="00D13597" w:rsidP="00467472" w:rsidRDefault="00D13597" w14:paraId="63A03528" w14:textId="77777777">
            <w:pPr>
              <w:jc w:val="center"/>
              <w:rPr>
                <w:rFonts w:cs="Arial"/>
                <w:b/>
                <w:bCs/>
                <w:sz w:val="24"/>
                <w:szCs w:val="24"/>
              </w:rPr>
            </w:pPr>
            <w:r w:rsidRPr="003E6C28">
              <w:rPr>
                <w:rFonts w:cs="Arial"/>
                <w:b/>
                <w:bCs/>
                <w:sz w:val="24"/>
                <w:szCs w:val="24"/>
              </w:rPr>
              <w:t>Awarded</w:t>
            </w:r>
          </w:p>
        </w:tc>
      </w:tr>
      <w:tr w:rsidRPr="00196801" w:rsidR="00D13597" w:rsidTr="00333AFC" w14:paraId="6EB1838B" w14:textId="77777777">
        <w:tc>
          <w:tcPr>
            <w:tcW w:w="7199" w:type="dxa"/>
          </w:tcPr>
          <w:p w:rsidRPr="00196801" w:rsidR="00D13597" w:rsidP="00467472" w:rsidRDefault="00D13597" w14:paraId="4B88D9AB" w14:textId="4A510967">
            <w:pPr>
              <w:rPr>
                <w:rFonts w:cs="Arial"/>
                <w:sz w:val="24"/>
                <w:szCs w:val="24"/>
              </w:rPr>
            </w:pPr>
            <w:r w:rsidRPr="00196801">
              <w:rPr>
                <w:rFonts w:cs="Arial"/>
                <w:sz w:val="24"/>
                <w:szCs w:val="24"/>
              </w:rPr>
              <w:t>Universal free school meals</w:t>
            </w:r>
            <w:r w:rsidR="00F275B1">
              <w:rPr>
                <w:rFonts w:cs="Arial"/>
                <w:sz w:val="24"/>
                <w:szCs w:val="24"/>
              </w:rPr>
              <w:t xml:space="preserve"> (demand Led)</w:t>
            </w:r>
          </w:p>
        </w:tc>
        <w:tc>
          <w:tcPr>
            <w:tcW w:w="1817" w:type="dxa"/>
          </w:tcPr>
          <w:p w:rsidRPr="00196801" w:rsidR="00D13597" w:rsidP="00467472" w:rsidRDefault="00D13597" w14:paraId="5C13625D" w14:textId="48F131B2">
            <w:pPr>
              <w:jc w:val="right"/>
              <w:rPr>
                <w:rFonts w:cs="Arial"/>
                <w:sz w:val="24"/>
                <w:szCs w:val="24"/>
              </w:rPr>
            </w:pPr>
            <w:r w:rsidRPr="00196801">
              <w:rPr>
                <w:rFonts w:cs="Arial"/>
                <w:sz w:val="24"/>
                <w:szCs w:val="24"/>
              </w:rPr>
              <w:t>£</w:t>
            </w:r>
            <w:r w:rsidR="00087857">
              <w:rPr>
                <w:rFonts w:cs="Arial"/>
                <w:sz w:val="24"/>
                <w:szCs w:val="24"/>
              </w:rPr>
              <w:t>tbc</w:t>
            </w:r>
          </w:p>
        </w:tc>
      </w:tr>
      <w:tr w:rsidRPr="00196801" w:rsidR="00D13597" w:rsidTr="00333AFC" w14:paraId="47CBA637" w14:textId="77777777">
        <w:tc>
          <w:tcPr>
            <w:tcW w:w="7199" w:type="dxa"/>
          </w:tcPr>
          <w:p w:rsidRPr="00196801" w:rsidR="00D13597" w:rsidP="00467472" w:rsidRDefault="00D13597" w14:paraId="04517ADA" w14:textId="1F9134CF">
            <w:pPr>
              <w:rPr>
                <w:rFonts w:cs="Arial"/>
                <w:sz w:val="24"/>
                <w:szCs w:val="24"/>
              </w:rPr>
            </w:pPr>
            <w:r w:rsidRPr="00196801">
              <w:rPr>
                <w:rFonts w:cs="Arial"/>
                <w:sz w:val="24"/>
                <w:szCs w:val="24"/>
              </w:rPr>
              <w:t xml:space="preserve">Schools Essentials </w:t>
            </w:r>
            <w:r w:rsidR="00F275B1">
              <w:rPr>
                <w:rFonts w:cs="Arial"/>
                <w:sz w:val="24"/>
                <w:szCs w:val="24"/>
              </w:rPr>
              <w:t>(demand Led)</w:t>
            </w:r>
          </w:p>
        </w:tc>
        <w:tc>
          <w:tcPr>
            <w:tcW w:w="1817" w:type="dxa"/>
          </w:tcPr>
          <w:p w:rsidRPr="00196801" w:rsidR="00D13597" w:rsidP="00467472" w:rsidRDefault="00D13597" w14:paraId="44E2B1CC" w14:textId="705FC145">
            <w:pPr>
              <w:jc w:val="right"/>
              <w:rPr>
                <w:rFonts w:cs="Arial"/>
                <w:sz w:val="24"/>
                <w:szCs w:val="24"/>
              </w:rPr>
            </w:pPr>
            <w:r>
              <w:rPr>
                <w:rFonts w:cs="Arial"/>
                <w:sz w:val="24"/>
                <w:szCs w:val="24"/>
              </w:rPr>
              <w:t>£</w:t>
            </w:r>
            <w:r w:rsidR="00087857">
              <w:rPr>
                <w:rFonts w:cs="Arial"/>
                <w:sz w:val="24"/>
                <w:szCs w:val="24"/>
              </w:rPr>
              <w:t>tbc</w:t>
            </w:r>
          </w:p>
        </w:tc>
      </w:tr>
      <w:tr w:rsidRPr="00196801" w:rsidR="00D13597" w:rsidTr="00333AFC" w14:paraId="5D889294" w14:textId="77777777">
        <w:tc>
          <w:tcPr>
            <w:tcW w:w="7199" w:type="dxa"/>
          </w:tcPr>
          <w:p w:rsidRPr="00196801" w:rsidR="00D13597" w:rsidP="00467472" w:rsidRDefault="00D13597" w14:paraId="14E73AFB" w14:textId="77777777">
            <w:pPr>
              <w:spacing w:line="276" w:lineRule="auto"/>
              <w:rPr>
                <w:rFonts w:cs="Arial"/>
                <w:sz w:val="24"/>
                <w:szCs w:val="24"/>
              </w:rPr>
            </w:pPr>
            <w:r w:rsidRPr="00196801">
              <w:rPr>
                <w:rFonts w:cs="Arial"/>
                <w:sz w:val="24"/>
                <w:szCs w:val="24"/>
              </w:rPr>
              <w:t>Period dignity</w:t>
            </w:r>
          </w:p>
        </w:tc>
        <w:tc>
          <w:tcPr>
            <w:tcW w:w="1817" w:type="dxa"/>
          </w:tcPr>
          <w:p w:rsidRPr="00196801" w:rsidR="00D13597" w:rsidP="00467472" w:rsidRDefault="00D13597" w14:paraId="05CE7C70" w14:textId="70FBCC60">
            <w:pPr>
              <w:spacing w:line="276" w:lineRule="auto"/>
              <w:jc w:val="right"/>
              <w:rPr>
                <w:rFonts w:cs="Arial"/>
                <w:sz w:val="24"/>
                <w:szCs w:val="24"/>
              </w:rPr>
            </w:pPr>
            <w:r w:rsidRPr="00196801">
              <w:rPr>
                <w:rFonts w:cs="Arial"/>
                <w:sz w:val="24"/>
                <w:szCs w:val="24"/>
              </w:rPr>
              <w:t>£</w:t>
            </w:r>
            <w:r w:rsidR="00087857">
              <w:rPr>
                <w:rFonts w:cs="Arial"/>
                <w:sz w:val="24"/>
                <w:szCs w:val="24"/>
              </w:rPr>
              <w:t>tbc</w:t>
            </w:r>
          </w:p>
        </w:tc>
      </w:tr>
      <w:tr w:rsidRPr="00196801" w:rsidR="00D13597" w:rsidTr="00333AFC" w14:paraId="46E0C9D1" w14:textId="77777777">
        <w:tc>
          <w:tcPr>
            <w:tcW w:w="7199" w:type="dxa"/>
          </w:tcPr>
          <w:p w:rsidRPr="00196801" w:rsidR="00D13597" w:rsidP="00467472" w:rsidRDefault="00D13597" w14:paraId="0F294F48" w14:textId="0078DBE5">
            <w:pPr>
              <w:rPr>
                <w:rFonts w:cs="Arial"/>
                <w:sz w:val="24"/>
                <w:szCs w:val="24"/>
              </w:rPr>
            </w:pPr>
            <w:r>
              <w:rPr>
                <w:rFonts w:cs="Arial"/>
                <w:sz w:val="24"/>
                <w:szCs w:val="24"/>
              </w:rPr>
              <w:t>Post 16 Specialist Placements</w:t>
            </w:r>
            <w:r w:rsidR="00F275B1">
              <w:rPr>
                <w:rFonts w:cs="Arial"/>
                <w:sz w:val="24"/>
                <w:szCs w:val="24"/>
              </w:rPr>
              <w:t xml:space="preserve"> (demand Led)</w:t>
            </w:r>
          </w:p>
        </w:tc>
        <w:tc>
          <w:tcPr>
            <w:tcW w:w="1817" w:type="dxa"/>
          </w:tcPr>
          <w:p w:rsidRPr="00196801" w:rsidR="00D13597" w:rsidP="00467472" w:rsidRDefault="00D13597" w14:paraId="3ED32FE2" w14:textId="0D4946E0">
            <w:pPr>
              <w:jc w:val="right"/>
              <w:rPr>
                <w:rFonts w:cs="Arial"/>
                <w:sz w:val="24"/>
                <w:szCs w:val="24"/>
              </w:rPr>
            </w:pPr>
            <w:r>
              <w:rPr>
                <w:rFonts w:cs="Arial"/>
                <w:sz w:val="24"/>
                <w:szCs w:val="24"/>
              </w:rPr>
              <w:t>£</w:t>
            </w:r>
            <w:r w:rsidR="00087857">
              <w:rPr>
                <w:rFonts w:cs="Arial"/>
                <w:sz w:val="24"/>
                <w:szCs w:val="24"/>
              </w:rPr>
              <w:t>tbc</w:t>
            </w:r>
          </w:p>
        </w:tc>
      </w:tr>
    </w:tbl>
    <w:p w:rsidR="006B5167" w:rsidP="006B5167" w:rsidRDefault="006B5167" w14:paraId="448F3626" w14:textId="55B18837">
      <w:pPr>
        <w:rPr>
          <w:rFonts w:cs="Arial"/>
          <w:b/>
          <w:bCs/>
          <w:sz w:val="24"/>
          <w:szCs w:val="24"/>
          <w:u w:val="single"/>
        </w:rPr>
      </w:pPr>
    </w:p>
    <w:p w:rsidR="00C466BF" w:rsidP="006B5167" w:rsidRDefault="00C466BF" w14:paraId="2B80645A" w14:textId="70561778">
      <w:pPr>
        <w:rPr>
          <w:rFonts w:cs="Arial"/>
          <w:b/>
          <w:bCs/>
          <w:sz w:val="24"/>
          <w:szCs w:val="24"/>
          <w:u w:val="single"/>
        </w:rPr>
      </w:pPr>
      <w:r>
        <w:rPr>
          <w:rFonts w:cs="Arial"/>
          <w:b/>
          <w:bCs/>
          <w:sz w:val="24"/>
          <w:szCs w:val="24"/>
          <w:u w:val="single"/>
        </w:rPr>
        <w:t xml:space="preserve">Other funding </w:t>
      </w:r>
      <w:r w:rsidR="00A7103F">
        <w:rPr>
          <w:rFonts w:cs="Arial"/>
          <w:b/>
          <w:bCs/>
          <w:sz w:val="24"/>
          <w:szCs w:val="24"/>
          <w:u w:val="single"/>
        </w:rPr>
        <w:t>from external providers</w:t>
      </w:r>
      <w:r w:rsidR="00087857">
        <w:rPr>
          <w:rFonts w:cs="Arial"/>
          <w:b/>
          <w:bCs/>
          <w:sz w:val="24"/>
          <w:szCs w:val="24"/>
          <w:u w:val="single"/>
        </w:rPr>
        <w:t xml:space="preserve"> - tbc</w:t>
      </w:r>
    </w:p>
    <w:p w:rsidR="00A7103F" w:rsidP="006B5167" w:rsidRDefault="00A7103F" w14:paraId="09D589D0" w14:textId="1C3118EC">
      <w:pPr>
        <w:rPr>
          <w:rFonts w:cs="Arial"/>
          <w:sz w:val="24"/>
          <w:szCs w:val="24"/>
        </w:rPr>
      </w:pPr>
      <w:r>
        <w:rPr>
          <w:rFonts w:cs="Arial"/>
          <w:sz w:val="24"/>
          <w:szCs w:val="24"/>
        </w:rPr>
        <w:t>Finance have been contacted by some external providers</w:t>
      </w:r>
      <w:r w:rsidR="00087857">
        <w:rPr>
          <w:rFonts w:cs="Arial"/>
          <w:sz w:val="24"/>
          <w:szCs w:val="24"/>
        </w:rPr>
        <w:t xml:space="preserve"> during 25/26</w:t>
      </w:r>
      <w:r>
        <w:rPr>
          <w:rFonts w:cs="Arial"/>
          <w:sz w:val="24"/>
          <w:szCs w:val="24"/>
        </w:rPr>
        <w:t xml:space="preserve">, who are allocating </w:t>
      </w:r>
      <w:r w:rsidR="00FB7D9F">
        <w:rPr>
          <w:rFonts w:cs="Arial"/>
          <w:sz w:val="24"/>
          <w:szCs w:val="24"/>
        </w:rPr>
        <w:t>various</w:t>
      </w:r>
      <w:r>
        <w:rPr>
          <w:rFonts w:cs="Arial"/>
          <w:sz w:val="24"/>
          <w:szCs w:val="24"/>
        </w:rPr>
        <w:t xml:space="preserve"> schools funding for supply costs for staff release to attend courses.  These external providers have requested one point of contact with VOG to passport the funds via to ensure that schools receive the funds correctly.  The details below re solely in relation to these providers, this is not the full picture of any other funds schools have secured directly to budget themselves.</w:t>
      </w:r>
    </w:p>
    <w:tbl>
      <w:tblPr>
        <w:tblStyle w:val="TableGrid"/>
        <w:tblW w:w="0" w:type="auto"/>
        <w:tblLayout w:type="fixed"/>
        <w:tblLook w:val="04A0" w:firstRow="1" w:lastRow="0" w:firstColumn="1" w:lastColumn="0" w:noHBand="0" w:noVBand="1"/>
      </w:tblPr>
      <w:tblGrid>
        <w:gridCol w:w="7508"/>
        <w:gridCol w:w="1418"/>
      </w:tblGrid>
      <w:tr w:rsidR="00A7103F" w:rsidTr="00FB7D9F" w14:paraId="409F812D" w14:textId="77777777">
        <w:tc>
          <w:tcPr>
            <w:tcW w:w="7508" w:type="dxa"/>
          </w:tcPr>
          <w:p w:rsidRPr="00A7103F" w:rsidR="00A7103F" w:rsidP="006B5167" w:rsidRDefault="00A7103F" w14:paraId="6F0973DA" w14:textId="1C55928F">
            <w:pPr>
              <w:rPr>
                <w:rFonts w:cs="Arial"/>
                <w:b/>
                <w:bCs/>
                <w:sz w:val="24"/>
                <w:szCs w:val="24"/>
              </w:rPr>
            </w:pPr>
            <w:r w:rsidRPr="00A7103F">
              <w:rPr>
                <w:rFonts w:cs="Arial"/>
                <w:b/>
                <w:bCs/>
                <w:sz w:val="24"/>
                <w:szCs w:val="24"/>
              </w:rPr>
              <w:lastRenderedPageBreak/>
              <w:t>Provider/Funding name</w:t>
            </w:r>
          </w:p>
        </w:tc>
        <w:tc>
          <w:tcPr>
            <w:tcW w:w="1418" w:type="dxa"/>
          </w:tcPr>
          <w:p w:rsidRPr="00A7103F" w:rsidR="00A7103F" w:rsidP="006B5167" w:rsidRDefault="00A7103F" w14:paraId="58AE77A4" w14:textId="1B94B943">
            <w:pPr>
              <w:rPr>
                <w:rFonts w:cs="Arial"/>
                <w:b/>
                <w:bCs/>
                <w:sz w:val="24"/>
                <w:szCs w:val="24"/>
              </w:rPr>
            </w:pPr>
            <w:r w:rsidRPr="00A7103F">
              <w:rPr>
                <w:rFonts w:cs="Arial"/>
                <w:b/>
                <w:bCs/>
                <w:sz w:val="24"/>
                <w:szCs w:val="24"/>
              </w:rPr>
              <w:t>Awarded</w:t>
            </w:r>
          </w:p>
        </w:tc>
      </w:tr>
      <w:tr w:rsidR="00A7103F" w:rsidTr="00FB7D9F" w14:paraId="38DFE1ED" w14:textId="77777777">
        <w:tc>
          <w:tcPr>
            <w:tcW w:w="7508" w:type="dxa"/>
          </w:tcPr>
          <w:p w:rsidR="00A7103F" w:rsidP="006B5167" w:rsidRDefault="00A7103F" w14:paraId="422B7FAD" w14:textId="7CEB5D33">
            <w:pPr>
              <w:rPr>
                <w:rFonts w:cs="Arial"/>
                <w:sz w:val="24"/>
                <w:szCs w:val="24"/>
              </w:rPr>
            </w:pPr>
          </w:p>
        </w:tc>
        <w:tc>
          <w:tcPr>
            <w:tcW w:w="1418" w:type="dxa"/>
          </w:tcPr>
          <w:p w:rsidR="00A7103F" w:rsidP="006B5167" w:rsidRDefault="00A7103F" w14:paraId="19CDF202" w14:textId="1C301D93">
            <w:pPr>
              <w:rPr>
                <w:rFonts w:cs="Arial"/>
                <w:sz w:val="24"/>
                <w:szCs w:val="24"/>
              </w:rPr>
            </w:pPr>
          </w:p>
        </w:tc>
      </w:tr>
      <w:tr w:rsidR="00A7103F" w:rsidTr="00FB7D9F" w14:paraId="0542EB66" w14:textId="77777777">
        <w:tc>
          <w:tcPr>
            <w:tcW w:w="7508" w:type="dxa"/>
          </w:tcPr>
          <w:p w:rsidR="00A7103F" w:rsidP="006B5167" w:rsidRDefault="00A7103F" w14:paraId="7FEB128B" w14:textId="3E80C494">
            <w:pPr>
              <w:rPr>
                <w:rFonts w:cs="Arial"/>
                <w:sz w:val="24"/>
                <w:szCs w:val="24"/>
              </w:rPr>
            </w:pPr>
          </w:p>
        </w:tc>
        <w:tc>
          <w:tcPr>
            <w:tcW w:w="1418" w:type="dxa"/>
          </w:tcPr>
          <w:p w:rsidR="00A7103F" w:rsidP="006B5167" w:rsidRDefault="00A7103F" w14:paraId="78334957" w14:textId="6C6374B2">
            <w:pPr>
              <w:rPr>
                <w:rFonts w:cs="Arial"/>
                <w:sz w:val="24"/>
                <w:szCs w:val="24"/>
              </w:rPr>
            </w:pPr>
          </w:p>
        </w:tc>
      </w:tr>
      <w:tr w:rsidR="00333AFC" w:rsidTr="00FB7D9F" w14:paraId="172C899D" w14:textId="77777777">
        <w:tc>
          <w:tcPr>
            <w:tcW w:w="7508" w:type="dxa"/>
          </w:tcPr>
          <w:p w:rsidR="00333AFC" w:rsidP="006B5167" w:rsidRDefault="00333AFC" w14:paraId="56B941F0" w14:textId="09B57AFC">
            <w:pPr>
              <w:rPr>
                <w:rFonts w:cs="Arial"/>
                <w:sz w:val="24"/>
                <w:szCs w:val="24"/>
              </w:rPr>
            </w:pPr>
          </w:p>
        </w:tc>
        <w:tc>
          <w:tcPr>
            <w:tcW w:w="1418" w:type="dxa"/>
          </w:tcPr>
          <w:p w:rsidR="00333AFC" w:rsidP="006B5167" w:rsidRDefault="00333AFC" w14:paraId="1C23742C" w14:textId="6D023B9A">
            <w:pPr>
              <w:rPr>
                <w:rFonts w:cs="Arial"/>
                <w:sz w:val="24"/>
                <w:szCs w:val="24"/>
              </w:rPr>
            </w:pPr>
          </w:p>
        </w:tc>
      </w:tr>
    </w:tbl>
    <w:p w:rsidR="00E353B0" w:rsidP="00E353B0" w:rsidRDefault="00E353B0" w14:paraId="0F58BFDB" w14:textId="77777777">
      <w:pPr>
        <w:rPr>
          <w:rFonts w:cs="Arial"/>
          <w:b/>
          <w:bCs/>
          <w:sz w:val="24"/>
          <w:szCs w:val="24"/>
          <w:u w:val="single"/>
        </w:rPr>
      </w:pPr>
    </w:p>
    <w:p w:rsidRPr="003321DA" w:rsidR="00E353B0" w:rsidP="00E353B0" w:rsidRDefault="00E353B0" w14:paraId="09C0BF05" w14:textId="5C47E12D">
      <w:pPr>
        <w:rPr>
          <w:rFonts w:cs="Arial"/>
          <w:b/>
          <w:bCs/>
          <w:sz w:val="24"/>
          <w:szCs w:val="24"/>
          <w:u w:val="single"/>
        </w:rPr>
      </w:pPr>
      <w:r w:rsidRPr="003321DA">
        <w:rPr>
          <w:rFonts w:cs="Arial"/>
          <w:b/>
          <w:bCs/>
          <w:sz w:val="24"/>
          <w:szCs w:val="24"/>
          <w:u w:val="single"/>
        </w:rPr>
        <w:t xml:space="preserve">Centrally </w:t>
      </w:r>
      <w:r>
        <w:rPr>
          <w:rFonts w:cs="Arial"/>
          <w:b/>
          <w:bCs/>
          <w:sz w:val="24"/>
          <w:szCs w:val="24"/>
          <w:u w:val="single"/>
        </w:rPr>
        <w:t>retained Capital</w:t>
      </w:r>
      <w:r w:rsidRPr="003321DA">
        <w:rPr>
          <w:rFonts w:cs="Arial"/>
          <w:b/>
          <w:bCs/>
          <w:sz w:val="24"/>
          <w:szCs w:val="24"/>
          <w:u w:val="single"/>
        </w:rPr>
        <w:t xml:space="preserve"> grant funding </w:t>
      </w:r>
      <w:r>
        <w:rPr>
          <w:rFonts w:cs="Arial"/>
          <w:b/>
          <w:bCs/>
          <w:sz w:val="24"/>
          <w:szCs w:val="24"/>
          <w:u w:val="single"/>
        </w:rPr>
        <w:t>-</w:t>
      </w:r>
      <w:r w:rsidRPr="003321DA">
        <w:rPr>
          <w:rFonts w:cs="Arial"/>
          <w:b/>
          <w:bCs/>
          <w:sz w:val="24"/>
          <w:szCs w:val="24"/>
          <w:u w:val="single"/>
        </w:rPr>
        <w:t xml:space="preserve"> </w:t>
      </w:r>
      <w:r>
        <w:rPr>
          <w:rFonts w:cs="Arial"/>
          <w:b/>
          <w:bCs/>
          <w:sz w:val="24"/>
          <w:szCs w:val="24"/>
          <w:u w:val="single"/>
        </w:rPr>
        <w:t>schools</w:t>
      </w:r>
    </w:p>
    <w:p w:rsidRPr="003321DA" w:rsidR="00E353B0" w:rsidP="00E353B0" w:rsidRDefault="00E353B0" w14:paraId="426CE20E" w14:textId="7E95885B">
      <w:pPr>
        <w:jc w:val="both"/>
        <w:rPr>
          <w:rFonts w:cs="Arial"/>
          <w:sz w:val="24"/>
          <w:szCs w:val="24"/>
        </w:rPr>
      </w:pPr>
      <w:r w:rsidRPr="003321DA">
        <w:rPr>
          <w:rFonts w:cs="Arial"/>
          <w:sz w:val="24"/>
          <w:szCs w:val="24"/>
        </w:rPr>
        <w:t xml:space="preserve">In addition to the grants delegated to schools, the Local Authority </w:t>
      </w:r>
      <w:r>
        <w:rPr>
          <w:rFonts w:cs="Arial"/>
          <w:sz w:val="24"/>
          <w:szCs w:val="24"/>
        </w:rPr>
        <w:t xml:space="preserve">has received notification of the following </w:t>
      </w:r>
      <w:r>
        <w:rPr>
          <w:rFonts w:cs="Arial"/>
          <w:sz w:val="24"/>
          <w:szCs w:val="24"/>
        </w:rPr>
        <w:t xml:space="preserve">capital </w:t>
      </w:r>
      <w:r>
        <w:rPr>
          <w:rFonts w:cs="Arial"/>
          <w:sz w:val="24"/>
          <w:szCs w:val="24"/>
        </w:rPr>
        <w:t>grants which will be centrally managed</w:t>
      </w:r>
      <w:r>
        <w:rPr>
          <w:rFonts w:cs="Arial"/>
          <w:sz w:val="24"/>
          <w:szCs w:val="24"/>
        </w:rPr>
        <w:t xml:space="preserve"> in relation to school Estates.</w:t>
      </w:r>
    </w:p>
    <w:tbl>
      <w:tblPr>
        <w:tblStyle w:val="TableGrid"/>
        <w:tblW w:w="0" w:type="auto"/>
        <w:tblLook w:val="04A0" w:firstRow="1" w:lastRow="0" w:firstColumn="1" w:lastColumn="0" w:noHBand="0" w:noVBand="1"/>
      </w:tblPr>
      <w:tblGrid>
        <w:gridCol w:w="7199"/>
        <w:gridCol w:w="1817"/>
      </w:tblGrid>
      <w:tr w:rsidRPr="00196801" w:rsidR="00E353B0" w:rsidTr="00FC14AC" w14:paraId="535632E6" w14:textId="77777777">
        <w:tc>
          <w:tcPr>
            <w:tcW w:w="7199" w:type="dxa"/>
          </w:tcPr>
          <w:p w:rsidRPr="003E6C28" w:rsidR="00E353B0" w:rsidP="00FC14AC" w:rsidRDefault="00E353B0" w14:paraId="6629189D" w14:textId="77777777">
            <w:pPr>
              <w:rPr>
                <w:rFonts w:cs="Arial"/>
                <w:b/>
                <w:bCs/>
                <w:sz w:val="24"/>
                <w:szCs w:val="24"/>
              </w:rPr>
            </w:pPr>
            <w:r w:rsidRPr="003E6C28">
              <w:rPr>
                <w:rFonts w:cs="Arial"/>
                <w:b/>
                <w:bCs/>
                <w:sz w:val="24"/>
                <w:szCs w:val="24"/>
              </w:rPr>
              <w:t>Grant name</w:t>
            </w:r>
          </w:p>
        </w:tc>
        <w:tc>
          <w:tcPr>
            <w:tcW w:w="1817" w:type="dxa"/>
          </w:tcPr>
          <w:p w:rsidRPr="003E6C28" w:rsidR="00E353B0" w:rsidP="00FC14AC" w:rsidRDefault="00E353B0" w14:paraId="51A21D98" w14:textId="77777777">
            <w:pPr>
              <w:jc w:val="center"/>
              <w:rPr>
                <w:rFonts w:cs="Arial"/>
                <w:b/>
                <w:bCs/>
                <w:sz w:val="24"/>
                <w:szCs w:val="24"/>
              </w:rPr>
            </w:pPr>
            <w:r w:rsidRPr="003E6C28">
              <w:rPr>
                <w:rFonts w:cs="Arial"/>
                <w:b/>
                <w:bCs/>
                <w:sz w:val="24"/>
                <w:szCs w:val="24"/>
              </w:rPr>
              <w:t>Awarded</w:t>
            </w:r>
          </w:p>
        </w:tc>
      </w:tr>
      <w:tr w:rsidRPr="00196801" w:rsidR="00E353B0" w:rsidTr="00FC14AC" w14:paraId="2B41BDD2" w14:textId="77777777">
        <w:tc>
          <w:tcPr>
            <w:tcW w:w="7199" w:type="dxa"/>
          </w:tcPr>
          <w:p w:rsidRPr="00196801" w:rsidR="00E353B0" w:rsidP="00FC14AC" w:rsidRDefault="00E353B0" w14:paraId="2CEB83DD" w14:textId="61D967BA">
            <w:pPr>
              <w:rPr>
                <w:rFonts w:cs="Arial"/>
                <w:sz w:val="24"/>
                <w:szCs w:val="24"/>
              </w:rPr>
            </w:pPr>
            <w:r>
              <w:rPr>
                <w:rFonts w:cs="Arial"/>
                <w:sz w:val="24"/>
                <w:szCs w:val="24"/>
              </w:rPr>
              <w:t xml:space="preserve">Capital repairs and maintenance </w:t>
            </w:r>
          </w:p>
        </w:tc>
        <w:tc>
          <w:tcPr>
            <w:tcW w:w="1817" w:type="dxa"/>
          </w:tcPr>
          <w:p w:rsidRPr="00196801" w:rsidR="00E353B0" w:rsidP="00FC14AC" w:rsidRDefault="00E353B0" w14:paraId="622E74BF" w14:textId="79E350F0">
            <w:pPr>
              <w:jc w:val="right"/>
              <w:rPr>
                <w:rFonts w:cs="Arial"/>
                <w:sz w:val="24"/>
                <w:szCs w:val="24"/>
              </w:rPr>
            </w:pPr>
            <w:r w:rsidRPr="00196801">
              <w:rPr>
                <w:rFonts w:cs="Arial"/>
                <w:sz w:val="24"/>
                <w:szCs w:val="24"/>
              </w:rPr>
              <w:t>£</w:t>
            </w:r>
            <w:r>
              <w:rPr>
                <w:rFonts w:cs="Arial"/>
                <w:sz w:val="24"/>
                <w:szCs w:val="24"/>
              </w:rPr>
              <w:t>1.075m</w:t>
            </w:r>
          </w:p>
        </w:tc>
      </w:tr>
    </w:tbl>
    <w:p w:rsidR="009A743E" w:rsidP="006B5167" w:rsidRDefault="009A743E" w14:paraId="1671253A" w14:textId="77777777">
      <w:pPr>
        <w:rPr>
          <w:rFonts w:cs="Arial"/>
          <w:sz w:val="24"/>
          <w:szCs w:val="24"/>
        </w:rPr>
      </w:pPr>
    </w:p>
    <w:p w:rsidRPr="00A7103F" w:rsidR="00E353B0" w:rsidP="006B5167" w:rsidRDefault="00E353B0" w14:paraId="4C238561" w14:textId="77777777">
      <w:pPr>
        <w:rPr>
          <w:rFonts w:cs="Arial"/>
          <w:sz w:val="24"/>
          <w:szCs w:val="24"/>
        </w:rPr>
      </w:pPr>
    </w:p>
    <w:sectPr w:rsidRPr="00A7103F" w:rsidR="00E353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B302" w14:textId="77777777" w:rsidR="006F5D18" w:rsidRDefault="006F5D18" w:rsidP="0000756F">
      <w:pPr>
        <w:spacing w:after="0" w:line="240" w:lineRule="auto"/>
      </w:pPr>
      <w:r>
        <w:separator/>
      </w:r>
    </w:p>
  </w:endnote>
  <w:endnote w:type="continuationSeparator" w:id="0">
    <w:p w14:paraId="7229E966" w14:textId="77777777" w:rsidR="006F5D18" w:rsidRDefault="006F5D18" w:rsidP="0000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4ACA" w14:textId="77777777" w:rsidR="006F5D18" w:rsidRDefault="006F5D18" w:rsidP="0000756F">
      <w:pPr>
        <w:spacing w:after="0" w:line="240" w:lineRule="auto"/>
      </w:pPr>
      <w:r>
        <w:separator/>
      </w:r>
    </w:p>
  </w:footnote>
  <w:footnote w:type="continuationSeparator" w:id="0">
    <w:p w14:paraId="0096C7DE" w14:textId="77777777" w:rsidR="006F5D18" w:rsidRDefault="006F5D18" w:rsidP="0000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36"/>
    <w:multiLevelType w:val="hybridMultilevel"/>
    <w:tmpl w:val="BABC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DBC"/>
    <w:multiLevelType w:val="hybridMultilevel"/>
    <w:tmpl w:val="47B0A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7B59FA"/>
    <w:multiLevelType w:val="hybridMultilevel"/>
    <w:tmpl w:val="1070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E695B"/>
    <w:multiLevelType w:val="hybridMultilevel"/>
    <w:tmpl w:val="156AE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2C15C6"/>
    <w:multiLevelType w:val="hybridMultilevel"/>
    <w:tmpl w:val="18E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D473F"/>
    <w:multiLevelType w:val="hybridMultilevel"/>
    <w:tmpl w:val="3C0E4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874B85"/>
    <w:multiLevelType w:val="hybridMultilevel"/>
    <w:tmpl w:val="BF04B74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6AB62746"/>
    <w:multiLevelType w:val="hybridMultilevel"/>
    <w:tmpl w:val="F806C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F33529"/>
    <w:multiLevelType w:val="hybridMultilevel"/>
    <w:tmpl w:val="5F7A5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9699546">
    <w:abstractNumId w:val="5"/>
  </w:num>
  <w:num w:numId="2" w16cid:durableId="206376959">
    <w:abstractNumId w:val="8"/>
  </w:num>
  <w:num w:numId="3" w16cid:durableId="759910629">
    <w:abstractNumId w:val="1"/>
  </w:num>
  <w:num w:numId="4" w16cid:durableId="2076972240">
    <w:abstractNumId w:val="7"/>
  </w:num>
  <w:num w:numId="5" w16cid:durableId="1197036694">
    <w:abstractNumId w:val="3"/>
  </w:num>
  <w:num w:numId="6" w16cid:durableId="1322005915">
    <w:abstractNumId w:val="1"/>
  </w:num>
  <w:num w:numId="7" w16cid:durableId="1167593905">
    <w:abstractNumId w:val="4"/>
  </w:num>
  <w:num w:numId="8" w16cid:durableId="1744378304">
    <w:abstractNumId w:val="8"/>
  </w:num>
  <w:num w:numId="9" w16cid:durableId="148064665">
    <w:abstractNumId w:val="2"/>
  </w:num>
  <w:num w:numId="10" w16cid:durableId="2117172629">
    <w:abstractNumId w:val="0"/>
  </w:num>
  <w:num w:numId="11" w16cid:durableId="1466895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47"/>
    <w:rsid w:val="0000756F"/>
    <w:rsid w:val="00031D37"/>
    <w:rsid w:val="000563C1"/>
    <w:rsid w:val="000616CA"/>
    <w:rsid w:val="00067D16"/>
    <w:rsid w:val="00073EC5"/>
    <w:rsid w:val="00076057"/>
    <w:rsid w:val="00087857"/>
    <w:rsid w:val="00092E2D"/>
    <w:rsid w:val="00095F66"/>
    <w:rsid w:val="00096E6C"/>
    <w:rsid w:val="000A2DF5"/>
    <w:rsid w:val="000B12DC"/>
    <w:rsid w:val="000B6BE0"/>
    <w:rsid w:val="000E0F1F"/>
    <w:rsid w:val="00133E47"/>
    <w:rsid w:val="00174A3E"/>
    <w:rsid w:val="0018743D"/>
    <w:rsid w:val="0019405B"/>
    <w:rsid w:val="00196801"/>
    <w:rsid w:val="001C1170"/>
    <w:rsid w:val="001C6BEE"/>
    <w:rsid w:val="001D0D8C"/>
    <w:rsid w:val="001E25AC"/>
    <w:rsid w:val="00202BD3"/>
    <w:rsid w:val="00222355"/>
    <w:rsid w:val="0022256F"/>
    <w:rsid w:val="00224297"/>
    <w:rsid w:val="00241A65"/>
    <w:rsid w:val="00241B07"/>
    <w:rsid w:val="002A3C5D"/>
    <w:rsid w:val="002B4157"/>
    <w:rsid w:val="002C4DC2"/>
    <w:rsid w:val="002F2882"/>
    <w:rsid w:val="002F42A1"/>
    <w:rsid w:val="003049FA"/>
    <w:rsid w:val="003321DA"/>
    <w:rsid w:val="00333AFC"/>
    <w:rsid w:val="00336E78"/>
    <w:rsid w:val="00360AA9"/>
    <w:rsid w:val="003751DA"/>
    <w:rsid w:val="00392059"/>
    <w:rsid w:val="003A5D82"/>
    <w:rsid w:val="003B10A0"/>
    <w:rsid w:val="003D5780"/>
    <w:rsid w:val="003E6C28"/>
    <w:rsid w:val="003F4ACA"/>
    <w:rsid w:val="00426C69"/>
    <w:rsid w:val="00427716"/>
    <w:rsid w:val="00442AAA"/>
    <w:rsid w:val="0046620F"/>
    <w:rsid w:val="00470A73"/>
    <w:rsid w:val="0049672E"/>
    <w:rsid w:val="004A0D80"/>
    <w:rsid w:val="004B016C"/>
    <w:rsid w:val="004B188B"/>
    <w:rsid w:val="004D676C"/>
    <w:rsid w:val="004F3461"/>
    <w:rsid w:val="00501ED4"/>
    <w:rsid w:val="005173E9"/>
    <w:rsid w:val="00552327"/>
    <w:rsid w:val="00555DF6"/>
    <w:rsid w:val="00564C62"/>
    <w:rsid w:val="00581777"/>
    <w:rsid w:val="00584341"/>
    <w:rsid w:val="005A5D23"/>
    <w:rsid w:val="005D7703"/>
    <w:rsid w:val="005E51DB"/>
    <w:rsid w:val="0063689C"/>
    <w:rsid w:val="00645120"/>
    <w:rsid w:val="00682B19"/>
    <w:rsid w:val="006952E4"/>
    <w:rsid w:val="006B5167"/>
    <w:rsid w:val="006D30FE"/>
    <w:rsid w:val="006D72EB"/>
    <w:rsid w:val="006F277B"/>
    <w:rsid w:val="006F3736"/>
    <w:rsid w:val="006F5D18"/>
    <w:rsid w:val="00710E30"/>
    <w:rsid w:val="007273D3"/>
    <w:rsid w:val="00727CCB"/>
    <w:rsid w:val="00735A54"/>
    <w:rsid w:val="00763965"/>
    <w:rsid w:val="00775A24"/>
    <w:rsid w:val="007E01F2"/>
    <w:rsid w:val="00804B47"/>
    <w:rsid w:val="00813F3B"/>
    <w:rsid w:val="0081493B"/>
    <w:rsid w:val="008555D4"/>
    <w:rsid w:val="00857373"/>
    <w:rsid w:val="00873B28"/>
    <w:rsid w:val="00891197"/>
    <w:rsid w:val="008B4138"/>
    <w:rsid w:val="008C1CFB"/>
    <w:rsid w:val="008D4987"/>
    <w:rsid w:val="008E08C8"/>
    <w:rsid w:val="008E2355"/>
    <w:rsid w:val="00916A0C"/>
    <w:rsid w:val="0092034B"/>
    <w:rsid w:val="00920DA9"/>
    <w:rsid w:val="0093281B"/>
    <w:rsid w:val="009461A8"/>
    <w:rsid w:val="00960F6A"/>
    <w:rsid w:val="00973815"/>
    <w:rsid w:val="00980C46"/>
    <w:rsid w:val="00980F8B"/>
    <w:rsid w:val="009A743E"/>
    <w:rsid w:val="009B5DAA"/>
    <w:rsid w:val="009B7F7A"/>
    <w:rsid w:val="009C4019"/>
    <w:rsid w:val="009D497A"/>
    <w:rsid w:val="00A40199"/>
    <w:rsid w:val="00A60686"/>
    <w:rsid w:val="00A7103F"/>
    <w:rsid w:val="00A85DEA"/>
    <w:rsid w:val="00A91BC8"/>
    <w:rsid w:val="00AA575A"/>
    <w:rsid w:val="00AD4161"/>
    <w:rsid w:val="00AE3CAF"/>
    <w:rsid w:val="00AF3EFA"/>
    <w:rsid w:val="00AF4602"/>
    <w:rsid w:val="00B17880"/>
    <w:rsid w:val="00B22BF6"/>
    <w:rsid w:val="00B22EF4"/>
    <w:rsid w:val="00B64D9B"/>
    <w:rsid w:val="00B81A77"/>
    <w:rsid w:val="00B9141C"/>
    <w:rsid w:val="00B91473"/>
    <w:rsid w:val="00BB5B51"/>
    <w:rsid w:val="00BD34BF"/>
    <w:rsid w:val="00BD7D59"/>
    <w:rsid w:val="00BE328B"/>
    <w:rsid w:val="00BE4DC4"/>
    <w:rsid w:val="00BE6550"/>
    <w:rsid w:val="00C24542"/>
    <w:rsid w:val="00C37C14"/>
    <w:rsid w:val="00C42F1E"/>
    <w:rsid w:val="00C466BF"/>
    <w:rsid w:val="00C51F1D"/>
    <w:rsid w:val="00C54265"/>
    <w:rsid w:val="00C82459"/>
    <w:rsid w:val="00C97D08"/>
    <w:rsid w:val="00CB69DB"/>
    <w:rsid w:val="00CC04F4"/>
    <w:rsid w:val="00D015A5"/>
    <w:rsid w:val="00D0279A"/>
    <w:rsid w:val="00D13597"/>
    <w:rsid w:val="00D15511"/>
    <w:rsid w:val="00D658B9"/>
    <w:rsid w:val="00DA1534"/>
    <w:rsid w:val="00DA3699"/>
    <w:rsid w:val="00DB1E08"/>
    <w:rsid w:val="00DE143B"/>
    <w:rsid w:val="00E11EAF"/>
    <w:rsid w:val="00E2088D"/>
    <w:rsid w:val="00E353B0"/>
    <w:rsid w:val="00E5006F"/>
    <w:rsid w:val="00E5561A"/>
    <w:rsid w:val="00E63418"/>
    <w:rsid w:val="00E63FFC"/>
    <w:rsid w:val="00E83C95"/>
    <w:rsid w:val="00EB2686"/>
    <w:rsid w:val="00EC00C8"/>
    <w:rsid w:val="00F16725"/>
    <w:rsid w:val="00F16988"/>
    <w:rsid w:val="00F275B1"/>
    <w:rsid w:val="00F30ED9"/>
    <w:rsid w:val="00F319D9"/>
    <w:rsid w:val="00F366D4"/>
    <w:rsid w:val="00F45CC5"/>
    <w:rsid w:val="00F6594B"/>
    <w:rsid w:val="00F66EF2"/>
    <w:rsid w:val="00F77A77"/>
    <w:rsid w:val="00FA6972"/>
    <w:rsid w:val="00FB1D89"/>
    <w:rsid w:val="00FB7D9F"/>
    <w:rsid w:val="00FC296A"/>
    <w:rsid w:val="00FC30FC"/>
    <w:rsid w:val="00FC58AB"/>
    <w:rsid w:val="00FC6A47"/>
    <w:rsid w:val="00FD169E"/>
    <w:rsid w:val="00FD5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7B73F"/>
  <w15:chartTrackingRefBased/>
  <w15:docId w15:val="{79FBB78E-0EF6-44A4-ABF0-1250984C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B47"/>
    <w:pPr>
      <w:ind w:left="720"/>
      <w:contextualSpacing/>
    </w:pPr>
  </w:style>
  <w:style w:type="character" w:styleId="Hyperlink">
    <w:name w:val="Hyperlink"/>
    <w:basedOn w:val="DefaultParagraphFont"/>
    <w:uiPriority w:val="99"/>
    <w:semiHidden/>
    <w:unhideWhenUsed/>
    <w:rsid w:val="00F45CC5"/>
    <w:rPr>
      <w:color w:val="0000FF"/>
      <w:u w:val="single"/>
    </w:rPr>
  </w:style>
  <w:style w:type="table" w:styleId="TableGrid">
    <w:name w:val="Table Grid"/>
    <w:basedOn w:val="TableNormal"/>
    <w:uiPriority w:val="59"/>
    <w:rsid w:val="00DB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DAA"/>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929">
      <w:bodyDiv w:val="1"/>
      <w:marLeft w:val="0"/>
      <w:marRight w:val="0"/>
      <w:marTop w:val="0"/>
      <w:marBottom w:val="0"/>
      <w:divBdr>
        <w:top w:val="none" w:sz="0" w:space="0" w:color="auto"/>
        <w:left w:val="none" w:sz="0" w:space="0" w:color="auto"/>
        <w:bottom w:val="none" w:sz="0" w:space="0" w:color="auto"/>
        <w:right w:val="none" w:sz="0" w:space="0" w:color="auto"/>
      </w:divBdr>
    </w:div>
    <w:div w:id="271012383">
      <w:bodyDiv w:val="1"/>
      <w:marLeft w:val="0"/>
      <w:marRight w:val="0"/>
      <w:marTop w:val="0"/>
      <w:marBottom w:val="0"/>
      <w:divBdr>
        <w:top w:val="none" w:sz="0" w:space="0" w:color="auto"/>
        <w:left w:val="none" w:sz="0" w:space="0" w:color="auto"/>
        <w:bottom w:val="none" w:sz="0" w:space="0" w:color="auto"/>
        <w:right w:val="none" w:sz="0" w:space="0" w:color="auto"/>
      </w:divBdr>
    </w:div>
    <w:div w:id="423646093">
      <w:bodyDiv w:val="1"/>
      <w:marLeft w:val="0"/>
      <w:marRight w:val="0"/>
      <w:marTop w:val="0"/>
      <w:marBottom w:val="0"/>
      <w:divBdr>
        <w:top w:val="none" w:sz="0" w:space="0" w:color="auto"/>
        <w:left w:val="none" w:sz="0" w:space="0" w:color="auto"/>
        <w:bottom w:val="none" w:sz="0" w:space="0" w:color="auto"/>
        <w:right w:val="none" w:sz="0" w:space="0" w:color="auto"/>
      </w:divBdr>
    </w:div>
    <w:div w:id="424112281">
      <w:bodyDiv w:val="1"/>
      <w:marLeft w:val="0"/>
      <w:marRight w:val="0"/>
      <w:marTop w:val="0"/>
      <w:marBottom w:val="0"/>
      <w:divBdr>
        <w:top w:val="none" w:sz="0" w:space="0" w:color="auto"/>
        <w:left w:val="none" w:sz="0" w:space="0" w:color="auto"/>
        <w:bottom w:val="none" w:sz="0" w:space="0" w:color="auto"/>
        <w:right w:val="none" w:sz="0" w:space="0" w:color="auto"/>
      </w:divBdr>
    </w:div>
    <w:div w:id="430468842">
      <w:bodyDiv w:val="1"/>
      <w:marLeft w:val="0"/>
      <w:marRight w:val="0"/>
      <w:marTop w:val="0"/>
      <w:marBottom w:val="0"/>
      <w:divBdr>
        <w:top w:val="none" w:sz="0" w:space="0" w:color="auto"/>
        <w:left w:val="none" w:sz="0" w:space="0" w:color="auto"/>
        <w:bottom w:val="none" w:sz="0" w:space="0" w:color="auto"/>
        <w:right w:val="none" w:sz="0" w:space="0" w:color="auto"/>
      </w:divBdr>
    </w:div>
    <w:div w:id="785345506">
      <w:bodyDiv w:val="1"/>
      <w:marLeft w:val="0"/>
      <w:marRight w:val="0"/>
      <w:marTop w:val="0"/>
      <w:marBottom w:val="0"/>
      <w:divBdr>
        <w:top w:val="none" w:sz="0" w:space="0" w:color="auto"/>
        <w:left w:val="none" w:sz="0" w:space="0" w:color="auto"/>
        <w:bottom w:val="none" w:sz="0" w:space="0" w:color="auto"/>
        <w:right w:val="none" w:sz="0" w:space="0" w:color="auto"/>
      </w:divBdr>
    </w:div>
    <w:div w:id="863441534">
      <w:bodyDiv w:val="1"/>
      <w:marLeft w:val="0"/>
      <w:marRight w:val="0"/>
      <w:marTop w:val="0"/>
      <w:marBottom w:val="0"/>
      <w:divBdr>
        <w:top w:val="none" w:sz="0" w:space="0" w:color="auto"/>
        <w:left w:val="none" w:sz="0" w:space="0" w:color="auto"/>
        <w:bottom w:val="none" w:sz="0" w:space="0" w:color="auto"/>
        <w:right w:val="none" w:sz="0" w:space="0" w:color="auto"/>
      </w:divBdr>
    </w:div>
    <w:div w:id="895121697">
      <w:bodyDiv w:val="1"/>
      <w:marLeft w:val="0"/>
      <w:marRight w:val="0"/>
      <w:marTop w:val="0"/>
      <w:marBottom w:val="0"/>
      <w:divBdr>
        <w:top w:val="none" w:sz="0" w:space="0" w:color="auto"/>
        <w:left w:val="none" w:sz="0" w:space="0" w:color="auto"/>
        <w:bottom w:val="none" w:sz="0" w:space="0" w:color="auto"/>
        <w:right w:val="none" w:sz="0" w:space="0" w:color="auto"/>
      </w:divBdr>
    </w:div>
    <w:div w:id="897983344">
      <w:bodyDiv w:val="1"/>
      <w:marLeft w:val="0"/>
      <w:marRight w:val="0"/>
      <w:marTop w:val="0"/>
      <w:marBottom w:val="0"/>
      <w:divBdr>
        <w:top w:val="none" w:sz="0" w:space="0" w:color="auto"/>
        <w:left w:val="none" w:sz="0" w:space="0" w:color="auto"/>
        <w:bottom w:val="none" w:sz="0" w:space="0" w:color="auto"/>
        <w:right w:val="none" w:sz="0" w:space="0" w:color="auto"/>
      </w:divBdr>
    </w:div>
    <w:div w:id="904140555">
      <w:bodyDiv w:val="1"/>
      <w:marLeft w:val="0"/>
      <w:marRight w:val="0"/>
      <w:marTop w:val="0"/>
      <w:marBottom w:val="0"/>
      <w:divBdr>
        <w:top w:val="none" w:sz="0" w:space="0" w:color="auto"/>
        <w:left w:val="none" w:sz="0" w:space="0" w:color="auto"/>
        <w:bottom w:val="none" w:sz="0" w:space="0" w:color="auto"/>
        <w:right w:val="none" w:sz="0" w:space="0" w:color="auto"/>
      </w:divBdr>
    </w:div>
    <w:div w:id="1035041278">
      <w:bodyDiv w:val="1"/>
      <w:marLeft w:val="0"/>
      <w:marRight w:val="0"/>
      <w:marTop w:val="0"/>
      <w:marBottom w:val="0"/>
      <w:divBdr>
        <w:top w:val="none" w:sz="0" w:space="0" w:color="auto"/>
        <w:left w:val="none" w:sz="0" w:space="0" w:color="auto"/>
        <w:bottom w:val="none" w:sz="0" w:space="0" w:color="auto"/>
        <w:right w:val="none" w:sz="0" w:space="0" w:color="auto"/>
      </w:divBdr>
    </w:div>
    <w:div w:id="1266038178">
      <w:bodyDiv w:val="1"/>
      <w:marLeft w:val="0"/>
      <w:marRight w:val="0"/>
      <w:marTop w:val="0"/>
      <w:marBottom w:val="0"/>
      <w:divBdr>
        <w:top w:val="none" w:sz="0" w:space="0" w:color="auto"/>
        <w:left w:val="none" w:sz="0" w:space="0" w:color="auto"/>
        <w:bottom w:val="none" w:sz="0" w:space="0" w:color="auto"/>
        <w:right w:val="none" w:sz="0" w:space="0" w:color="auto"/>
      </w:divBdr>
    </w:div>
    <w:div w:id="1371998471">
      <w:bodyDiv w:val="1"/>
      <w:marLeft w:val="0"/>
      <w:marRight w:val="0"/>
      <w:marTop w:val="0"/>
      <w:marBottom w:val="0"/>
      <w:divBdr>
        <w:top w:val="none" w:sz="0" w:space="0" w:color="auto"/>
        <w:left w:val="none" w:sz="0" w:space="0" w:color="auto"/>
        <w:bottom w:val="none" w:sz="0" w:space="0" w:color="auto"/>
        <w:right w:val="none" w:sz="0" w:space="0" w:color="auto"/>
      </w:divBdr>
    </w:div>
    <w:div w:id="1421104350">
      <w:bodyDiv w:val="1"/>
      <w:marLeft w:val="0"/>
      <w:marRight w:val="0"/>
      <w:marTop w:val="0"/>
      <w:marBottom w:val="0"/>
      <w:divBdr>
        <w:top w:val="none" w:sz="0" w:space="0" w:color="auto"/>
        <w:left w:val="none" w:sz="0" w:space="0" w:color="auto"/>
        <w:bottom w:val="none" w:sz="0" w:space="0" w:color="auto"/>
        <w:right w:val="none" w:sz="0" w:space="0" w:color="auto"/>
      </w:divBdr>
    </w:div>
    <w:div w:id="1506749303">
      <w:bodyDiv w:val="1"/>
      <w:marLeft w:val="0"/>
      <w:marRight w:val="0"/>
      <w:marTop w:val="0"/>
      <w:marBottom w:val="0"/>
      <w:divBdr>
        <w:top w:val="none" w:sz="0" w:space="0" w:color="auto"/>
        <w:left w:val="none" w:sz="0" w:space="0" w:color="auto"/>
        <w:bottom w:val="none" w:sz="0" w:space="0" w:color="auto"/>
        <w:right w:val="none" w:sz="0" w:space="0" w:color="auto"/>
      </w:divBdr>
    </w:div>
    <w:div w:id="1517697856">
      <w:bodyDiv w:val="1"/>
      <w:marLeft w:val="0"/>
      <w:marRight w:val="0"/>
      <w:marTop w:val="0"/>
      <w:marBottom w:val="0"/>
      <w:divBdr>
        <w:top w:val="none" w:sz="0" w:space="0" w:color="auto"/>
        <w:left w:val="none" w:sz="0" w:space="0" w:color="auto"/>
        <w:bottom w:val="none" w:sz="0" w:space="0" w:color="auto"/>
        <w:right w:val="none" w:sz="0" w:space="0" w:color="auto"/>
      </w:divBdr>
    </w:div>
    <w:div w:id="1680505311">
      <w:bodyDiv w:val="1"/>
      <w:marLeft w:val="0"/>
      <w:marRight w:val="0"/>
      <w:marTop w:val="0"/>
      <w:marBottom w:val="0"/>
      <w:divBdr>
        <w:top w:val="none" w:sz="0" w:space="0" w:color="auto"/>
        <w:left w:val="none" w:sz="0" w:space="0" w:color="auto"/>
        <w:bottom w:val="none" w:sz="0" w:space="0" w:color="auto"/>
        <w:right w:val="none" w:sz="0" w:space="0" w:color="auto"/>
      </w:divBdr>
    </w:div>
    <w:div w:id="17061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f6ce8b-340d-4984-ae76-7e1cb8059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F6AA952686CB48B875305657656879" ma:contentTypeVersion="13" ma:contentTypeDescription="Create a new document." ma:contentTypeScope="" ma:versionID="4469127168389863e903b5bc39a2b83b">
  <xsd:schema xmlns:xsd="http://www.w3.org/2001/XMLSchema" xmlns:xs="http://www.w3.org/2001/XMLSchema" xmlns:p="http://schemas.microsoft.com/office/2006/metadata/properties" xmlns:ns3="5ef6ce8b-340d-4984-ae76-7e1cb80595d4" xmlns:ns4="c5a65d60-b072-4b60-b702-d8422c5b0af9" targetNamespace="http://schemas.microsoft.com/office/2006/metadata/properties" ma:root="true" ma:fieldsID="69754d622572a444eca7a2fe36a8ce57" ns3:_="" ns4:_="">
    <xsd:import namespace="5ef6ce8b-340d-4984-ae76-7e1cb80595d4"/>
    <xsd:import namespace="c5a65d60-b072-4b60-b702-d8422c5b0a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ce8b-340d-4984-ae76-7e1cb805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65d60-b072-4b60-b702-d8422c5b0a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1CDF4-932D-4FA6-9FB1-08963ED4F383}">
  <ds:schemaRefs>
    <ds:schemaRef ds:uri="http://purl.org/dc/elements/1.1/"/>
    <ds:schemaRef ds:uri="http://schemas.microsoft.com/office/2006/metadata/properties"/>
    <ds:schemaRef ds:uri="c5a65d60-b072-4b60-b702-d8422c5b0af9"/>
    <ds:schemaRef ds:uri="http://purl.org/dc/terms/"/>
    <ds:schemaRef ds:uri="http://schemas.openxmlformats.org/package/2006/metadata/core-properties"/>
    <ds:schemaRef ds:uri="http://schemas.microsoft.com/office/2006/documentManagement/types"/>
    <ds:schemaRef ds:uri="5ef6ce8b-340d-4984-ae76-7e1cb80595d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AD60320-ABA8-4962-813D-B102D22E071B}">
  <ds:schemaRefs>
    <ds:schemaRef ds:uri="http://schemas.microsoft.com/sharepoint/v3/contenttype/forms"/>
  </ds:schemaRefs>
</ds:datastoreItem>
</file>

<file path=customXml/itemProps3.xml><?xml version="1.0" encoding="utf-8"?>
<ds:datastoreItem xmlns:ds="http://schemas.openxmlformats.org/officeDocument/2006/customXml" ds:itemID="{B8A2231F-A783-4129-B51A-048B7F0C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ce8b-340d-4984-ae76-7e1cb80595d4"/>
    <ds:schemaRef ds:uri="c5a65d60-b072-4b60-b702-d8422c5b0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5232</Characters>
  <Application>Microsoft Office Word</Application>
  <DocSecurity>0</DocSecurity>
  <Lines>218</Lines>
  <Paragraphs>181</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7.b. Budget Forum grants 2627 FY Update March 26</dc:title>
  <dc:subject>
  </dc:subject>
  <dc:creator>Monckton, Nicola</dc:creator>
  <cp:keywords>
  </cp:keywords>
  <dc:description>
  </dc:description>
  <cp:lastModifiedBy>Sallie Jones</cp:lastModifiedBy>
  <cp:revision>2</cp:revision>
  <dcterms:created xsi:type="dcterms:W3CDTF">2026-03-20T08:35:00Z</dcterms:created>
  <dcterms:modified xsi:type="dcterms:W3CDTF">2026-07-13T10:47:06Z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0x01010046F6AA952686CB48B875305657656879</vt:lpwstr>
  </property>
</Properties>
</file>