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007C" w:rsidR="001E123C" w:rsidP="001E123C" w:rsidRDefault="007110BE" w14:paraId="38749ED7" w14:textId="73465D24">
      <w:pPr>
        <w:rPr>
          <w:b/>
        </w:rPr>
      </w:pPr>
      <w:r>
        <w:rPr>
          <w:b/>
          <w:noProof/>
        </w:rPr>
        <w:drawing>
          <wp:inline distT="0" distB="0" distL="0" distR="0" wp14:anchorId="6D7014A7" wp14:editId="5901F0D1">
            <wp:extent cx="2305050" cy="1377955"/>
            <wp:effectExtent l="0" t="0" r="0" b="0"/>
            <wp:docPr id="634348525"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48525" name="Picture 1" descr="A picture containing graphics, graphic design, font,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377" cy="1384726"/>
                    </a:xfrm>
                    <a:prstGeom prst="rect">
                      <a:avLst/>
                    </a:prstGeom>
                  </pic:spPr>
                </pic:pic>
              </a:graphicData>
            </a:graphic>
          </wp:inline>
        </w:drawing>
      </w:r>
    </w:p>
    <w:tbl>
      <w:tblPr>
        <w:tblpPr w:leftFromText="187" w:rightFromText="187" w:bottomFromText="720" w:vertAnchor="page" w:horzAnchor="margin" w:tblpY="5536"/>
        <w:tblW w:w="4600" w:type="pct"/>
        <w:tblCellMar>
          <w:left w:w="288" w:type="dxa"/>
          <w:right w:w="288" w:type="dxa"/>
        </w:tblCellMar>
        <w:tblLook w:val="04A0" w:firstRow="1" w:lastRow="0" w:firstColumn="1" w:lastColumn="0" w:noHBand="0" w:noVBand="1"/>
      </w:tblPr>
      <w:tblGrid>
        <w:gridCol w:w="9274"/>
      </w:tblGrid>
      <w:tr w:rsidR="001E123C" w:rsidTr="00B32087" w14:paraId="77132A30" w14:textId="77777777">
        <w:tc>
          <w:tcPr>
            <w:tcW w:w="9804" w:type="dxa"/>
          </w:tcPr>
          <w:sdt>
            <w:sdt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rsidRPr="0035512A" w:rsidR="001E123C" w:rsidP="00B32087" w:rsidRDefault="007110BE" w14:paraId="6CFE691B" w14:textId="0F1CBE3D">
                <w:pPr>
                  <w:pStyle w:val="Title"/>
                </w:pPr>
                <w:r>
                  <w:t>Vale Valleys and Cardiff Adoption Collaborative</w:t>
                </w:r>
              </w:p>
            </w:sdtContent>
          </w:sdt>
        </w:tc>
      </w:tr>
      <w:tr w:rsidR="001E123C" w:rsidTr="00B32087" w14:paraId="6C4A9B40" w14:textId="77777777">
        <w:tc>
          <w:tcPr>
            <w:tcW w:w="0" w:type="auto"/>
            <w:vAlign w:val="bottom"/>
          </w:tcPr>
          <w:p w:rsidR="001E123C" w:rsidP="006C636D" w:rsidRDefault="000F0B39" w14:paraId="33948CCA" w14:textId="77777777">
            <w:pPr>
              <w:pStyle w:val="Subtitle"/>
              <w:rPr>
                <w:sz w:val="28"/>
                <w:szCs w:val="28"/>
              </w:rPr>
            </w:pPr>
            <w:sdt>
              <w:sdtPr>
                <w:rPr>
                  <w:sz w:val="28"/>
                  <w:szCs w:val="28"/>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r w:rsidR="005A13F8">
                  <w:rPr>
                    <w:sz w:val="28"/>
                    <w:szCs w:val="28"/>
                  </w:rPr>
                  <w:t xml:space="preserve">Unaudited </w:t>
                </w:r>
                <w:r w:rsidR="00922835">
                  <w:rPr>
                    <w:sz w:val="28"/>
                    <w:szCs w:val="28"/>
                  </w:rPr>
                  <w:t>Statement of Accounts 202</w:t>
                </w:r>
                <w:r w:rsidR="00FE32CD">
                  <w:rPr>
                    <w:sz w:val="28"/>
                    <w:szCs w:val="28"/>
                  </w:rPr>
                  <w:t>2</w:t>
                </w:r>
                <w:r w:rsidR="00922835">
                  <w:rPr>
                    <w:sz w:val="28"/>
                    <w:szCs w:val="28"/>
                  </w:rPr>
                  <w:t>/2</w:t>
                </w:r>
                <w:r w:rsidR="00FE32CD">
                  <w:rPr>
                    <w:sz w:val="28"/>
                    <w:szCs w:val="28"/>
                  </w:rPr>
                  <w:t>3</w:t>
                </w:r>
                <w:r w:rsidR="00922835">
                  <w:rPr>
                    <w:sz w:val="28"/>
                    <w:szCs w:val="28"/>
                  </w:rPr>
                  <w:t xml:space="preserve"> Year Ended 31st March 202</w:t>
                </w:r>
                <w:r w:rsidR="00FE32CD">
                  <w:rPr>
                    <w:sz w:val="28"/>
                    <w:szCs w:val="28"/>
                  </w:rPr>
                  <w:t>3</w:t>
                </w:r>
              </w:sdtContent>
            </w:sdt>
          </w:p>
          <w:p w:rsidRPr="000C1C0B" w:rsidR="000C1C0B" w:rsidP="000C1C0B" w:rsidRDefault="000C1C0B" w14:paraId="35467D88" w14:textId="0D669645">
            <w:pPr>
              <w:rPr>
                <w:lang w:val="en-US"/>
              </w:rPr>
            </w:pPr>
            <w:r>
              <w:rPr>
                <w:lang w:val="en-US"/>
              </w:rPr>
              <w:t>Published Subject to Audit</w:t>
            </w:r>
          </w:p>
        </w:tc>
      </w:tr>
    </w:tbl>
    <w:p w:rsidR="001E123C" w:rsidP="001E123C" w:rsidRDefault="001E123C" w14:paraId="0532E615" w14:textId="5FEF2711">
      <w:pPr>
        <w:sectPr w:rsidR="001E123C" w:rsidSect="00B32087">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576" w:footer="432" w:gutter="0"/>
          <w:pgNumType w:start="2"/>
          <w:cols w:space="720"/>
          <w:titlePg/>
          <w:docGrid w:linePitch="360"/>
        </w:sectPr>
      </w:pPr>
      <w:r>
        <w:t xml:space="preserve"> </w:t>
      </w:r>
      <w:r>
        <w:br w:type="page"/>
      </w:r>
    </w:p>
    <w:p w:rsidR="00975D45" w:rsidRDefault="00CE3CBF" w14:paraId="612B265B" w14:textId="77777777">
      <w:pPr>
        <w:pStyle w:val="TOC1"/>
        <w:tabs>
          <w:tab w:val="right" w:leader="dot" w:pos="9016"/>
        </w:tabs>
        <w:rPr>
          <w:sz w:val="40"/>
          <w:szCs w:val="40"/>
        </w:rPr>
      </w:pPr>
      <w:r>
        <w:rPr>
          <w:sz w:val="40"/>
          <w:szCs w:val="40"/>
        </w:rPr>
        <w:lastRenderedPageBreak/>
        <w:t>Contents Page</w:t>
      </w:r>
    </w:p>
    <w:p w:rsidR="009C6A0E" w:rsidP="009C6A0E" w:rsidRDefault="009C6A0E" w14:paraId="41C8DF40" w14:textId="77777777"/>
    <w:p w:rsidRPr="009C6A0E" w:rsidR="009C6A0E" w:rsidP="009C6A0E" w:rsidRDefault="009C6A0E" w14:paraId="188028C0" w14:textId="77777777"/>
    <w:p w:rsidR="008619DB" w:rsidRDefault="00CE3CBF" w14:paraId="70899121" w14:textId="655D0AB6">
      <w:pPr>
        <w:pStyle w:val="TOC1"/>
        <w:tabs>
          <w:tab w:val="right" w:leader="dot" w:pos="9016"/>
        </w:tabs>
        <w:rPr>
          <w:rFonts w:asciiTheme="minorHAnsi" w:hAnsiTheme="minorHAnsi" w:eastAsiaTheme="minorEastAsia"/>
          <w:noProof/>
          <w:lang w:eastAsia="en-GB"/>
        </w:rPr>
      </w:pPr>
      <w:r>
        <w:rPr>
          <w:sz w:val="40"/>
          <w:szCs w:val="40"/>
        </w:rPr>
        <w:fldChar w:fldCharType="begin"/>
      </w:r>
      <w:r>
        <w:rPr>
          <w:sz w:val="40"/>
          <w:szCs w:val="40"/>
        </w:rPr>
        <w:instrText xml:space="preserve"> TOC \o "1-1" \h \z \u </w:instrText>
      </w:r>
      <w:r>
        <w:rPr>
          <w:sz w:val="40"/>
          <w:szCs w:val="40"/>
        </w:rPr>
        <w:fldChar w:fldCharType="separate"/>
      </w:r>
      <w:hyperlink w:history="1" w:anchor="_Toc158193760">
        <w:r w:rsidRPr="00AF12FA" w:rsidR="008619DB">
          <w:rPr>
            <w:rStyle w:val="Hyperlink"/>
            <w:noProof/>
          </w:rPr>
          <w:t>Narrative Report</w:t>
        </w:r>
        <w:r w:rsidR="008619DB">
          <w:rPr>
            <w:noProof/>
            <w:webHidden/>
          </w:rPr>
          <w:tab/>
        </w:r>
        <w:r w:rsidR="008619DB">
          <w:rPr>
            <w:noProof/>
            <w:webHidden/>
          </w:rPr>
          <w:fldChar w:fldCharType="begin"/>
        </w:r>
        <w:r w:rsidR="008619DB">
          <w:rPr>
            <w:noProof/>
            <w:webHidden/>
          </w:rPr>
          <w:instrText xml:space="preserve"> PAGEREF _Toc158193760 \h </w:instrText>
        </w:r>
        <w:r w:rsidR="008619DB">
          <w:rPr>
            <w:noProof/>
            <w:webHidden/>
          </w:rPr>
        </w:r>
        <w:r w:rsidR="008619DB">
          <w:rPr>
            <w:noProof/>
            <w:webHidden/>
          </w:rPr>
          <w:fldChar w:fldCharType="separate"/>
        </w:r>
        <w:r w:rsidR="008619DB">
          <w:rPr>
            <w:noProof/>
            <w:webHidden/>
          </w:rPr>
          <w:t>1</w:t>
        </w:r>
        <w:r w:rsidR="008619DB">
          <w:rPr>
            <w:noProof/>
            <w:webHidden/>
          </w:rPr>
          <w:fldChar w:fldCharType="end"/>
        </w:r>
      </w:hyperlink>
    </w:p>
    <w:p w:rsidR="008619DB" w:rsidRDefault="000F0B39" w14:paraId="6891A4BC" w14:textId="68C7F989">
      <w:pPr>
        <w:pStyle w:val="TOC1"/>
        <w:tabs>
          <w:tab w:val="right" w:leader="dot" w:pos="9016"/>
        </w:tabs>
        <w:rPr>
          <w:rFonts w:asciiTheme="minorHAnsi" w:hAnsiTheme="minorHAnsi" w:eastAsiaTheme="minorEastAsia"/>
          <w:noProof/>
          <w:lang w:eastAsia="en-GB"/>
        </w:rPr>
      </w:pPr>
      <w:hyperlink w:history="1" w:anchor="_Toc158193761">
        <w:r w:rsidRPr="00AF12FA" w:rsidR="008619DB">
          <w:rPr>
            <w:rStyle w:val="Hyperlink"/>
            <w:noProof/>
          </w:rPr>
          <w:t>Statement of Responsibilities for the Statement of Accounts for VVC Adoption Collaborative</w:t>
        </w:r>
        <w:r w:rsidR="008619DB">
          <w:rPr>
            <w:noProof/>
            <w:webHidden/>
          </w:rPr>
          <w:tab/>
        </w:r>
        <w:r w:rsidR="008619DB">
          <w:rPr>
            <w:noProof/>
            <w:webHidden/>
          </w:rPr>
          <w:fldChar w:fldCharType="begin"/>
        </w:r>
        <w:r w:rsidR="008619DB">
          <w:rPr>
            <w:noProof/>
            <w:webHidden/>
          </w:rPr>
          <w:instrText xml:space="preserve"> PAGEREF _Toc158193761 \h </w:instrText>
        </w:r>
        <w:r w:rsidR="008619DB">
          <w:rPr>
            <w:noProof/>
            <w:webHidden/>
          </w:rPr>
        </w:r>
        <w:r w:rsidR="008619DB">
          <w:rPr>
            <w:noProof/>
            <w:webHidden/>
          </w:rPr>
          <w:fldChar w:fldCharType="separate"/>
        </w:r>
        <w:r w:rsidR="008619DB">
          <w:rPr>
            <w:noProof/>
            <w:webHidden/>
          </w:rPr>
          <w:t>7</w:t>
        </w:r>
        <w:r w:rsidR="008619DB">
          <w:rPr>
            <w:noProof/>
            <w:webHidden/>
          </w:rPr>
          <w:fldChar w:fldCharType="end"/>
        </w:r>
      </w:hyperlink>
    </w:p>
    <w:p w:rsidR="008619DB" w:rsidRDefault="000F0B39" w14:paraId="3669A2FA" w14:textId="597367CF">
      <w:pPr>
        <w:pStyle w:val="TOC1"/>
        <w:tabs>
          <w:tab w:val="right" w:leader="dot" w:pos="9016"/>
        </w:tabs>
        <w:rPr>
          <w:rFonts w:asciiTheme="minorHAnsi" w:hAnsiTheme="minorHAnsi" w:eastAsiaTheme="minorEastAsia"/>
          <w:noProof/>
          <w:lang w:eastAsia="en-GB"/>
        </w:rPr>
      </w:pPr>
      <w:hyperlink w:history="1" w:anchor="_Toc158193762">
        <w:r w:rsidRPr="00AF12FA" w:rsidR="008619DB">
          <w:rPr>
            <w:rStyle w:val="Hyperlink"/>
            <w:noProof/>
          </w:rPr>
          <w:t>The report of the Auditor General for Wales to the members of the Vale, Valleys and Cardiff Adoption Collaborative Joint Committee.</w:t>
        </w:r>
        <w:r w:rsidR="008619DB">
          <w:rPr>
            <w:noProof/>
            <w:webHidden/>
          </w:rPr>
          <w:tab/>
        </w:r>
        <w:r w:rsidR="008619DB">
          <w:rPr>
            <w:noProof/>
            <w:webHidden/>
          </w:rPr>
          <w:fldChar w:fldCharType="begin"/>
        </w:r>
        <w:r w:rsidR="008619DB">
          <w:rPr>
            <w:noProof/>
            <w:webHidden/>
          </w:rPr>
          <w:instrText xml:space="preserve"> PAGEREF _Toc158193762 \h </w:instrText>
        </w:r>
        <w:r w:rsidR="008619DB">
          <w:rPr>
            <w:noProof/>
            <w:webHidden/>
          </w:rPr>
        </w:r>
        <w:r w:rsidR="008619DB">
          <w:rPr>
            <w:noProof/>
            <w:webHidden/>
          </w:rPr>
          <w:fldChar w:fldCharType="separate"/>
        </w:r>
        <w:r w:rsidR="008619DB">
          <w:rPr>
            <w:noProof/>
            <w:webHidden/>
          </w:rPr>
          <w:t>9</w:t>
        </w:r>
        <w:r w:rsidR="008619DB">
          <w:rPr>
            <w:noProof/>
            <w:webHidden/>
          </w:rPr>
          <w:fldChar w:fldCharType="end"/>
        </w:r>
      </w:hyperlink>
    </w:p>
    <w:p w:rsidR="008619DB" w:rsidRDefault="000F0B39" w14:paraId="0D9E3321" w14:textId="7D9C83DF">
      <w:pPr>
        <w:pStyle w:val="TOC1"/>
        <w:tabs>
          <w:tab w:val="right" w:leader="dot" w:pos="9016"/>
        </w:tabs>
        <w:rPr>
          <w:rFonts w:asciiTheme="minorHAnsi" w:hAnsiTheme="minorHAnsi" w:eastAsiaTheme="minorEastAsia"/>
          <w:noProof/>
          <w:lang w:eastAsia="en-GB"/>
        </w:rPr>
      </w:pPr>
      <w:hyperlink w:history="1" w:anchor="_Toc158193763">
        <w:r w:rsidRPr="00AF12FA" w:rsidR="008619DB">
          <w:rPr>
            <w:rStyle w:val="Hyperlink"/>
            <w:noProof/>
          </w:rPr>
          <w:t>VVC Adoption Collaborative Expenditure and Funding Analysis 2022/23</w:t>
        </w:r>
        <w:r w:rsidR="008619DB">
          <w:rPr>
            <w:noProof/>
            <w:webHidden/>
          </w:rPr>
          <w:tab/>
        </w:r>
        <w:r w:rsidR="008619DB">
          <w:rPr>
            <w:noProof/>
            <w:webHidden/>
          </w:rPr>
          <w:fldChar w:fldCharType="begin"/>
        </w:r>
        <w:r w:rsidR="008619DB">
          <w:rPr>
            <w:noProof/>
            <w:webHidden/>
          </w:rPr>
          <w:instrText xml:space="preserve"> PAGEREF _Toc158193763 \h </w:instrText>
        </w:r>
        <w:r w:rsidR="008619DB">
          <w:rPr>
            <w:noProof/>
            <w:webHidden/>
          </w:rPr>
        </w:r>
        <w:r w:rsidR="008619DB">
          <w:rPr>
            <w:noProof/>
            <w:webHidden/>
          </w:rPr>
          <w:fldChar w:fldCharType="separate"/>
        </w:r>
        <w:r w:rsidR="008619DB">
          <w:rPr>
            <w:noProof/>
            <w:webHidden/>
          </w:rPr>
          <w:t>13</w:t>
        </w:r>
        <w:r w:rsidR="008619DB">
          <w:rPr>
            <w:noProof/>
            <w:webHidden/>
          </w:rPr>
          <w:fldChar w:fldCharType="end"/>
        </w:r>
      </w:hyperlink>
    </w:p>
    <w:p w:rsidR="008619DB" w:rsidRDefault="000F0B39" w14:paraId="091C3875" w14:textId="7E0557A7">
      <w:pPr>
        <w:pStyle w:val="TOC1"/>
        <w:tabs>
          <w:tab w:val="right" w:leader="dot" w:pos="9016"/>
        </w:tabs>
        <w:rPr>
          <w:rFonts w:asciiTheme="minorHAnsi" w:hAnsiTheme="minorHAnsi" w:eastAsiaTheme="minorEastAsia"/>
          <w:noProof/>
          <w:lang w:eastAsia="en-GB"/>
        </w:rPr>
      </w:pPr>
      <w:hyperlink w:history="1" w:anchor="_Toc158193764">
        <w:r w:rsidRPr="00AF12FA" w:rsidR="008619DB">
          <w:rPr>
            <w:rStyle w:val="Hyperlink"/>
            <w:noProof/>
          </w:rPr>
          <w:t>VVC Adoption Collaborative Expenditure and Funding Analysis 2021/22</w:t>
        </w:r>
        <w:r w:rsidR="008619DB">
          <w:rPr>
            <w:noProof/>
            <w:webHidden/>
          </w:rPr>
          <w:tab/>
        </w:r>
        <w:r w:rsidR="008619DB">
          <w:rPr>
            <w:noProof/>
            <w:webHidden/>
          </w:rPr>
          <w:fldChar w:fldCharType="begin"/>
        </w:r>
        <w:r w:rsidR="008619DB">
          <w:rPr>
            <w:noProof/>
            <w:webHidden/>
          </w:rPr>
          <w:instrText xml:space="preserve"> PAGEREF _Toc158193764 \h </w:instrText>
        </w:r>
        <w:r w:rsidR="008619DB">
          <w:rPr>
            <w:noProof/>
            <w:webHidden/>
          </w:rPr>
        </w:r>
        <w:r w:rsidR="008619DB">
          <w:rPr>
            <w:noProof/>
            <w:webHidden/>
          </w:rPr>
          <w:fldChar w:fldCharType="separate"/>
        </w:r>
        <w:r w:rsidR="008619DB">
          <w:rPr>
            <w:noProof/>
            <w:webHidden/>
          </w:rPr>
          <w:t>14</w:t>
        </w:r>
        <w:r w:rsidR="008619DB">
          <w:rPr>
            <w:noProof/>
            <w:webHidden/>
          </w:rPr>
          <w:fldChar w:fldCharType="end"/>
        </w:r>
      </w:hyperlink>
    </w:p>
    <w:p w:rsidR="008619DB" w:rsidRDefault="000F0B39" w14:paraId="1AAE8E36" w14:textId="16928809">
      <w:pPr>
        <w:pStyle w:val="TOC1"/>
        <w:tabs>
          <w:tab w:val="right" w:leader="dot" w:pos="9016"/>
        </w:tabs>
        <w:rPr>
          <w:rFonts w:asciiTheme="minorHAnsi" w:hAnsiTheme="minorHAnsi" w:eastAsiaTheme="minorEastAsia"/>
          <w:noProof/>
          <w:lang w:eastAsia="en-GB"/>
        </w:rPr>
      </w:pPr>
      <w:hyperlink w:history="1" w:anchor="_Toc158193765">
        <w:r w:rsidRPr="00AF12FA" w:rsidR="008619DB">
          <w:rPr>
            <w:rStyle w:val="Hyperlink"/>
            <w:noProof/>
          </w:rPr>
          <w:t>VVC Adoption Collaborative Movement in Reserves Statement 2021/22 and 2022/23</w:t>
        </w:r>
        <w:r w:rsidR="008619DB">
          <w:rPr>
            <w:noProof/>
            <w:webHidden/>
          </w:rPr>
          <w:tab/>
        </w:r>
        <w:r w:rsidR="008619DB">
          <w:rPr>
            <w:noProof/>
            <w:webHidden/>
          </w:rPr>
          <w:fldChar w:fldCharType="begin"/>
        </w:r>
        <w:r w:rsidR="008619DB">
          <w:rPr>
            <w:noProof/>
            <w:webHidden/>
          </w:rPr>
          <w:instrText xml:space="preserve"> PAGEREF _Toc158193765 \h </w:instrText>
        </w:r>
        <w:r w:rsidR="008619DB">
          <w:rPr>
            <w:noProof/>
            <w:webHidden/>
          </w:rPr>
        </w:r>
        <w:r w:rsidR="008619DB">
          <w:rPr>
            <w:noProof/>
            <w:webHidden/>
          </w:rPr>
          <w:fldChar w:fldCharType="separate"/>
        </w:r>
        <w:r w:rsidR="008619DB">
          <w:rPr>
            <w:noProof/>
            <w:webHidden/>
          </w:rPr>
          <w:t>15</w:t>
        </w:r>
        <w:r w:rsidR="008619DB">
          <w:rPr>
            <w:noProof/>
            <w:webHidden/>
          </w:rPr>
          <w:fldChar w:fldCharType="end"/>
        </w:r>
      </w:hyperlink>
    </w:p>
    <w:p w:rsidR="008619DB" w:rsidRDefault="000F0B39" w14:paraId="35927FD1" w14:textId="4989B52F">
      <w:pPr>
        <w:pStyle w:val="TOC1"/>
        <w:tabs>
          <w:tab w:val="right" w:leader="dot" w:pos="9016"/>
        </w:tabs>
        <w:rPr>
          <w:rFonts w:asciiTheme="minorHAnsi" w:hAnsiTheme="minorHAnsi" w:eastAsiaTheme="minorEastAsia"/>
          <w:noProof/>
          <w:lang w:eastAsia="en-GB"/>
        </w:rPr>
      </w:pPr>
      <w:hyperlink w:history="1" w:anchor="_Toc158193766">
        <w:r w:rsidRPr="00AF12FA" w:rsidR="008619DB">
          <w:rPr>
            <w:rStyle w:val="Hyperlink"/>
            <w:noProof/>
          </w:rPr>
          <w:t>VVC Adoption Collaborative Comprehensive Income and Expenditure Statement 2022/23</w:t>
        </w:r>
        <w:r w:rsidR="008619DB">
          <w:rPr>
            <w:noProof/>
            <w:webHidden/>
          </w:rPr>
          <w:tab/>
        </w:r>
        <w:r w:rsidR="008619DB">
          <w:rPr>
            <w:noProof/>
            <w:webHidden/>
          </w:rPr>
          <w:fldChar w:fldCharType="begin"/>
        </w:r>
        <w:r w:rsidR="008619DB">
          <w:rPr>
            <w:noProof/>
            <w:webHidden/>
          </w:rPr>
          <w:instrText xml:space="preserve"> PAGEREF _Toc158193766 \h </w:instrText>
        </w:r>
        <w:r w:rsidR="008619DB">
          <w:rPr>
            <w:noProof/>
            <w:webHidden/>
          </w:rPr>
        </w:r>
        <w:r w:rsidR="008619DB">
          <w:rPr>
            <w:noProof/>
            <w:webHidden/>
          </w:rPr>
          <w:fldChar w:fldCharType="separate"/>
        </w:r>
        <w:r w:rsidR="008619DB">
          <w:rPr>
            <w:noProof/>
            <w:webHidden/>
          </w:rPr>
          <w:t>16</w:t>
        </w:r>
        <w:r w:rsidR="008619DB">
          <w:rPr>
            <w:noProof/>
            <w:webHidden/>
          </w:rPr>
          <w:fldChar w:fldCharType="end"/>
        </w:r>
      </w:hyperlink>
    </w:p>
    <w:p w:rsidR="008619DB" w:rsidRDefault="000F0B39" w14:paraId="503E325E" w14:textId="00C0DF46">
      <w:pPr>
        <w:pStyle w:val="TOC1"/>
        <w:tabs>
          <w:tab w:val="right" w:leader="dot" w:pos="9016"/>
        </w:tabs>
        <w:rPr>
          <w:rFonts w:asciiTheme="minorHAnsi" w:hAnsiTheme="minorHAnsi" w:eastAsiaTheme="minorEastAsia"/>
          <w:noProof/>
          <w:lang w:eastAsia="en-GB"/>
        </w:rPr>
      </w:pPr>
      <w:hyperlink w:history="1" w:anchor="_Toc158193767">
        <w:r w:rsidRPr="00AF12FA" w:rsidR="008619DB">
          <w:rPr>
            <w:rStyle w:val="Hyperlink"/>
            <w:noProof/>
          </w:rPr>
          <w:t>VVC Adoption Collaborative Balance Sheet as at 31</w:t>
        </w:r>
        <w:r w:rsidRPr="00AF12FA" w:rsidR="008619DB">
          <w:rPr>
            <w:rStyle w:val="Hyperlink"/>
            <w:noProof/>
            <w:vertAlign w:val="superscript"/>
          </w:rPr>
          <w:t>st</w:t>
        </w:r>
        <w:r w:rsidRPr="00AF12FA" w:rsidR="008619DB">
          <w:rPr>
            <w:rStyle w:val="Hyperlink"/>
            <w:noProof/>
          </w:rPr>
          <w:t xml:space="preserve"> March 2023</w:t>
        </w:r>
        <w:r w:rsidR="008619DB">
          <w:rPr>
            <w:noProof/>
            <w:webHidden/>
          </w:rPr>
          <w:tab/>
        </w:r>
        <w:r w:rsidR="008619DB">
          <w:rPr>
            <w:noProof/>
            <w:webHidden/>
          </w:rPr>
          <w:fldChar w:fldCharType="begin"/>
        </w:r>
        <w:r w:rsidR="008619DB">
          <w:rPr>
            <w:noProof/>
            <w:webHidden/>
          </w:rPr>
          <w:instrText xml:space="preserve"> PAGEREF _Toc158193767 \h </w:instrText>
        </w:r>
        <w:r w:rsidR="008619DB">
          <w:rPr>
            <w:noProof/>
            <w:webHidden/>
          </w:rPr>
        </w:r>
        <w:r w:rsidR="008619DB">
          <w:rPr>
            <w:noProof/>
            <w:webHidden/>
          </w:rPr>
          <w:fldChar w:fldCharType="separate"/>
        </w:r>
        <w:r w:rsidR="008619DB">
          <w:rPr>
            <w:noProof/>
            <w:webHidden/>
          </w:rPr>
          <w:t>17</w:t>
        </w:r>
        <w:r w:rsidR="008619DB">
          <w:rPr>
            <w:noProof/>
            <w:webHidden/>
          </w:rPr>
          <w:fldChar w:fldCharType="end"/>
        </w:r>
      </w:hyperlink>
    </w:p>
    <w:p w:rsidR="008619DB" w:rsidRDefault="000F0B39" w14:paraId="7D1F17E3" w14:textId="4C82C6D5">
      <w:pPr>
        <w:pStyle w:val="TOC1"/>
        <w:tabs>
          <w:tab w:val="right" w:leader="dot" w:pos="9016"/>
        </w:tabs>
        <w:rPr>
          <w:rFonts w:asciiTheme="minorHAnsi" w:hAnsiTheme="minorHAnsi" w:eastAsiaTheme="minorEastAsia"/>
          <w:noProof/>
          <w:lang w:eastAsia="en-GB"/>
        </w:rPr>
      </w:pPr>
      <w:hyperlink w:history="1" w:anchor="_Toc158193768">
        <w:r w:rsidRPr="00AF12FA" w:rsidR="008619DB">
          <w:rPr>
            <w:rStyle w:val="Hyperlink"/>
            <w:noProof/>
          </w:rPr>
          <w:t>VVC Adoption Collaborative Cash Flow Statement 2022/23 and 2021/22</w:t>
        </w:r>
        <w:r w:rsidR="008619DB">
          <w:rPr>
            <w:noProof/>
            <w:webHidden/>
          </w:rPr>
          <w:tab/>
        </w:r>
        <w:r w:rsidR="008619DB">
          <w:rPr>
            <w:noProof/>
            <w:webHidden/>
          </w:rPr>
          <w:fldChar w:fldCharType="begin"/>
        </w:r>
        <w:r w:rsidR="008619DB">
          <w:rPr>
            <w:noProof/>
            <w:webHidden/>
          </w:rPr>
          <w:instrText xml:space="preserve"> PAGEREF _Toc158193768 \h </w:instrText>
        </w:r>
        <w:r w:rsidR="008619DB">
          <w:rPr>
            <w:noProof/>
            <w:webHidden/>
          </w:rPr>
        </w:r>
        <w:r w:rsidR="008619DB">
          <w:rPr>
            <w:noProof/>
            <w:webHidden/>
          </w:rPr>
          <w:fldChar w:fldCharType="separate"/>
        </w:r>
        <w:r w:rsidR="008619DB">
          <w:rPr>
            <w:noProof/>
            <w:webHidden/>
          </w:rPr>
          <w:t>18</w:t>
        </w:r>
        <w:r w:rsidR="008619DB">
          <w:rPr>
            <w:noProof/>
            <w:webHidden/>
          </w:rPr>
          <w:fldChar w:fldCharType="end"/>
        </w:r>
      </w:hyperlink>
    </w:p>
    <w:p w:rsidR="008619DB" w:rsidRDefault="000F0B39" w14:paraId="2CE45434" w14:textId="2A5AA77F">
      <w:pPr>
        <w:pStyle w:val="TOC1"/>
        <w:tabs>
          <w:tab w:val="right" w:leader="dot" w:pos="9016"/>
        </w:tabs>
        <w:rPr>
          <w:rFonts w:asciiTheme="minorHAnsi" w:hAnsiTheme="minorHAnsi" w:eastAsiaTheme="minorEastAsia"/>
          <w:noProof/>
          <w:lang w:eastAsia="en-GB"/>
        </w:rPr>
      </w:pPr>
      <w:hyperlink w:history="1" w:anchor="_Toc158193769">
        <w:r w:rsidRPr="00AF12FA" w:rsidR="008619DB">
          <w:rPr>
            <w:rStyle w:val="Hyperlink"/>
            <w:noProof/>
          </w:rPr>
          <w:t>Introduction to the Financial Statements</w:t>
        </w:r>
        <w:r w:rsidR="008619DB">
          <w:rPr>
            <w:noProof/>
            <w:webHidden/>
          </w:rPr>
          <w:tab/>
        </w:r>
        <w:r w:rsidR="008619DB">
          <w:rPr>
            <w:noProof/>
            <w:webHidden/>
          </w:rPr>
          <w:fldChar w:fldCharType="begin"/>
        </w:r>
        <w:r w:rsidR="008619DB">
          <w:rPr>
            <w:noProof/>
            <w:webHidden/>
          </w:rPr>
          <w:instrText xml:space="preserve"> PAGEREF _Toc158193769 \h </w:instrText>
        </w:r>
        <w:r w:rsidR="008619DB">
          <w:rPr>
            <w:noProof/>
            <w:webHidden/>
          </w:rPr>
        </w:r>
        <w:r w:rsidR="008619DB">
          <w:rPr>
            <w:noProof/>
            <w:webHidden/>
          </w:rPr>
          <w:fldChar w:fldCharType="separate"/>
        </w:r>
        <w:r w:rsidR="008619DB">
          <w:rPr>
            <w:noProof/>
            <w:webHidden/>
          </w:rPr>
          <w:t>19</w:t>
        </w:r>
        <w:r w:rsidR="008619DB">
          <w:rPr>
            <w:noProof/>
            <w:webHidden/>
          </w:rPr>
          <w:fldChar w:fldCharType="end"/>
        </w:r>
      </w:hyperlink>
    </w:p>
    <w:p w:rsidR="008619DB" w:rsidRDefault="000F0B39" w14:paraId="4E7F28BB" w14:textId="64A91E70">
      <w:pPr>
        <w:pStyle w:val="TOC1"/>
        <w:tabs>
          <w:tab w:val="right" w:leader="dot" w:pos="9016"/>
        </w:tabs>
        <w:rPr>
          <w:rFonts w:asciiTheme="minorHAnsi" w:hAnsiTheme="minorHAnsi" w:eastAsiaTheme="minorEastAsia"/>
          <w:noProof/>
          <w:lang w:eastAsia="en-GB"/>
        </w:rPr>
      </w:pPr>
      <w:hyperlink w:history="1" w:anchor="_Toc158193770">
        <w:r w:rsidRPr="00AF12FA" w:rsidR="008619DB">
          <w:rPr>
            <w:rStyle w:val="Hyperlink"/>
            <w:noProof/>
          </w:rPr>
          <w:t>Notes to the Financial Statements</w:t>
        </w:r>
        <w:r w:rsidR="008619DB">
          <w:rPr>
            <w:noProof/>
            <w:webHidden/>
          </w:rPr>
          <w:tab/>
        </w:r>
        <w:r w:rsidR="008619DB">
          <w:rPr>
            <w:noProof/>
            <w:webHidden/>
          </w:rPr>
          <w:fldChar w:fldCharType="begin"/>
        </w:r>
        <w:r w:rsidR="008619DB">
          <w:rPr>
            <w:noProof/>
            <w:webHidden/>
          </w:rPr>
          <w:instrText xml:space="preserve"> PAGEREF _Toc158193770 \h </w:instrText>
        </w:r>
        <w:r w:rsidR="008619DB">
          <w:rPr>
            <w:noProof/>
            <w:webHidden/>
          </w:rPr>
        </w:r>
        <w:r w:rsidR="008619DB">
          <w:rPr>
            <w:noProof/>
            <w:webHidden/>
          </w:rPr>
          <w:fldChar w:fldCharType="separate"/>
        </w:r>
        <w:r w:rsidR="008619DB">
          <w:rPr>
            <w:noProof/>
            <w:webHidden/>
          </w:rPr>
          <w:t>21</w:t>
        </w:r>
        <w:r w:rsidR="008619DB">
          <w:rPr>
            <w:noProof/>
            <w:webHidden/>
          </w:rPr>
          <w:fldChar w:fldCharType="end"/>
        </w:r>
      </w:hyperlink>
    </w:p>
    <w:p w:rsidR="008619DB" w:rsidRDefault="000F0B39" w14:paraId="7F4A5F9A" w14:textId="3B5B3200">
      <w:pPr>
        <w:pStyle w:val="TOC1"/>
        <w:tabs>
          <w:tab w:val="right" w:leader="dot" w:pos="9016"/>
        </w:tabs>
        <w:rPr>
          <w:rFonts w:asciiTheme="minorHAnsi" w:hAnsiTheme="minorHAnsi" w:eastAsiaTheme="minorEastAsia"/>
          <w:noProof/>
          <w:lang w:eastAsia="en-GB"/>
        </w:rPr>
      </w:pPr>
      <w:hyperlink w:history="1" w:anchor="_Toc158193771">
        <w:r w:rsidRPr="00AF12FA" w:rsidR="008619DB">
          <w:rPr>
            <w:rStyle w:val="Hyperlink"/>
            <w:noProof/>
          </w:rPr>
          <w:t>Annual Governance Statement</w:t>
        </w:r>
        <w:r w:rsidR="008619DB">
          <w:rPr>
            <w:noProof/>
            <w:webHidden/>
          </w:rPr>
          <w:tab/>
        </w:r>
        <w:r w:rsidR="008619DB">
          <w:rPr>
            <w:noProof/>
            <w:webHidden/>
          </w:rPr>
          <w:fldChar w:fldCharType="begin"/>
        </w:r>
        <w:r w:rsidR="008619DB">
          <w:rPr>
            <w:noProof/>
            <w:webHidden/>
          </w:rPr>
          <w:instrText xml:space="preserve"> PAGEREF _Toc158193771 \h </w:instrText>
        </w:r>
        <w:r w:rsidR="008619DB">
          <w:rPr>
            <w:noProof/>
            <w:webHidden/>
          </w:rPr>
        </w:r>
        <w:r w:rsidR="008619DB">
          <w:rPr>
            <w:noProof/>
            <w:webHidden/>
          </w:rPr>
          <w:fldChar w:fldCharType="separate"/>
        </w:r>
        <w:r w:rsidR="008619DB">
          <w:rPr>
            <w:noProof/>
            <w:webHidden/>
          </w:rPr>
          <w:t>51</w:t>
        </w:r>
        <w:r w:rsidR="008619DB">
          <w:rPr>
            <w:noProof/>
            <w:webHidden/>
          </w:rPr>
          <w:fldChar w:fldCharType="end"/>
        </w:r>
      </w:hyperlink>
    </w:p>
    <w:p w:rsidR="00F648D1" w:rsidRDefault="00CE3CBF" w14:paraId="2DC1BDA8" w14:textId="0C9C1F55">
      <w:pPr>
        <w:rPr>
          <w:sz w:val="40"/>
          <w:szCs w:val="40"/>
        </w:rPr>
        <w:sectPr w:rsidR="00F648D1" w:rsidSect="00F648D1">
          <w:headerReference w:type="default" r:id="rId18"/>
          <w:headerReference w:type="first" r:id="rId19"/>
          <w:pgSz w:w="11906" w:h="16838" w:code="9"/>
          <w:pgMar w:top="1440" w:right="1440" w:bottom="1440" w:left="1440" w:header="709" w:footer="709" w:gutter="0"/>
          <w:pgNumType w:start="1"/>
          <w:cols w:space="708"/>
          <w:titlePg/>
          <w:docGrid w:linePitch="360"/>
        </w:sectPr>
      </w:pPr>
      <w:r>
        <w:rPr>
          <w:sz w:val="40"/>
          <w:szCs w:val="40"/>
        </w:rPr>
        <w:fldChar w:fldCharType="end"/>
      </w:r>
    </w:p>
    <w:p w:rsidRPr="005956DF" w:rsidR="00FC30FC" w:rsidP="00EB6D8F" w:rsidRDefault="00386566" w14:paraId="7C95A946" w14:textId="35A855AF">
      <w:pPr>
        <w:pStyle w:val="Title"/>
      </w:pPr>
      <w:bookmarkStart w:name="_Toc485903676" w:id="0"/>
      <w:bookmarkStart w:name="_Toc485903729" w:id="1"/>
      <w:bookmarkStart w:name="_Hlk138409764" w:id="2"/>
      <w:r w:rsidRPr="00386566">
        <w:lastRenderedPageBreak/>
        <w:t xml:space="preserve">Vale, </w:t>
      </w:r>
      <w:proofErr w:type="gramStart"/>
      <w:r w:rsidRPr="00386566">
        <w:t>Valleys</w:t>
      </w:r>
      <w:proofErr w:type="gramEnd"/>
      <w:r w:rsidRPr="00386566">
        <w:t xml:space="preserve"> and Cardiff</w:t>
      </w:r>
      <w:r w:rsidR="001E2144">
        <w:t xml:space="preserve"> Adoption</w:t>
      </w:r>
      <w:r w:rsidRPr="005956DF" w:rsidR="009D3B72">
        <w:t xml:space="preserve"> </w:t>
      </w:r>
      <w:bookmarkEnd w:id="0"/>
      <w:bookmarkEnd w:id="1"/>
      <w:r w:rsidR="00CA6738">
        <w:t>Collaborative</w:t>
      </w:r>
    </w:p>
    <w:p w:rsidRPr="005956DF" w:rsidR="009D3B72" w:rsidP="009D3B72" w:rsidRDefault="00922835" w14:paraId="148BDB11" w14:textId="5D01BF40">
      <w:pPr>
        <w:jc w:val="both"/>
        <w:rPr>
          <w:rFonts w:cs="Arial"/>
          <w:b/>
          <w:sz w:val="24"/>
          <w:szCs w:val="24"/>
        </w:rPr>
      </w:pPr>
      <w:r>
        <w:rPr>
          <w:rFonts w:cs="Arial"/>
          <w:b/>
          <w:sz w:val="24"/>
          <w:szCs w:val="24"/>
        </w:rPr>
        <w:t>Statement of Accounts 202</w:t>
      </w:r>
      <w:r w:rsidR="00FE32CD">
        <w:rPr>
          <w:rFonts w:cs="Arial"/>
          <w:b/>
          <w:sz w:val="24"/>
          <w:szCs w:val="24"/>
        </w:rPr>
        <w:t>2</w:t>
      </w:r>
      <w:r w:rsidR="00AA48A4">
        <w:rPr>
          <w:rFonts w:cs="Arial"/>
          <w:b/>
          <w:sz w:val="24"/>
          <w:szCs w:val="24"/>
        </w:rPr>
        <w:t>/</w:t>
      </w:r>
      <w:r>
        <w:rPr>
          <w:rFonts w:cs="Arial"/>
          <w:b/>
          <w:sz w:val="24"/>
          <w:szCs w:val="24"/>
        </w:rPr>
        <w:t>2</w:t>
      </w:r>
      <w:r w:rsidR="00FE32CD">
        <w:rPr>
          <w:rFonts w:cs="Arial"/>
          <w:b/>
          <w:sz w:val="24"/>
          <w:szCs w:val="24"/>
        </w:rPr>
        <w:t>3</w:t>
      </w:r>
      <w:r w:rsidRPr="005956DF" w:rsidR="009D3B72">
        <w:rPr>
          <w:rFonts w:cs="Arial"/>
          <w:b/>
          <w:sz w:val="24"/>
          <w:szCs w:val="24"/>
        </w:rPr>
        <w:t xml:space="preserve"> Year Ended 31</w:t>
      </w:r>
      <w:r w:rsidRPr="005956DF" w:rsidR="009D3B72">
        <w:rPr>
          <w:rFonts w:cs="Arial"/>
          <w:b/>
          <w:sz w:val="24"/>
          <w:szCs w:val="24"/>
          <w:vertAlign w:val="superscript"/>
        </w:rPr>
        <w:t>st</w:t>
      </w:r>
      <w:r w:rsidR="009814CD">
        <w:rPr>
          <w:rFonts w:cs="Arial"/>
          <w:b/>
          <w:sz w:val="24"/>
          <w:szCs w:val="24"/>
        </w:rPr>
        <w:t xml:space="preserve"> March 20</w:t>
      </w:r>
      <w:r>
        <w:rPr>
          <w:rFonts w:cs="Arial"/>
          <w:b/>
          <w:sz w:val="24"/>
          <w:szCs w:val="24"/>
        </w:rPr>
        <w:t>2</w:t>
      </w:r>
      <w:r w:rsidR="00FE32CD">
        <w:rPr>
          <w:rFonts w:cs="Arial"/>
          <w:b/>
          <w:sz w:val="24"/>
          <w:szCs w:val="24"/>
        </w:rPr>
        <w:t>3</w:t>
      </w:r>
    </w:p>
    <w:p w:rsidR="00C57FAF" w:rsidP="00C57FAF" w:rsidRDefault="00C57FAF" w14:paraId="545FDFBC" w14:textId="77777777">
      <w:pPr>
        <w:pStyle w:val="Heading1"/>
      </w:pPr>
      <w:bookmarkStart w:name="_Toc461572880" w:id="3"/>
      <w:bookmarkStart w:name="_Toc485903677" w:id="4"/>
      <w:bookmarkStart w:name="_Toc158193760" w:id="5"/>
      <w:r w:rsidRPr="00C57FAF">
        <w:t>Narrative Report</w:t>
      </w:r>
      <w:bookmarkEnd w:id="3"/>
      <w:bookmarkEnd w:id="4"/>
      <w:bookmarkEnd w:id="5"/>
    </w:p>
    <w:p w:rsidR="009D3B72" w:rsidP="00CE3CBF" w:rsidRDefault="009D3B72" w14:paraId="7D1710DA" w14:textId="77777777">
      <w:pPr>
        <w:pStyle w:val="Heading3"/>
      </w:pPr>
      <w:r w:rsidRPr="00CE3CBF">
        <w:t>Introduction</w:t>
      </w:r>
    </w:p>
    <w:p w:rsidRPr="001E2144" w:rsidR="00C51EC3" w:rsidP="00C51EC3" w:rsidRDefault="00710C6C" w14:paraId="496861CE" w14:textId="22348EDB">
      <w:pPr>
        <w:jc w:val="both"/>
      </w:pPr>
      <w:r w:rsidRPr="001E2144">
        <w:t xml:space="preserve">This </w:t>
      </w:r>
      <w:r w:rsidRPr="001E2144" w:rsidR="00C51EC3">
        <w:t xml:space="preserve">document presents the Statement of Accounts for </w:t>
      </w:r>
      <w:r w:rsidR="00C51EC3">
        <w:rPr>
          <w:rFonts w:cs="Arial"/>
        </w:rPr>
        <w:t>Vale, Valleys &amp; Cardiff Adoption Collaborative (VVC)</w:t>
      </w:r>
      <w:r w:rsidRPr="001E2144" w:rsidR="00C51EC3">
        <w:t xml:space="preserve"> in respect of financial year 2022/23 and is prepared in accordance with the Code of Practice on Local Authority Accounting in the United Kingdom 2022/23.</w:t>
      </w:r>
    </w:p>
    <w:p w:rsidR="00C51EC3" w:rsidP="00C51EC3" w:rsidRDefault="00C51EC3" w14:paraId="447D02DD" w14:textId="321739FC">
      <w:pPr>
        <w:jc w:val="both"/>
        <w:rPr>
          <w:rFonts w:cs="Arial"/>
        </w:rPr>
      </w:pPr>
      <w:r>
        <w:rPr>
          <w:rFonts w:cs="Arial"/>
        </w:rPr>
        <w:t xml:space="preserve">VVC </w:t>
      </w:r>
      <w:r w:rsidRPr="001E2144">
        <w:rPr>
          <w:rFonts w:cs="Arial"/>
        </w:rPr>
        <w:t xml:space="preserve">is a collaborative service formed between </w:t>
      </w:r>
      <w:r w:rsidRPr="001E2144" w:rsidR="009C6A0E">
        <w:rPr>
          <w:rFonts w:cs="Arial"/>
        </w:rPr>
        <w:t>Cardiff</w:t>
      </w:r>
      <w:r w:rsidR="009C6A0E">
        <w:rPr>
          <w:rFonts w:cs="Arial"/>
        </w:rPr>
        <w:t xml:space="preserve"> Council,</w:t>
      </w:r>
      <w:r w:rsidRPr="001E2144" w:rsidR="009C6A0E">
        <w:rPr>
          <w:rFonts w:cs="Arial"/>
        </w:rPr>
        <w:t xml:space="preserve"> </w:t>
      </w:r>
      <w:r w:rsidRPr="001E2144">
        <w:rPr>
          <w:rFonts w:cs="Arial"/>
        </w:rPr>
        <w:t>Merthyr</w:t>
      </w:r>
      <w:r>
        <w:rPr>
          <w:rFonts w:cs="Arial"/>
        </w:rPr>
        <w:t xml:space="preserve"> Tydfil C</w:t>
      </w:r>
      <w:r w:rsidR="009C6A0E">
        <w:rPr>
          <w:rFonts w:cs="Arial"/>
        </w:rPr>
        <w:t xml:space="preserve">ounty </w:t>
      </w:r>
      <w:r>
        <w:rPr>
          <w:rFonts w:cs="Arial"/>
        </w:rPr>
        <w:t>B</w:t>
      </w:r>
      <w:r w:rsidR="009C6A0E">
        <w:rPr>
          <w:rFonts w:cs="Arial"/>
        </w:rPr>
        <w:t xml:space="preserve">orough </w:t>
      </w:r>
      <w:r>
        <w:rPr>
          <w:rFonts w:cs="Arial"/>
        </w:rPr>
        <w:t>C</w:t>
      </w:r>
      <w:r w:rsidR="009C6A0E">
        <w:rPr>
          <w:rFonts w:cs="Arial"/>
        </w:rPr>
        <w:t>ouncil</w:t>
      </w:r>
      <w:r w:rsidRPr="001E2144">
        <w:rPr>
          <w:rFonts w:cs="Arial"/>
        </w:rPr>
        <w:t>, R</w:t>
      </w:r>
      <w:r>
        <w:rPr>
          <w:rFonts w:cs="Arial"/>
        </w:rPr>
        <w:t>ho</w:t>
      </w:r>
      <w:r w:rsidRPr="001E2144">
        <w:rPr>
          <w:rFonts w:cs="Arial"/>
        </w:rPr>
        <w:t>ndda Cynon Taff</w:t>
      </w:r>
      <w:r>
        <w:rPr>
          <w:rFonts w:cs="Arial"/>
        </w:rPr>
        <w:t xml:space="preserve"> C</w:t>
      </w:r>
      <w:r w:rsidR="009C6A0E">
        <w:rPr>
          <w:rFonts w:cs="Arial"/>
        </w:rPr>
        <w:t xml:space="preserve">ounty </w:t>
      </w:r>
      <w:r>
        <w:rPr>
          <w:rFonts w:cs="Arial"/>
        </w:rPr>
        <w:t>B</w:t>
      </w:r>
      <w:r w:rsidR="009C6A0E">
        <w:rPr>
          <w:rFonts w:cs="Arial"/>
        </w:rPr>
        <w:t xml:space="preserve">orough </w:t>
      </w:r>
      <w:r>
        <w:rPr>
          <w:rFonts w:cs="Arial"/>
        </w:rPr>
        <w:t>C</w:t>
      </w:r>
      <w:r w:rsidR="009C6A0E">
        <w:rPr>
          <w:rFonts w:cs="Arial"/>
        </w:rPr>
        <w:t>ouncil</w:t>
      </w:r>
      <w:r>
        <w:rPr>
          <w:rFonts w:cs="Arial"/>
        </w:rPr>
        <w:t>,</w:t>
      </w:r>
      <w:r w:rsidR="009C6A0E">
        <w:rPr>
          <w:rFonts w:cs="Arial"/>
        </w:rPr>
        <w:t xml:space="preserve"> </w:t>
      </w:r>
      <w:r w:rsidRPr="001E2144">
        <w:rPr>
          <w:rFonts w:cs="Arial"/>
        </w:rPr>
        <w:t xml:space="preserve">and the Vale of Glamorgan Council </w:t>
      </w:r>
      <w:r>
        <w:rPr>
          <w:rFonts w:cs="Arial"/>
        </w:rPr>
        <w:t>on 1 June 2015.</w:t>
      </w:r>
      <w:r w:rsidR="009C6A0E">
        <w:rPr>
          <w:rFonts w:cs="Arial"/>
        </w:rPr>
        <w:t xml:space="preserve"> </w:t>
      </w:r>
      <w:r w:rsidRPr="002B6F2B">
        <w:rPr>
          <w:rFonts w:cs="Arial"/>
        </w:rPr>
        <w:t xml:space="preserve">The </w:t>
      </w:r>
      <w:r>
        <w:rPr>
          <w:rFonts w:cs="Arial"/>
        </w:rPr>
        <w:t>Collaborative provides an adoption service on behalf of these partners and is one of five regional services which form part of the National Adoption Service in Wales (NAS).</w:t>
      </w:r>
    </w:p>
    <w:p w:rsidRPr="00FE32CD" w:rsidR="00C51EC3" w:rsidP="00C51EC3" w:rsidRDefault="00C51EC3" w14:paraId="0AE3A8C3" w14:textId="7BB6A454">
      <w:pPr>
        <w:jc w:val="both"/>
        <w:rPr>
          <w:rFonts w:cs="Arial"/>
          <w:highlight w:val="yellow"/>
        </w:rPr>
      </w:pPr>
      <w:r>
        <w:rPr>
          <w:rFonts w:cs="Arial"/>
        </w:rPr>
        <w:t xml:space="preserve">The statutory basis and legal footprint for the Collaborative is set </w:t>
      </w:r>
      <w:r w:rsidRPr="00660BCC">
        <w:rPr>
          <w:rFonts w:cs="Arial"/>
        </w:rPr>
        <w:t xml:space="preserve">out in </w:t>
      </w:r>
      <w:r w:rsidRPr="00660BCC">
        <w:rPr>
          <w:rFonts w:cs="Arial"/>
          <w:bCs/>
          <w:lang w:val="en-US"/>
        </w:rPr>
        <w:t>in the Adoption &amp; Children Act 2002 (Joint Adoption Arrangements</w:t>
      </w:r>
      <w:r>
        <w:rPr>
          <w:rFonts w:cs="Arial"/>
          <w:bCs/>
          <w:lang w:val="en-US"/>
        </w:rPr>
        <w:t>)</w:t>
      </w:r>
      <w:r w:rsidRPr="00660BCC">
        <w:rPr>
          <w:rFonts w:cs="Arial"/>
          <w:bCs/>
          <w:lang w:val="en-US"/>
        </w:rPr>
        <w:t xml:space="preserve"> (Wales) Directions 2015</w:t>
      </w:r>
      <w:r>
        <w:rPr>
          <w:rFonts w:cs="Arial"/>
          <w:bCs/>
          <w:lang w:val="en-US"/>
        </w:rPr>
        <w:t>.</w:t>
      </w:r>
    </w:p>
    <w:p w:rsidRPr="00FE32CD" w:rsidR="00C51EC3" w:rsidP="00C51EC3" w:rsidRDefault="00C51EC3" w14:paraId="5ACDF776" w14:textId="683BEE2A">
      <w:pPr>
        <w:jc w:val="both"/>
        <w:rPr>
          <w:rFonts w:cs="Arial"/>
          <w:highlight w:val="yellow"/>
        </w:rPr>
      </w:pPr>
      <w:r>
        <w:rPr>
          <w:rFonts w:cs="Arial"/>
        </w:rPr>
        <w:t xml:space="preserve">The overall governance of the Collaborative is </w:t>
      </w:r>
      <w:r w:rsidRPr="001E2144">
        <w:rPr>
          <w:rFonts w:cs="Arial"/>
        </w:rPr>
        <w:t>by</w:t>
      </w:r>
      <w:r>
        <w:rPr>
          <w:rFonts w:cs="Arial"/>
        </w:rPr>
        <w:t xml:space="preserve"> way of a </w:t>
      </w:r>
      <w:r w:rsidRPr="001E2144">
        <w:rPr>
          <w:rFonts w:cs="Arial"/>
        </w:rPr>
        <w:t>Joint Committee</w:t>
      </w:r>
      <w:r>
        <w:rPr>
          <w:rFonts w:cs="Arial"/>
        </w:rPr>
        <w:t xml:space="preserve"> which is comprised of one elected member from each of the partners.</w:t>
      </w:r>
      <w:r w:rsidR="009C6A0E">
        <w:rPr>
          <w:rFonts w:cs="Arial"/>
        </w:rPr>
        <w:t xml:space="preserve"> </w:t>
      </w:r>
      <w:r w:rsidRPr="001E2144">
        <w:rPr>
          <w:rFonts w:cs="Arial"/>
        </w:rPr>
        <w:t>The Vale of Glamorgan Council became the Host Authority</w:t>
      </w:r>
      <w:r>
        <w:rPr>
          <w:rFonts w:cs="Arial"/>
        </w:rPr>
        <w:t xml:space="preserve"> for the Collaborative</w:t>
      </w:r>
      <w:r w:rsidRPr="001E2144">
        <w:rPr>
          <w:rFonts w:cs="Arial"/>
        </w:rPr>
        <w:t xml:space="preserve"> upon </w:t>
      </w:r>
      <w:r>
        <w:rPr>
          <w:rFonts w:cs="Arial"/>
        </w:rPr>
        <w:t xml:space="preserve">the </w:t>
      </w:r>
      <w:r w:rsidRPr="001E2144">
        <w:rPr>
          <w:rFonts w:cs="Arial"/>
        </w:rPr>
        <w:t xml:space="preserve">formation of the </w:t>
      </w:r>
      <w:r>
        <w:rPr>
          <w:rFonts w:cs="Arial"/>
        </w:rPr>
        <w:t>service</w:t>
      </w:r>
      <w:r w:rsidR="009C6A0E">
        <w:rPr>
          <w:rFonts w:cs="Arial"/>
        </w:rPr>
        <w:t>.</w:t>
      </w:r>
      <w:r>
        <w:rPr>
          <w:rFonts w:cs="Arial"/>
        </w:rPr>
        <w:t xml:space="preserve"> </w:t>
      </w:r>
      <w:r w:rsidRPr="001E2144">
        <w:rPr>
          <w:rFonts w:cs="Arial"/>
        </w:rPr>
        <w:t xml:space="preserve">The </w:t>
      </w:r>
      <w:r>
        <w:rPr>
          <w:rFonts w:cs="Arial"/>
        </w:rPr>
        <w:t xml:space="preserve">Collaborative </w:t>
      </w:r>
      <w:r w:rsidRPr="001E2144">
        <w:rPr>
          <w:rFonts w:cs="Arial"/>
        </w:rPr>
        <w:t xml:space="preserve">Agreement </w:t>
      </w:r>
      <w:r w:rsidR="009C6A0E">
        <w:rPr>
          <w:rFonts w:cs="Arial"/>
        </w:rPr>
        <w:t xml:space="preserve">which was </w:t>
      </w:r>
      <w:r>
        <w:rPr>
          <w:rFonts w:cs="Arial"/>
        </w:rPr>
        <w:t>put in place in 2015 and executed by all partners outlines the arrangements for how the service is to be delivered.</w:t>
      </w:r>
    </w:p>
    <w:p w:rsidR="00C51EC3" w:rsidP="00C51EC3" w:rsidRDefault="00C51EC3" w14:paraId="2A9B53AB" w14:textId="655B34A0">
      <w:pPr>
        <w:jc w:val="both"/>
        <w:rPr>
          <w:rFonts w:cs="Arial"/>
        </w:rPr>
      </w:pPr>
      <w:r w:rsidRPr="001E2144">
        <w:rPr>
          <w:rFonts w:cs="Arial"/>
        </w:rPr>
        <w:t xml:space="preserve">The </w:t>
      </w:r>
      <w:r>
        <w:rPr>
          <w:rFonts w:cs="Arial"/>
        </w:rPr>
        <w:t>Collaborative Agreement sets out the range of delegated functions which the service provides and those which remain the responsibility of the partner agencies. The Agreement also sets out the terms of reference and membership of the other tiers of governance within the service i.e</w:t>
      </w:r>
      <w:r w:rsidR="009C6A0E">
        <w:rPr>
          <w:rFonts w:cs="Arial"/>
        </w:rPr>
        <w:t>.,</w:t>
      </w:r>
      <w:r>
        <w:rPr>
          <w:rFonts w:cs="Arial"/>
        </w:rPr>
        <w:t xml:space="preserve"> the Management Board and the Operational Group. The Collaborative Agreement outlines the overall framework in which the service is to be delivered detailing the expectations and responsibilities of all partners in respect of the following aspects:</w:t>
      </w:r>
    </w:p>
    <w:p w:rsidR="00C51EC3" w:rsidP="00C51EC3" w:rsidRDefault="00C51EC3" w14:paraId="23E58CE2" w14:textId="2768336F">
      <w:pPr>
        <w:pStyle w:val="ListParagraph"/>
        <w:numPr>
          <w:ilvl w:val="0"/>
          <w:numId w:val="11"/>
        </w:numPr>
        <w:autoSpaceDE w:val="0"/>
        <w:autoSpaceDN w:val="0"/>
        <w:adjustRightInd w:val="0"/>
        <w:spacing w:after="0" w:line="240" w:lineRule="auto"/>
        <w:jc w:val="both"/>
        <w:rPr>
          <w:rFonts w:cs="Arial"/>
        </w:rPr>
      </w:pPr>
      <w:r w:rsidRPr="006B634C">
        <w:rPr>
          <w:rFonts w:cs="Arial"/>
        </w:rPr>
        <w:t>The</w:t>
      </w:r>
      <w:r>
        <w:rPr>
          <w:rFonts w:cs="Arial"/>
        </w:rPr>
        <w:t xml:space="preserve"> legislative basis</w:t>
      </w:r>
      <w:r w:rsidR="009C6A0E">
        <w:rPr>
          <w:rFonts w:cs="Arial"/>
        </w:rPr>
        <w:t>.</w:t>
      </w:r>
    </w:p>
    <w:p w:rsidR="00C51EC3" w:rsidP="00C51EC3" w:rsidRDefault="00C51EC3" w14:paraId="385A71B3" w14:textId="77777777">
      <w:pPr>
        <w:pStyle w:val="ListParagraph"/>
        <w:numPr>
          <w:ilvl w:val="0"/>
          <w:numId w:val="11"/>
        </w:numPr>
        <w:autoSpaceDE w:val="0"/>
        <w:autoSpaceDN w:val="0"/>
        <w:adjustRightInd w:val="0"/>
        <w:spacing w:after="0" w:line="240" w:lineRule="auto"/>
        <w:jc w:val="both"/>
        <w:rPr>
          <w:rFonts w:cs="Arial"/>
        </w:rPr>
      </w:pPr>
      <w:r>
        <w:rPr>
          <w:rFonts w:cs="Arial"/>
        </w:rPr>
        <w:t>The services provided.</w:t>
      </w:r>
    </w:p>
    <w:p w:rsidRPr="006B634C" w:rsidR="00C51EC3" w:rsidP="00C51EC3" w:rsidRDefault="00C51EC3" w14:paraId="00C8B154" w14:textId="77777777">
      <w:pPr>
        <w:pStyle w:val="ListParagraph"/>
        <w:numPr>
          <w:ilvl w:val="0"/>
          <w:numId w:val="11"/>
        </w:numPr>
        <w:autoSpaceDE w:val="0"/>
        <w:autoSpaceDN w:val="0"/>
        <w:adjustRightInd w:val="0"/>
        <w:spacing w:after="0" w:line="240" w:lineRule="auto"/>
        <w:jc w:val="both"/>
        <w:rPr>
          <w:rFonts w:cs="Arial"/>
        </w:rPr>
      </w:pPr>
      <w:r>
        <w:rPr>
          <w:rFonts w:cs="Arial"/>
        </w:rPr>
        <w:t xml:space="preserve">The membership and function </w:t>
      </w:r>
      <w:r w:rsidRPr="006B634C">
        <w:rPr>
          <w:rFonts w:cs="Arial"/>
        </w:rPr>
        <w:t>of the Joint Committee</w:t>
      </w:r>
      <w:r>
        <w:rPr>
          <w:rFonts w:cs="Arial"/>
        </w:rPr>
        <w:t>,</w:t>
      </w:r>
      <w:r w:rsidRPr="006B634C">
        <w:rPr>
          <w:rFonts w:cs="Arial"/>
        </w:rPr>
        <w:t xml:space="preserve">  Management Board </w:t>
      </w:r>
      <w:r>
        <w:rPr>
          <w:rFonts w:cs="Arial"/>
        </w:rPr>
        <w:t>and Operational Group.</w:t>
      </w:r>
    </w:p>
    <w:p w:rsidRPr="006B634C" w:rsidR="00C51EC3" w:rsidP="00C51EC3" w:rsidRDefault="00C51EC3" w14:paraId="2E479A11" w14:textId="77777777">
      <w:pPr>
        <w:pStyle w:val="ListParagraph"/>
        <w:numPr>
          <w:ilvl w:val="0"/>
          <w:numId w:val="11"/>
        </w:numPr>
        <w:autoSpaceDE w:val="0"/>
        <w:autoSpaceDN w:val="0"/>
        <w:adjustRightInd w:val="0"/>
        <w:spacing w:after="0" w:line="240" w:lineRule="auto"/>
        <w:jc w:val="both"/>
        <w:rPr>
          <w:rFonts w:cs="Arial"/>
        </w:rPr>
      </w:pPr>
      <w:r w:rsidRPr="006B634C">
        <w:rPr>
          <w:rFonts w:cs="Arial"/>
        </w:rPr>
        <w:t xml:space="preserve">The role </w:t>
      </w:r>
      <w:r>
        <w:rPr>
          <w:rFonts w:cs="Arial"/>
        </w:rPr>
        <w:t xml:space="preserve">and responsibilities </w:t>
      </w:r>
      <w:r w:rsidRPr="006B634C">
        <w:rPr>
          <w:rFonts w:cs="Arial"/>
        </w:rPr>
        <w:t xml:space="preserve">of the </w:t>
      </w:r>
      <w:r>
        <w:rPr>
          <w:rFonts w:cs="Arial"/>
        </w:rPr>
        <w:t>Regional Adoption Manager.</w:t>
      </w:r>
    </w:p>
    <w:p w:rsidR="00C51EC3" w:rsidP="00C51EC3" w:rsidRDefault="00C51EC3" w14:paraId="0BEE3AA6" w14:textId="77777777">
      <w:pPr>
        <w:pStyle w:val="ListParagraph"/>
        <w:numPr>
          <w:ilvl w:val="0"/>
          <w:numId w:val="11"/>
        </w:numPr>
        <w:autoSpaceDE w:val="0"/>
        <w:autoSpaceDN w:val="0"/>
        <w:adjustRightInd w:val="0"/>
        <w:spacing w:after="0" w:line="240" w:lineRule="auto"/>
        <w:jc w:val="both"/>
        <w:rPr>
          <w:rFonts w:cs="Arial"/>
        </w:rPr>
      </w:pPr>
      <w:r w:rsidRPr="006B634C">
        <w:rPr>
          <w:rFonts w:cs="Arial"/>
        </w:rPr>
        <w:t xml:space="preserve">Financial </w:t>
      </w:r>
      <w:r>
        <w:rPr>
          <w:rFonts w:cs="Arial"/>
        </w:rPr>
        <w:t>arrangements.</w:t>
      </w:r>
    </w:p>
    <w:p w:rsidRPr="006B634C" w:rsidR="00C51EC3" w:rsidP="00C51EC3" w:rsidRDefault="00C51EC3" w14:paraId="4D4CA152" w14:textId="638A0077">
      <w:pPr>
        <w:pStyle w:val="ListParagraph"/>
        <w:numPr>
          <w:ilvl w:val="0"/>
          <w:numId w:val="11"/>
        </w:numPr>
        <w:autoSpaceDE w:val="0"/>
        <w:autoSpaceDN w:val="0"/>
        <w:adjustRightInd w:val="0"/>
        <w:spacing w:after="0" w:line="240" w:lineRule="auto"/>
        <w:jc w:val="both"/>
        <w:rPr>
          <w:rFonts w:cs="Arial"/>
        </w:rPr>
      </w:pPr>
      <w:r>
        <w:rPr>
          <w:rFonts w:cs="Arial"/>
        </w:rPr>
        <w:t>Premises</w:t>
      </w:r>
      <w:r w:rsidR="009C6A0E">
        <w:rPr>
          <w:rFonts w:cs="Arial"/>
        </w:rPr>
        <w:t>.</w:t>
      </w:r>
    </w:p>
    <w:p w:rsidR="00C51EC3" w:rsidP="00C51EC3" w:rsidRDefault="00C51EC3" w14:paraId="0FD5B307" w14:textId="76FEC8BF">
      <w:pPr>
        <w:pStyle w:val="ListParagraph"/>
        <w:numPr>
          <w:ilvl w:val="0"/>
          <w:numId w:val="11"/>
        </w:numPr>
        <w:autoSpaceDE w:val="0"/>
        <w:autoSpaceDN w:val="0"/>
        <w:adjustRightInd w:val="0"/>
        <w:spacing w:after="0" w:line="240" w:lineRule="auto"/>
        <w:jc w:val="both"/>
        <w:rPr>
          <w:rFonts w:cs="Arial"/>
        </w:rPr>
      </w:pPr>
      <w:r>
        <w:rPr>
          <w:rFonts w:cs="Arial"/>
        </w:rPr>
        <w:t>Staffing.</w:t>
      </w:r>
    </w:p>
    <w:p w:rsidR="00C51EC3" w:rsidP="00C51EC3" w:rsidRDefault="00C51EC3" w14:paraId="1441C273" w14:textId="4040B896">
      <w:pPr>
        <w:pStyle w:val="ListParagraph"/>
        <w:numPr>
          <w:ilvl w:val="0"/>
          <w:numId w:val="11"/>
        </w:numPr>
        <w:autoSpaceDE w:val="0"/>
        <w:autoSpaceDN w:val="0"/>
        <w:adjustRightInd w:val="0"/>
        <w:spacing w:after="0" w:line="240" w:lineRule="auto"/>
        <w:jc w:val="both"/>
        <w:rPr>
          <w:rFonts w:cs="Arial"/>
        </w:rPr>
      </w:pPr>
      <w:r>
        <w:rPr>
          <w:rFonts w:cs="Arial"/>
        </w:rPr>
        <w:t>Reporting requirements</w:t>
      </w:r>
      <w:r w:rsidR="009C6A0E">
        <w:rPr>
          <w:rFonts w:cs="Arial"/>
        </w:rPr>
        <w:t>.</w:t>
      </w:r>
    </w:p>
    <w:p w:rsidR="00C51EC3" w:rsidP="00C51EC3" w:rsidRDefault="00C51EC3" w14:paraId="39CD8461" w14:textId="77777777">
      <w:pPr>
        <w:pStyle w:val="ListParagraph"/>
        <w:numPr>
          <w:ilvl w:val="0"/>
          <w:numId w:val="11"/>
        </w:numPr>
        <w:autoSpaceDE w:val="0"/>
        <w:autoSpaceDN w:val="0"/>
        <w:adjustRightInd w:val="0"/>
        <w:spacing w:after="0" w:line="240" w:lineRule="auto"/>
        <w:jc w:val="both"/>
        <w:rPr>
          <w:rFonts w:cs="Arial"/>
        </w:rPr>
      </w:pPr>
      <w:r w:rsidRPr="006B634C">
        <w:rPr>
          <w:rFonts w:cs="Arial"/>
        </w:rPr>
        <w:t xml:space="preserve">Records and access to information including </w:t>
      </w:r>
      <w:r>
        <w:rPr>
          <w:rFonts w:cs="Arial"/>
        </w:rPr>
        <w:t>D</w:t>
      </w:r>
      <w:r w:rsidRPr="006B634C">
        <w:rPr>
          <w:rFonts w:cs="Arial"/>
        </w:rPr>
        <w:t xml:space="preserve">ata </w:t>
      </w:r>
      <w:r>
        <w:rPr>
          <w:rFonts w:cs="Arial"/>
        </w:rPr>
        <w:t>P</w:t>
      </w:r>
      <w:r w:rsidRPr="006B634C">
        <w:rPr>
          <w:rFonts w:cs="Arial"/>
        </w:rPr>
        <w:t>rotection</w:t>
      </w:r>
      <w:r>
        <w:rPr>
          <w:rFonts w:cs="Arial"/>
        </w:rPr>
        <w:t xml:space="preserve"> </w:t>
      </w:r>
      <w:r w:rsidRPr="006B634C">
        <w:rPr>
          <w:rFonts w:cs="Arial"/>
        </w:rPr>
        <w:t xml:space="preserve">and </w:t>
      </w:r>
      <w:r>
        <w:rPr>
          <w:rFonts w:cs="Arial"/>
        </w:rPr>
        <w:t>I</w:t>
      </w:r>
      <w:r w:rsidRPr="006B634C">
        <w:rPr>
          <w:rFonts w:cs="Arial"/>
        </w:rPr>
        <w:t>nformation governance</w:t>
      </w:r>
      <w:r>
        <w:rPr>
          <w:rFonts w:cs="Arial"/>
        </w:rPr>
        <w:t>.</w:t>
      </w:r>
    </w:p>
    <w:p w:rsidR="00C51EC3" w:rsidP="00C51EC3" w:rsidRDefault="00C51EC3" w14:paraId="1C5C4579" w14:textId="0DF626CA">
      <w:pPr>
        <w:pStyle w:val="ListParagraph"/>
        <w:numPr>
          <w:ilvl w:val="0"/>
          <w:numId w:val="11"/>
        </w:numPr>
        <w:autoSpaceDE w:val="0"/>
        <w:autoSpaceDN w:val="0"/>
        <w:adjustRightInd w:val="0"/>
        <w:spacing w:after="0" w:line="240" w:lineRule="auto"/>
        <w:jc w:val="both"/>
        <w:rPr>
          <w:rFonts w:cs="Arial"/>
        </w:rPr>
      </w:pPr>
      <w:r>
        <w:rPr>
          <w:rFonts w:cs="Arial"/>
        </w:rPr>
        <w:t>Health &amp; safety</w:t>
      </w:r>
      <w:r w:rsidR="009C6A0E">
        <w:rPr>
          <w:rFonts w:cs="Arial"/>
        </w:rPr>
        <w:t>.</w:t>
      </w:r>
    </w:p>
    <w:p w:rsidR="00C51EC3" w:rsidP="00C51EC3" w:rsidRDefault="00C51EC3" w14:paraId="1AE1EA55" w14:textId="373AD41F">
      <w:pPr>
        <w:pStyle w:val="ListParagraph"/>
        <w:numPr>
          <w:ilvl w:val="0"/>
          <w:numId w:val="11"/>
        </w:numPr>
        <w:autoSpaceDE w:val="0"/>
        <w:autoSpaceDN w:val="0"/>
        <w:adjustRightInd w:val="0"/>
        <w:spacing w:after="0" w:line="240" w:lineRule="auto"/>
        <w:jc w:val="both"/>
        <w:rPr>
          <w:rFonts w:cs="Arial"/>
        </w:rPr>
      </w:pPr>
      <w:r>
        <w:rPr>
          <w:rFonts w:cs="Arial"/>
        </w:rPr>
        <w:t>Audit requirements</w:t>
      </w:r>
      <w:r w:rsidR="009C6A0E">
        <w:rPr>
          <w:rFonts w:cs="Arial"/>
        </w:rPr>
        <w:t>.</w:t>
      </w:r>
    </w:p>
    <w:p w:rsidRPr="006B634C" w:rsidR="00C51EC3" w:rsidP="00C51EC3" w:rsidRDefault="00C51EC3" w14:paraId="67E77B45" w14:textId="009E5243">
      <w:pPr>
        <w:pStyle w:val="ListParagraph"/>
        <w:numPr>
          <w:ilvl w:val="0"/>
          <w:numId w:val="11"/>
        </w:numPr>
        <w:autoSpaceDE w:val="0"/>
        <w:autoSpaceDN w:val="0"/>
        <w:adjustRightInd w:val="0"/>
        <w:spacing w:after="0" w:line="240" w:lineRule="auto"/>
        <w:jc w:val="both"/>
        <w:rPr>
          <w:rFonts w:cs="Arial"/>
        </w:rPr>
      </w:pPr>
      <w:r>
        <w:rPr>
          <w:rFonts w:cs="Arial"/>
        </w:rPr>
        <w:t>Termination of agreement</w:t>
      </w:r>
      <w:r w:rsidR="009C6A0E">
        <w:rPr>
          <w:rFonts w:cs="Arial"/>
        </w:rPr>
        <w:t>.</w:t>
      </w:r>
    </w:p>
    <w:p w:rsidR="00C51EC3" w:rsidP="00C51EC3" w:rsidRDefault="00C51EC3" w14:paraId="3670EF57" w14:textId="77777777">
      <w:pPr>
        <w:jc w:val="both"/>
        <w:rPr>
          <w:rFonts w:cs="Arial"/>
        </w:rPr>
      </w:pPr>
    </w:p>
    <w:p w:rsidRPr="00FE32CD" w:rsidR="00C51EC3" w:rsidP="00C51EC3" w:rsidRDefault="00C51EC3" w14:paraId="259ABE50" w14:textId="77777777">
      <w:pPr>
        <w:jc w:val="both"/>
        <w:rPr>
          <w:rFonts w:cs="Arial"/>
          <w:highlight w:val="yellow"/>
        </w:rPr>
      </w:pPr>
    </w:p>
    <w:p w:rsidR="00C51EC3" w:rsidP="00C51EC3" w:rsidRDefault="00C51EC3" w14:paraId="3C83D782" w14:textId="77777777">
      <w:pPr>
        <w:jc w:val="both"/>
        <w:rPr>
          <w:rFonts w:cs="Arial"/>
        </w:rPr>
      </w:pPr>
      <w:r>
        <w:rPr>
          <w:rFonts w:cs="Arial"/>
        </w:rPr>
        <w:t xml:space="preserve">The Joint Committee meets twice a year in May &amp; December to approve the end of year accounts and budget for the forthcoming year. Meetings of the Management Board and Operational Group are held on a quarterly basis. </w:t>
      </w:r>
    </w:p>
    <w:p w:rsidRPr="00050DF7" w:rsidR="00710C6C" w:rsidP="009D3B72" w:rsidRDefault="00710C6C" w14:paraId="77F4CF2C" w14:textId="54C671C9">
      <w:pPr>
        <w:jc w:val="both"/>
        <w:rPr>
          <w:rFonts w:cs="Arial"/>
        </w:rPr>
      </w:pPr>
      <w:r w:rsidRPr="00050DF7">
        <w:rPr>
          <w:rFonts w:cs="Arial"/>
        </w:rPr>
        <w:t>The narrative report provides insight into the</w:t>
      </w:r>
      <w:r w:rsidRPr="00050DF7" w:rsidR="009B7A34">
        <w:rPr>
          <w:rFonts w:cs="Arial"/>
        </w:rPr>
        <w:t xml:space="preserve"> funding and expenditure appertaining to </w:t>
      </w:r>
      <w:r w:rsidR="00386566">
        <w:t xml:space="preserve">VVC </w:t>
      </w:r>
      <w:r w:rsidRPr="00050DF7" w:rsidR="009B7A34">
        <w:rPr>
          <w:rFonts w:cs="Arial"/>
        </w:rPr>
        <w:t>in the year, the key financial issues and pressures and a look to future years.</w:t>
      </w:r>
    </w:p>
    <w:p w:rsidRPr="00050DF7" w:rsidR="00FE1AA0" w:rsidP="009D3B72" w:rsidRDefault="00FE1AA0" w14:paraId="05BCC2B9" w14:textId="3AB303E0">
      <w:pPr>
        <w:jc w:val="both"/>
        <w:rPr>
          <w:rFonts w:cs="Arial"/>
        </w:rPr>
      </w:pPr>
      <w:r w:rsidRPr="00050DF7">
        <w:rPr>
          <w:rFonts w:cs="Arial"/>
        </w:rPr>
        <w:t>Information contain</w:t>
      </w:r>
      <w:r w:rsidRPr="00050DF7" w:rsidR="00D454C1">
        <w:rPr>
          <w:rFonts w:cs="Arial"/>
        </w:rPr>
        <w:t xml:space="preserve">ed within these accounts </w:t>
      </w:r>
      <w:r w:rsidRPr="00050DF7" w:rsidR="00500682">
        <w:rPr>
          <w:rFonts w:cs="Arial"/>
        </w:rPr>
        <w:t>provides</w:t>
      </w:r>
      <w:r w:rsidRPr="00050DF7">
        <w:rPr>
          <w:rFonts w:cs="Arial"/>
        </w:rPr>
        <w:t xml:space="preserve"> the user </w:t>
      </w:r>
      <w:r w:rsidRPr="00050DF7" w:rsidR="00500682">
        <w:rPr>
          <w:rFonts w:cs="Arial"/>
        </w:rPr>
        <w:t xml:space="preserve">with </w:t>
      </w:r>
      <w:r w:rsidRPr="00050DF7">
        <w:rPr>
          <w:rFonts w:cs="Arial"/>
        </w:rPr>
        <w:t>clarity on the nature of transactions in respect</w:t>
      </w:r>
      <w:r w:rsidRPr="00050DF7" w:rsidR="00500682">
        <w:rPr>
          <w:rFonts w:cs="Arial"/>
        </w:rPr>
        <w:t xml:space="preserve"> of the</w:t>
      </w:r>
      <w:r w:rsidRPr="00050DF7">
        <w:rPr>
          <w:rFonts w:cs="Arial"/>
        </w:rPr>
        <w:t xml:space="preserve"> financial year ended 31</w:t>
      </w:r>
      <w:r w:rsidRPr="00050DF7">
        <w:rPr>
          <w:rFonts w:cs="Arial"/>
          <w:vertAlign w:val="superscript"/>
        </w:rPr>
        <w:t>st</w:t>
      </w:r>
      <w:r w:rsidRPr="00050DF7" w:rsidR="00F92E1D">
        <w:rPr>
          <w:rFonts w:cs="Arial"/>
        </w:rPr>
        <w:t xml:space="preserve"> March 20</w:t>
      </w:r>
      <w:r w:rsidRPr="00050DF7" w:rsidR="00922835">
        <w:rPr>
          <w:rFonts w:cs="Arial"/>
        </w:rPr>
        <w:t>2</w:t>
      </w:r>
      <w:r w:rsidRPr="00050DF7" w:rsidR="00050DF7">
        <w:rPr>
          <w:rFonts w:cs="Arial"/>
        </w:rPr>
        <w:t>3</w:t>
      </w:r>
      <w:r w:rsidRPr="00050DF7" w:rsidR="008730EE">
        <w:rPr>
          <w:rFonts w:cs="Arial"/>
        </w:rPr>
        <w:t>, and its financial composi</w:t>
      </w:r>
      <w:r w:rsidRPr="00050DF7" w:rsidR="00AA48A4">
        <w:rPr>
          <w:rFonts w:cs="Arial"/>
        </w:rPr>
        <w:t>tion as at that date.</w:t>
      </w:r>
    </w:p>
    <w:p w:rsidRPr="00050DF7" w:rsidR="008730EE" w:rsidP="009D3B72" w:rsidRDefault="008730EE" w14:paraId="3586F0E0" w14:textId="77777777">
      <w:pPr>
        <w:jc w:val="both"/>
        <w:rPr>
          <w:rFonts w:cs="Arial"/>
        </w:rPr>
      </w:pPr>
      <w:r w:rsidRPr="00050DF7">
        <w:rPr>
          <w:rFonts w:cs="Arial"/>
        </w:rPr>
        <w:t>These accounts will present:</w:t>
      </w:r>
    </w:p>
    <w:p w:rsidRPr="00050DF7" w:rsidR="008730EE" w:rsidP="008730EE" w:rsidRDefault="008730EE" w14:paraId="14D387A9" w14:textId="77777777">
      <w:pPr>
        <w:pStyle w:val="ListParagraph"/>
        <w:numPr>
          <w:ilvl w:val="0"/>
          <w:numId w:val="1"/>
        </w:numPr>
        <w:jc w:val="both"/>
        <w:rPr>
          <w:rFonts w:cs="Arial"/>
        </w:rPr>
      </w:pPr>
      <w:r w:rsidRPr="00050DF7">
        <w:rPr>
          <w:rFonts w:cs="Arial"/>
        </w:rPr>
        <w:t>The financial statements legally required and their supporting notes</w:t>
      </w:r>
      <w:r w:rsidRPr="00050DF7" w:rsidR="00C70A7B">
        <w:rPr>
          <w:rFonts w:cs="Arial"/>
        </w:rPr>
        <w:t xml:space="preserve">; and </w:t>
      </w:r>
    </w:p>
    <w:p w:rsidRPr="00050DF7" w:rsidR="008730EE" w:rsidP="008730EE" w:rsidRDefault="008730EE" w14:paraId="12082069" w14:textId="77777777">
      <w:pPr>
        <w:pStyle w:val="ListParagraph"/>
        <w:numPr>
          <w:ilvl w:val="0"/>
          <w:numId w:val="1"/>
        </w:numPr>
        <w:jc w:val="both"/>
        <w:rPr>
          <w:rFonts w:cs="Arial"/>
        </w:rPr>
      </w:pPr>
      <w:r w:rsidRPr="00050DF7">
        <w:rPr>
          <w:rFonts w:cs="Arial"/>
        </w:rPr>
        <w:t xml:space="preserve">The accounting policies that have been applied when preparing the </w:t>
      </w:r>
      <w:proofErr w:type="gramStart"/>
      <w:r w:rsidRPr="00050DF7">
        <w:rPr>
          <w:rFonts w:cs="Arial"/>
        </w:rPr>
        <w:t>accounts</w:t>
      </w:r>
      <w:proofErr w:type="gramEnd"/>
    </w:p>
    <w:p w:rsidR="0000535A" w:rsidP="00AE6AC0" w:rsidRDefault="00010BC4" w14:paraId="351976C1" w14:textId="04C315B8">
      <w:pPr>
        <w:jc w:val="both"/>
        <w:rPr>
          <w:noProof/>
          <w:lang w:eastAsia="en-GB"/>
        </w:rPr>
      </w:pPr>
      <w:r w:rsidRPr="00614894">
        <w:rPr>
          <w:rFonts w:cs="Arial"/>
        </w:rPr>
        <w:t>The following chart</w:t>
      </w:r>
      <w:r w:rsidRPr="00614894" w:rsidR="00DB5535">
        <w:rPr>
          <w:rFonts w:cs="Arial"/>
        </w:rPr>
        <w:t xml:space="preserve"> graphically represents the </w:t>
      </w:r>
      <w:r w:rsidRPr="00614894" w:rsidR="00922835">
        <w:rPr>
          <w:rFonts w:cs="Arial"/>
        </w:rPr>
        <w:t>202</w:t>
      </w:r>
      <w:r w:rsidRPr="00614894" w:rsidR="00050DF7">
        <w:rPr>
          <w:rFonts w:cs="Arial"/>
        </w:rPr>
        <w:t>2</w:t>
      </w:r>
      <w:r w:rsidRPr="00614894" w:rsidR="006E782D">
        <w:rPr>
          <w:rFonts w:cs="Arial"/>
        </w:rPr>
        <w:t>/</w:t>
      </w:r>
      <w:r w:rsidRPr="00614894" w:rsidR="00922835">
        <w:rPr>
          <w:rFonts w:cs="Arial"/>
        </w:rPr>
        <w:t>2</w:t>
      </w:r>
      <w:r w:rsidRPr="00614894" w:rsidR="00050DF7">
        <w:rPr>
          <w:rFonts w:cs="Arial"/>
        </w:rPr>
        <w:t>3</w:t>
      </w:r>
      <w:r w:rsidRPr="00614894" w:rsidR="00DB5535">
        <w:rPr>
          <w:rFonts w:cs="Arial"/>
        </w:rPr>
        <w:t xml:space="preserve"> total budgeted contribution made to </w:t>
      </w:r>
      <w:r w:rsidR="00386566">
        <w:t xml:space="preserve">VVC </w:t>
      </w:r>
      <w:r w:rsidRPr="00614894" w:rsidR="00E04249">
        <w:rPr>
          <w:rFonts w:cs="Arial"/>
        </w:rPr>
        <w:t>by the P</w:t>
      </w:r>
      <w:r w:rsidRPr="00614894" w:rsidR="006D4F83">
        <w:rPr>
          <w:rFonts w:cs="Arial"/>
        </w:rPr>
        <w:t>artner Authorities.</w:t>
      </w:r>
    </w:p>
    <w:p w:rsidR="006F110A" w:rsidP="00AE6AC0" w:rsidRDefault="005D1D25" w14:paraId="776F6FA6" w14:textId="1D53D866">
      <w:pPr>
        <w:jc w:val="both"/>
        <w:rPr>
          <w:noProof/>
          <w:lang w:eastAsia="en-GB"/>
        </w:rPr>
      </w:pPr>
      <w:r>
        <w:rPr>
          <w:noProof/>
        </w:rPr>
        <w:drawing>
          <wp:inline distT="0" distB="0" distL="0" distR="0" wp14:anchorId="34A184CA" wp14:editId="27DA277A">
            <wp:extent cx="4977517" cy="3069203"/>
            <wp:effectExtent l="0" t="0" r="13970" b="17145"/>
            <wp:docPr id="1" name="Chart 1">
              <a:extLst xmlns:a="http://schemas.openxmlformats.org/drawingml/2006/main">
                <a:ext uri="{FF2B5EF4-FFF2-40B4-BE49-F238E27FC236}">
                  <a16:creationId xmlns:a16="http://schemas.microsoft.com/office/drawing/2014/main" id="{0B7BA48B-58EC-D859-5191-AC6C71622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614894" w:rsidR="008730EE" w:rsidP="00CE3CBF" w:rsidRDefault="006F110A" w14:paraId="2CED944B" w14:textId="1C0FFA6C">
      <w:pPr>
        <w:pStyle w:val="Heading3"/>
      </w:pPr>
      <w:r w:rsidRPr="00614894">
        <w:t>S</w:t>
      </w:r>
      <w:r w:rsidRPr="00614894" w:rsidR="008730EE">
        <w:t>um</w:t>
      </w:r>
      <w:r w:rsidRPr="00614894" w:rsidR="00547AC9">
        <w:t>mary of Financial Performance</w:t>
      </w:r>
    </w:p>
    <w:p w:rsidRPr="00020D8B" w:rsidR="00FB790A" w:rsidP="008730EE" w:rsidRDefault="00FB790A" w14:paraId="315ED458" w14:textId="60AB9364">
      <w:pPr>
        <w:jc w:val="both"/>
        <w:rPr>
          <w:rFonts w:cs="Arial"/>
        </w:rPr>
      </w:pPr>
      <w:r w:rsidRPr="00020D8B">
        <w:rPr>
          <w:rFonts w:cs="Arial"/>
        </w:rPr>
        <w:t xml:space="preserve">The financial position of </w:t>
      </w:r>
      <w:r w:rsidRPr="006A70E1" w:rsidR="00DF758E">
        <w:rPr>
          <w:rFonts w:cs="Arial"/>
        </w:rPr>
        <w:t xml:space="preserve">VVC </w:t>
      </w:r>
      <w:r w:rsidRPr="00020D8B">
        <w:rPr>
          <w:rFonts w:cs="Arial"/>
        </w:rPr>
        <w:t xml:space="preserve">is regularly reported to </w:t>
      </w:r>
      <w:r w:rsidR="00386566">
        <w:t xml:space="preserve">VVC </w:t>
      </w:r>
      <w:r w:rsidRPr="00020D8B" w:rsidR="00020D8B">
        <w:rPr>
          <w:rFonts w:cs="Arial"/>
        </w:rPr>
        <w:t>Management</w:t>
      </w:r>
      <w:r w:rsidRPr="00020D8B" w:rsidR="00A4418C">
        <w:rPr>
          <w:rFonts w:cs="Arial"/>
        </w:rPr>
        <w:t xml:space="preserve"> Board and </w:t>
      </w:r>
      <w:r w:rsidRPr="00020D8B" w:rsidR="00500682">
        <w:rPr>
          <w:rFonts w:cs="Arial"/>
        </w:rPr>
        <w:t xml:space="preserve">Joint </w:t>
      </w:r>
      <w:r w:rsidRPr="00020D8B" w:rsidR="00A4418C">
        <w:rPr>
          <w:rFonts w:cs="Arial"/>
        </w:rPr>
        <w:t xml:space="preserve">Committee, </w:t>
      </w:r>
      <w:r w:rsidRPr="00020D8B" w:rsidR="008074E6">
        <w:rPr>
          <w:rFonts w:cs="Arial"/>
        </w:rPr>
        <w:t>with the same reports</w:t>
      </w:r>
      <w:r w:rsidRPr="00020D8B" w:rsidR="00A4418C">
        <w:rPr>
          <w:rFonts w:cs="Arial"/>
        </w:rPr>
        <w:t xml:space="preserve"> also</w:t>
      </w:r>
      <w:r w:rsidRPr="00020D8B" w:rsidR="0011596C">
        <w:rPr>
          <w:rFonts w:cs="Arial"/>
        </w:rPr>
        <w:t xml:space="preserve"> being</w:t>
      </w:r>
      <w:r w:rsidRPr="00020D8B" w:rsidR="00A4418C">
        <w:rPr>
          <w:rFonts w:cs="Arial"/>
        </w:rPr>
        <w:t xml:space="preserve"> forwarded </w:t>
      </w:r>
      <w:r w:rsidRPr="00020D8B" w:rsidR="0011596C">
        <w:rPr>
          <w:rFonts w:cs="Arial"/>
        </w:rPr>
        <w:t xml:space="preserve">on a timely basis </w:t>
      </w:r>
      <w:r w:rsidRPr="00020D8B">
        <w:rPr>
          <w:rFonts w:cs="Arial"/>
        </w:rPr>
        <w:t>to the nominated senior manager of</w:t>
      </w:r>
      <w:r w:rsidRPr="00020D8B" w:rsidR="00A4418C">
        <w:rPr>
          <w:rFonts w:cs="Arial"/>
        </w:rPr>
        <w:t xml:space="preserve"> each Authority</w:t>
      </w:r>
      <w:r w:rsidRPr="00020D8B">
        <w:rPr>
          <w:rFonts w:cs="Arial"/>
        </w:rPr>
        <w:t xml:space="preserve"> during the year.</w:t>
      </w:r>
    </w:p>
    <w:p w:rsidR="00DF5009" w:rsidP="008730EE" w:rsidRDefault="00547AC9" w14:paraId="1E04F84E" w14:textId="31425931">
      <w:pPr>
        <w:jc w:val="both"/>
        <w:rPr>
          <w:rFonts w:cs="Arial"/>
        </w:rPr>
      </w:pPr>
      <w:r w:rsidRPr="00772CBF">
        <w:rPr>
          <w:rFonts w:cs="Arial"/>
        </w:rPr>
        <w:t>Expenditure incurre</w:t>
      </w:r>
      <w:r w:rsidRPr="00772CBF" w:rsidR="0011596C">
        <w:rPr>
          <w:rFonts w:cs="Arial"/>
        </w:rPr>
        <w:t xml:space="preserve">d by </w:t>
      </w:r>
      <w:r w:rsidR="00386566">
        <w:t xml:space="preserve">VVC </w:t>
      </w:r>
      <w:r w:rsidRPr="00772CBF" w:rsidR="0011596C">
        <w:rPr>
          <w:rFonts w:cs="Arial"/>
        </w:rPr>
        <w:t xml:space="preserve">is </w:t>
      </w:r>
      <w:r w:rsidRPr="00772CBF" w:rsidR="00121C94">
        <w:rPr>
          <w:rFonts w:cs="Arial"/>
        </w:rPr>
        <w:t xml:space="preserve">predominantly </w:t>
      </w:r>
      <w:r w:rsidRPr="00772CBF" w:rsidR="0011596C">
        <w:rPr>
          <w:rFonts w:cs="Arial"/>
        </w:rPr>
        <w:t xml:space="preserve">split into </w:t>
      </w:r>
      <w:r w:rsidRPr="00772CBF" w:rsidR="00772CBF">
        <w:rPr>
          <w:rFonts w:cs="Arial"/>
        </w:rPr>
        <w:t>three main</w:t>
      </w:r>
      <w:r w:rsidRPr="00772CBF" w:rsidR="0011596C">
        <w:rPr>
          <w:rFonts w:cs="Arial"/>
        </w:rPr>
        <w:t xml:space="preserve"> elements,</w:t>
      </w:r>
      <w:r w:rsidRPr="00772CBF">
        <w:rPr>
          <w:rFonts w:cs="Arial"/>
        </w:rPr>
        <w:t xml:space="preserve"> </w:t>
      </w:r>
      <w:r w:rsidRPr="00772CBF" w:rsidR="00772CBF">
        <w:rPr>
          <w:rFonts w:cs="Arial"/>
        </w:rPr>
        <w:t xml:space="preserve">the </w:t>
      </w:r>
      <w:r w:rsidRPr="00772CBF">
        <w:rPr>
          <w:rFonts w:cs="Arial"/>
        </w:rPr>
        <w:t>Core</w:t>
      </w:r>
      <w:r w:rsidRPr="00772CBF" w:rsidR="00772CBF">
        <w:rPr>
          <w:rFonts w:cs="Arial"/>
        </w:rPr>
        <w:t xml:space="preserve"> budget, the Regional Adoption Grant and the utilisation of any agreed underspend from previous years</w:t>
      </w:r>
      <w:r w:rsidR="000B1965">
        <w:rPr>
          <w:rFonts w:cs="Arial"/>
        </w:rPr>
        <w:t>.</w:t>
      </w:r>
    </w:p>
    <w:p w:rsidR="003462E2" w:rsidP="00CE3CBF" w:rsidRDefault="00386566" w14:paraId="253ABF7F" w14:textId="59647BED">
      <w:pPr>
        <w:pStyle w:val="Heading3"/>
        <w:rPr>
          <w:b w:val="0"/>
          <w:sz w:val="22"/>
          <w:szCs w:val="22"/>
        </w:rPr>
      </w:pPr>
      <w:r w:rsidRPr="00386566">
        <w:rPr>
          <w:b w:val="0"/>
          <w:sz w:val="22"/>
          <w:szCs w:val="22"/>
        </w:rPr>
        <w:t>VVC</w:t>
      </w:r>
      <w:r w:rsidR="00CA6738">
        <w:rPr>
          <w:b w:val="0"/>
          <w:sz w:val="22"/>
          <w:szCs w:val="22"/>
        </w:rPr>
        <w:t>’s</w:t>
      </w:r>
      <w:r w:rsidRPr="00386566">
        <w:rPr>
          <w:b w:val="0"/>
          <w:sz w:val="22"/>
          <w:szCs w:val="22"/>
        </w:rPr>
        <w:t xml:space="preserve"> </w:t>
      </w:r>
      <w:r w:rsidRPr="00020D8B" w:rsidR="00922835">
        <w:rPr>
          <w:b w:val="0"/>
          <w:sz w:val="22"/>
          <w:szCs w:val="22"/>
        </w:rPr>
        <w:t>202</w:t>
      </w:r>
      <w:r w:rsidRPr="00020D8B" w:rsidR="00AA5FAA">
        <w:rPr>
          <w:b w:val="0"/>
          <w:sz w:val="22"/>
          <w:szCs w:val="22"/>
        </w:rPr>
        <w:t>2</w:t>
      </w:r>
      <w:r w:rsidRPr="00020D8B" w:rsidR="0076102D">
        <w:rPr>
          <w:b w:val="0"/>
          <w:sz w:val="22"/>
          <w:szCs w:val="22"/>
        </w:rPr>
        <w:t>/</w:t>
      </w:r>
      <w:r w:rsidRPr="00020D8B" w:rsidR="00922835">
        <w:rPr>
          <w:b w:val="0"/>
          <w:sz w:val="22"/>
          <w:szCs w:val="22"/>
        </w:rPr>
        <w:t>2</w:t>
      </w:r>
      <w:r w:rsidRPr="00020D8B" w:rsidR="00AA5FAA">
        <w:rPr>
          <w:b w:val="0"/>
          <w:sz w:val="22"/>
          <w:szCs w:val="22"/>
        </w:rPr>
        <w:t>3</w:t>
      </w:r>
      <w:r w:rsidRPr="00020D8B" w:rsidR="00DF5009">
        <w:rPr>
          <w:b w:val="0"/>
          <w:sz w:val="22"/>
          <w:szCs w:val="22"/>
        </w:rPr>
        <w:t xml:space="preserve"> gross expenditure </w:t>
      </w:r>
      <w:r w:rsidR="00815804">
        <w:rPr>
          <w:b w:val="0"/>
          <w:sz w:val="22"/>
          <w:szCs w:val="22"/>
        </w:rPr>
        <w:t xml:space="preserve">core </w:t>
      </w:r>
      <w:r w:rsidRPr="00020D8B" w:rsidR="00DF5009">
        <w:rPr>
          <w:b w:val="0"/>
          <w:sz w:val="22"/>
          <w:szCs w:val="22"/>
        </w:rPr>
        <w:t>budget</w:t>
      </w:r>
      <w:r w:rsidR="00815804">
        <w:rPr>
          <w:b w:val="0"/>
          <w:sz w:val="22"/>
          <w:szCs w:val="22"/>
        </w:rPr>
        <w:t xml:space="preserve"> is</w:t>
      </w:r>
      <w:r w:rsidRPr="00020D8B" w:rsidR="00DF5009">
        <w:rPr>
          <w:b w:val="0"/>
          <w:sz w:val="22"/>
          <w:szCs w:val="22"/>
        </w:rPr>
        <w:t xml:space="preserve"> sh</w:t>
      </w:r>
      <w:r w:rsidRPr="00020D8B" w:rsidR="00D454C1">
        <w:rPr>
          <w:b w:val="0"/>
          <w:sz w:val="22"/>
          <w:szCs w:val="22"/>
        </w:rPr>
        <w:t xml:space="preserve">own </w:t>
      </w:r>
      <w:r w:rsidR="00815804">
        <w:rPr>
          <w:b w:val="0"/>
          <w:sz w:val="22"/>
          <w:szCs w:val="22"/>
        </w:rPr>
        <w:t>in</w:t>
      </w:r>
      <w:r w:rsidRPr="00020D8B" w:rsidR="00D454C1">
        <w:rPr>
          <w:b w:val="0"/>
          <w:sz w:val="22"/>
          <w:szCs w:val="22"/>
        </w:rPr>
        <w:t xml:space="preserve"> the following table</w:t>
      </w:r>
      <w:r w:rsidRPr="00020D8B" w:rsidR="00DF5009">
        <w:rPr>
          <w:b w:val="0"/>
          <w:sz w:val="22"/>
          <w:szCs w:val="22"/>
        </w:rPr>
        <w:t>.</w:t>
      </w:r>
      <w:r w:rsidRPr="00020D8B" w:rsidR="00251F94">
        <w:rPr>
          <w:b w:val="0"/>
          <w:sz w:val="22"/>
          <w:szCs w:val="22"/>
        </w:rPr>
        <w:t xml:space="preserve">  </w:t>
      </w:r>
    </w:p>
    <w:p w:rsidRPr="00386566" w:rsidR="00386566" w:rsidP="00386566" w:rsidRDefault="00386566" w14:paraId="1B1D9FDD" w14:textId="77777777"/>
    <w:tbl>
      <w:tblPr>
        <w:tblW w:w="5988" w:type="dxa"/>
        <w:tblInd w:w="-5" w:type="dxa"/>
        <w:tblLook w:val="04A0" w:firstRow="1" w:lastRow="0" w:firstColumn="1" w:lastColumn="0" w:noHBand="0" w:noVBand="1"/>
      </w:tblPr>
      <w:tblGrid>
        <w:gridCol w:w="2552"/>
        <w:gridCol w:w="1650"/>
        <w:gridCol w:w="1786"/>
      </w:tblGrid>
      <w:tr w:rsidRPr="00DB3165" w:rsidR="00815804" w:rsidTr="00815804" w14:paraId="5CE75536" w14:textId="5F45C5BE">
        <w:trPr>
          <w:trHeight w:val="300"/>
        </w:trPr>
        <w:tc>
          <w:tcPr>
            <w:tcW w:w="2552" w:type="dxa"/>
            <w:tcBorders>
              <w:top w:val="single" w:color="auto" w:sz="4" w:space="0"/>
              <w:left w:val="single" w:color="auto" w:sz="4" w:space="0"/>
              <w:bottom w:val="nil"/>
              <w:right w:val="nil"/>
            </w:tcBorders>
            <w:shd w:val="clear" w:color="auto" w:fill="DBE5F1" w:themeFill="accent1" w:themeFillTint="33"/>
            <w:noWrap/>
            <w:vAlign w:val="bottom"/>
            <w:hideMark/>
          </w:tcPr>
          <w:p w:rsidRPr="00DB3165" w:rsidR="00815804" w:rsidP="00DF5009" w:rsidRDefault="00815804" w14:paraId="59D12521" w14:textId="77777777">
            <w:pPr>
              <w:spacing w:after="0" w:line="240" w:lineRule="auto"/>
              <w:jc w:val="center"/>
              <w:rPr>
                <w:rFonts w:eastAsia="Times New Roman" w:cs="Arial"/>
                <w:b/>
                <w:bCs/>
                <w:color w:val="000000"/>
                <w:sz w:val="20"/>
                <w:szCs w:val="20"/>
                <w:lang w:eastAsia="en-GB"/>
              </w:rPr>
            </w:pPr>
            <w:r w:rsidRPr="00DB3165">
              <w:rPr>
                <w:rFonts w:eastAsia="Times New Roman" w:cs="Arial"/>
                <w:b/>
                <w:bCs/>
                <w:color w:val="000000"/>
                <w:sz w:val="20"/>
                <w:szCs w:val="20"/>
                <w:lang w:eastAsia="en-GB"/>
              </w:rPr>
              <w:t>Authority</w:t>
            </w:r>
          </w:p>
        </w:tc>
        <w:tc>
          <w:tcPr>
            <w:tcW w:w="1650"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DB3165" w:rsidR="00815804" w:rsidP="00DF5009" w:rsidRDefault="00815804" w14:paraId="478A5375" w14:textId="77777777">
            <w:pPr>
              <w:spacing w:after="0" w:line="240" w:lineRule="auto"/>
              <w:jc w:val="center"/>
              <w:rPr>
                <w:rFonts w:eastAsia="Times New Roman" w:cs="Arial"/>
                <w:b/>
                <w:bCs/>
                <w:color w:val="000000"/>
                <w:sz w:val="20"/>
                <w:szCs w:val="20"/>
                <w:lang w:eastAsia="en-GB"/>
              </w:rPr>
            </w:pPr>
            <w:r w:rsidRPr="00DB3165">
              <w:rPr>
                <w:rFonts w:eastAsia="Times New Roman" w:cs="Arial"/>
                <w:b/>
                <w:bCs/>
                <w:color w:val="000000"/>
                <w:sz w:val="20"/>
                <w:szCs w:val="20"/>
                <w:lang w:eastAsia="en-GB"/>
              </w:rPr>
              <w:t xml:space="preserve">Participant </w:t>
            </w:r>
          </w:p>
        </w:tc>
        <w:tc>
          <w:tcPr>
            <w:tcW w:w="1786" w:type="dxa"/>
            <w:tcBorders>
              <w:top w:val="single" w:color="auto" w:sz="4" w:space="0"/>
              <w:left w:val="nil"/>
              <w:bottom w:val="nil"/>
              <w:right w:val="single" w:color="auto" w:sz="4" w:space="0"/>
            </w:tcBorders>
            <w:shd w:val="clear" w:color="auto" w:fill="DBE5F1" w:themeFill="accent1" w:themeFillTint="33"/>
            <w:noWrap/>
            <w:vAlign w:val="bottom"/>
            <w:hideMark/>
          </w:tcPr>
          <w:p w:rsidRPr="00DB3165" w:rsidR="00815804" w:rsidP="00DB3165" w:rsidRDefault="00815804" w14:paraId="3228A8FA" w14:textId="5ADA1F85">
            <w:pPr>
              <w:spacing w:after="0" w:line="240" w:lineRule="auto"/>
              <w:jc w:val="center"/>
              <w:rPr>
                <w:rFonts w:eastAsia="Times New Roman" w:cs="Arial"/>
                <w:b/>
                <w:bCs/>
                <w:color w:val="000000"/>
                <w:sz w:val="20"/>
                <w:szCs w:val="20"/>
                <w:lang w:eastAsia="en-GB"/>
              </w:rPr>
            </w:pPr>
            <w:r w:rsidRPr="00DB3165">
              <w:rPr>
                <w:rFonts w:eastAsia="Times New Roman" w:cs="Arial"/>
                <w:b/>
                <w:bCs/>
                <w:color w:val="000000"/>
                <w:sz w:val="20"/>
                <w:szCs w:val="20"/>
                <w:lang w:eastAsia="en-GB"/>
              </w:rPr>
              <w:t xml:space="preserve">Agreed </w:t>
            </w:r>
            <w:r>
              <w:rPr>
                <w:rFonts w:eastAsia="Times New Roman" w:cs="Arial"/>
                <w:b/>
                <w:bCs/>
                <w:color w:val="000000"/>
                <w:sz w:val="20"/>
                <w:szCs w:val="20"/>
                <w:lang w:eastAsia="en-GB"/>
              </w:rPr>
              <w:t xml:space="preserve">Core </w:t>
            </w:r>
            <w:r w:rsidRPr="00DB3165">
              <w:rPr>
                <w:rFonts w:eastAsia="Times New Roman" w:cs="Arial"/>
                <w:b/>
                <w:bCs/>
                <w:color w:val="000000"/>
                <w:sz w:val="20"/>
                <w:szCs w:val="20"/>
                <w:lang w:eastAsia="en-GB"/>
              </w:rPr>
              <w:t>Budget</w:t>
            </w:r>
          </w:p>
        </w:tc>
      </w:tr>
      <w:tr w:rsidRPr="00DB3165" w:rsidR="00815804" w:rsidTr="00815804" w14:paraId="548679A5" w14:textId="6A04FF62">
        <w:trPr>
          <w:trHeight w:val="300"/>
        </w:trPr>
        <w:tc>
          <w:tcPr>
            <w:tcW w:w="2552" w:type="dxa"/>
            <w:tcBorders>
              <w:top w:val="nil"/>
              <w:left w:val="single" w:color="auto" w:sz="4" w:space="0"/>
              <w:bottom w:val="nil"/>
              <w:right w:val="nil"/>
            </w:tcBorders>
            <w:shd w:val="clear" w:color="auto" w:fill="DBE5F1" w:themeFill="accent1" w:themeFillTint="33"/>
            <w:noWrap/>
            <w:vAlign w:val="bottom"/>
            <w:hideMark/>
          </w:tcPr>
          <w:p w:rsidRPr="00DB3165" w:rsidR="00815804" w:rsidP="00DF5009" w:rsidRDefault="00815804" w14:paraId="31BCE304" w14:textId="77777777">
            <w:pPr>
              <w:spacing w:after="0" w:line="240" w:lineRule="auto"/>
              <w:rPr>
                <w:rFonts w:eastAsia="Times New Roman" w:cs="Arial"/>
                <w:b/>
                <w:bCs/>
                <w:color w:val="000000"/>
                <w:sz w:val="20"/>
                <w:szCs w:val="20"/>
                <w:lang w:eastAsia="en-GB"/>
              </w:rPr>
            </w:pPr>
            <w:r w:rsidRPr="00DB3165">
              <w:rPr>
                <w:rFonts w:eastAsia="Times New Roman" w:cs="Arial"/>
                <w:b/>
                <w:bCs/>
                <w:color w:val="000000"/>
                <w:sz w:val="20"/>
                <w:szCs w:val="20"/>
                <w:lang w:eastAsia="en-GB"/>
              </w:rPr>
              <w:t> </w:t>
            </w:r>
          </w:p>
        </w:tc>
        <w:tc>
          <w:tcPr>
            <w:tcW w:w="1650" w:type="dxa"/>
            <w:tcBorders>
              <w:top w:val="nil"/>
              <w:left w:val="single" w:color="auto" w:sz="4" w:space="0"/>
              <w:bottom w:val="nil"/>
              <w:right w:val="single" w:color="auto" w:sz="4" w:space="0"/>
            </w:tcBorders>
            <w:shd w:val="clear" w:color="auto" w:fill="DBE5F1" w:themeFill="accent1" w:themeFillTint="33"/>
            <w:noWrap/>
            <w:vAlign w:val="bottom"/>
            <w:hideMark/>
          </w:tcPr>
          <w:p w:rsidRPr="00DB3165" w:rsidR="00815804" w:rsidP="00DF5009" w:rsidRDefault="00815804" w14:paraId="365DE798" w14:textId="77777777">
            <w:pPr>
              <w:spacing w:after="0" w:line="240" w:lineRule="auto"/>
              <w:jc w:val="center"/>
              <w:rPr>
                <w:rFonts w:eastAsia="Times New Roman" w:cs="Arial"/>
                <w:b/>
                <w:bCs/>
                <w:color w:val="000000"/>
                <w:sz w:val="20"/>
                <w:szCs w:val="20"/>
                <w:lang w:eastAsia="en-GB"/>
              </w:rPr>
            </w:pPr>
            <w:r w:rsidRPr="00DB3165">
              <w:rPr>
                <w:rFonts w:eastAsia="Times New Roman" w:cs="Arial"/>
                <w:b/>
                <w:bCs/>
                <w:color w:val="000000"/>
                <w:sz w:val="20"/>
                <w:szCs w:val="20"/>
                <w:lang w:eastAsia="en-GB"/>
              </w:rPr>
              <w:t>Apportionment</w:t>
            </w:r>
          </w:p>
        </w:tc>
        <w:tc>
          <w:tcPr>
            <w:tcW w:w="1786" w:type="dxa"/>
            <w:tcBorders>
              <w:top w:val="nil"/>
              <w:left w:val="nil"/>
              <w:bottom w:val="nil"/>
              <w:right w:val="single" w:color="auto" w:sz="4" w:space="0"/>
            </w:tcBorders>
            <w:shd w:val="clear" w:color="auto" w:fill="DBE5F1" w:themeFill="accent1" w:themeFillTint="33"/>
            <w:noWrap/>
            <w:vAlign w:val="bottom"/>
            <w:hideMark/>
          </w:tcPr>
          <w:p w:rsidRPr="00DB3165" w:rsidR="00815804" w:rsidP="00DB5535" w:rsidRDefault="00815804" w14:paraId="6E231FC3" w14:textId="5525CD5B">
            <w:pPr>
              <w:spacing w:after="0" w:line="240" w:lineRule="auto"/>
              <w:jc w:val="center"/>
              <w:rPr>
                <w:rFonts w:eastAsia="Times New Roman" w:cs="Arial"/>
                <w:b/>
                <w:bCs/>
                <w:color w:val="000000"/>
                <w:sz w:val="20"/>
                <w:szCs w:val="20"/>
                <w:lang w:eastAsia="en-GB"/>
              </w:rPr>
            </w:pPr>
            <w:r w:rsidRPr="00DB3165">
              <w:rPr>
                <w:rFonts w:eastAsia="Times New Roman" w:cs="Arial"/>
                <w:b/>
                <w:bCs/>
                <w:color w:val="000000"/>
                <w:sz w:val="20"/>
                <w:szCs w:val="20"/>
                <w:lang w:eastAsia="en-GB"/>
              </w:rPr>
              <w:t>2022/23</w:t>
            </w:r>
          </w:p>
        </w:tc>
      </w:tr>
      <w:tr w:rsidRPr="00DB3165" w:rsidR="00815804" w:rsidTr="00815804" w14:paraId="3B89BD2D" w14:textId="3A5034F7">
        <w:trPr>
          <w:trHeight w:val="300"/>
        </w:trPr>
        <w:tc>
          <w:tcPr>
            <w:tcW w:w="2552" w:type="dxa"/>
            <w:tcBorders>
              <w:top w:val="nil"/>
              <w:left w:val="single" w:color="auto" w:sz="4" w:space="0"/>
              <w:bottom w:val="single" w:color="auto" w:sz="4" w:space="0"/>
              <w:right w:val="nil"/>
            </w:tcBorders>
            <w:shd w:val="clear" w:color="auto" w:fill="DBE5F1" w:themeFill="accent1" w:themeFillTint="33"/>
            <w:noWrap/>
            <w:vAlign w:val="bottom"/>
          </w:tcPr>
          <w:p w:rsidRPr="00DB3165" w:rsidR="00815804" w:rsidP="00DF5009" w:rsidRDefault="00815804" w14:paraId="45F587E2" w14:textId="77777777">
            <w:pPr>
              <w:spacing w:after="0" w:line="240" w:lineRule="auto"/>
              <w:rPr>
                <w:rFonts w:eastAsia="Times New Roman" w:cs="Arial"/>
                <w:b/>
                <w:bCs/>
                <w:color w:val="000000"/>
                <w:sz w:val="20"/>
                <w:szCs w:val="20"/>
                <w:lang w:eastAsia="en-GB"/>
              </w:rPr>
            </w:pPr>
            <w:r w:rsidRPr="00DB3165">
              <w:rPr>
                <w:rFonts w:eastAsia="Times New Roman" w:cs="Arial"/>
                <w:b/>
                <w:bCs/>
                <w:color w:val="000000"/>
                <w:sz w:val="20"/>
                <w:szCs w:val="20"/>
                <w:lang w:eastAsia="en-GB"/>
              </w:rPr>
              <w:t> </w:t>
            </w:r>
          </w:p>
        </w:tc>
        <w:tc>
          <w:tcPr>
            <w:tcW w:w="1650" w:type="dxa"/>
            <w:tcBorders>
              <w:top w:val="nil"/>
              <w:left w:val="single" w:color="auto" w:sz="4" w:space="0"/>
              <w:bottom w:val="single" w:color="auto" w:sz="4" w:space="0"/>
              <w:right w:val="single" w:color="auto" w:sz="4" w:space="0"/>
            </w:tcBorders>
            <w:shd w:val="clear" w:color="auto" w:fill="DBE5F1" w:themeFill="accent1" w:themeFillTint="33"/>
            <w:noWrap/>
            <w:vAlign w:val="bottom"/>
          </w:tcPr>
          <w:p w:rsidRPr="00DB3165" w:rsidR="00815804" w:rsidP="00DF5009" w:rsidRDefault="00815804" w14:paraId="776AB3E0" w14:textId="77777777">
            <w:pPr>
              <w:spacing w:after="0" w:line="240" w:lineRule="auto"/>
              <w:jc w:val="center"/>
              <w:rPr>
                <w:rFonts w:eastAsia="Times New Roman" w:cs="Arial"/>
                <w:b/>
                <w:bCs/>
                <w:color w:val="000000"/>
                <w:sz w:val="20"/>
                <w:szCs w:val="20"/>
                <w:lang w:eastAsia="en-GB"/>
              </w:rPr>
            </w:pPr>
            <w:r w:rsidRPr="00DB3165">
              <w:rPr>
                <w:rFonts w:eastAsia="Times New Roman" w:cs="Arial"/>
                <w:b/>
                <w:bCs/>
                <w:color w:val="000000"/>
                <w:sz w:val="20"/>
                <w:szCs w:val="20"/>
                <w:lang w:eastAsia="en-GB"/>
              </w:rPr>
              <w:t>%</w:t>
            </w:r>
          </w:p>
        </w:tc>
        <w:tc>
          <w:tcPr>
            <w:tcW w:w="1786" w:type="dxa"/>
            <w:tcBorders>
              <w:top w:val="nil"/>
              <w:left w:val="nil"/>
              <w:bottom w:val="single" w:color="auto" w:sz="4" w:space="0"/>
              <w:right w:val="single" w:color="auto" w:sz="4" w:space="0"/>
            </w:tcBorders>
            <w:shd w:val="clear" w:color="auto" w:fill="DBE5F1" w:themeFill="accent1" w:themeFillTint="33"/>
            <w:noWrap/>
            <w:vAlign w:val="bottom"/>
          </w:tcPr>
          <w:p w:rsidRPr="00DB3165" w:rsidR="00815804" w:rsidP="00DB5535" w:rsidRDefault="00815804" w14:paraId="754A396B" w14:textId="77777777">
            <w:pPr>
              <w:spacing w:after="0" w:line="240" w:lineRule="auto"/>
              <w:jc w:val="center"/>
              <w:rPr>
                <w:rFonts w:eastAsia="Times New Roman" w:cs="Arial"/>
                <w:b/>
                <w:bCs/>
                <w:color w:val="000000"/>
                <w:sz w:val="20"/>
                <w:szCs w:val="20"/>
                <w:lang w:eastAsia="en-GB"/>
              </w:rPr>
            </w:pPr>
            <w:r w:rsidRPr="00DB3165">
              <w:rPr>
                <w:rFonts w:eastAsia="Times New Roman" w:cs="Arial"/>
                <w:b/>
                <w:bCs/>
                <w:color w:val="000000"/>
                <w:sz w:val="20"/>
                <w:szCs w:val="20"/>
                <w:lang w:eastAsia="en-GB"/>
              </w:rPr>
              <w:t>£'000</w:t>
            </w:r>
          </w:p>
        </w:tc>
      </w:tr>
      <w:tr w:rsidRPr="00DB3165" w:rsidR="00815804" w:rsidTr="00815804" w14:paraId="4E02493A" w14:textId="2BCA2DFA">
        <w:trPr>
          <w:trHeight w:val="300"/>
        </w:trPr>
        <w:tc>
          <w:tcPr>
            <w:tcW w:w="2552" w:type="dxa"/>
            <w:tcBorders>
              <w:top w:val="nil"/>
              <w:left w:val="single" w:color="auto" w:sz="4" w:space="0"/>
              <w:bottom w:val="nil"/>
              <w:right w:val="nil"/>
            </w:tcBorders>
            <w:shd w:val="clear" w:color="auto" w:fill="auto"/>
            <w:noWrap/>
            <w:vAlign w:val="bottom"/>
            <w:hideMark/>
          </w:tcPr>
          <w:p w:rsidRPr="00DB3165" w:rsidR="00815804" w:rsidP="00DF5009" w:rsidRDefault="00815804" w14:paraId="2E2B3234" w14:textId="2D7269DB">
            <w:pPr>
              <w:spacing w:after="0" w:line="240" w:lineRule="auto"/>
              <w:rPr>
                <w:rFonts w:eastAsia="Times New Roman" w:cs="Arial"/>
                <w:b/>
                <w:bCs/>
                <w:color w:val="000000"/>
                <w:sz w:val="20"/>
                <w:szCs w:val="20"/>
                <w:lang w:eastAsia="en-GB"/>
              </w:rPr>
            </w:pPr>
            <w:r w:rsidRPr="00DB3165">
              <w:rPr>
                <w:rFonts w:eastAsia="Times New Roman" w:cs="Arial"/>
                <w:color w:val="000000"/>
                <w:sz w:val="20"/>
                <w:szCs w:val="20"/>
                <w:lang w:eastAsia="en-GB"/>
              </w:rPr>
              <w:t>City and County of Cardiff</w:t>
            </w:r>
          </w:p>
        </w:tc>
        <w:tc>
          <w:tcPr>
            <w:tcW w:w="1650" w:type="dxa"/>
            <w:tcBorders>
              <w:top w:val="nil"/>
              <w:left w:val="single" w:color="auto" w:sz="4" w:space="0"/>
              <w:bottom w:val="nil"/>
              <w:right w:val="single" w:color="auto" w:sz="4" w:space="0"/>
            </w:tcBorders>
            <w:shd w:val="clear" w:color="auto" w:fill="auto"/>
            <w:noWrap/>
            <w:vAlign w:val="bottom"/>
            <w:hideMark/>
          </w:tcPr>
          <w:p w:rsidRPr="00DB3165" w:rsidR="00815804" w:rsidP="00DF5009" w:rsidRDefault="00815804" w14:paraId="4A31B9F9" w14:textId="3C1E44AC">
            <w:pPr>
              <w:spacing w:after="0" w:line="240" w:lineRule="auto"/>
              <w:jc w:val="center"/>
              <w:rPr>
                <w:rFonts w:eastAsia="Times New Roman" w:cs="Arial"/>
                <w:b/>
                <w:bCs/>
                <w:color w:val="000000"/>
                <w:sz w:val="20"/>
                <w:szCs w:val="20"/>
                <w:lang w:eastAsia="en-GB"/>
              </w:rPr>
            </w:pPr>
            <w:r w:rsidRPr="00DB3165">
              <w:rPr>
                <w:rFonts w:eastAsia="Times New Roman" w:cs="Arial"/>
                <w:color w:val="000000"/>
                <w:sz w:val="20"/>
                <w:szCs w:val="20"/>
                <w:lang w:eastAsia="en-GB"/>
              </w:rPr>
              <w:t>40.5%</w:t>
            </w:r>
          </w:p>
        </w:tc>
        <w:tc>
          <w:tcPr>
            <w:tcW w:w="1786" w:type="dxa"/>
            <w:tcBorders>
              <w:top w:val="nil"/>
              <w:left w:val="nil"/>
              <w:bottom w:val="nil"/>
              <w:right w:val="single" w:color="auto" w:sz="4" w:space="0"/>
            </w:tcBorders>
            <w:shd w:val="clear" w:color="auto" w:fill="auto"/>
            <w:noWrap/>
            <w:vAlign w:val="bottom"/>
            <w:hideMark/>
          </w:tcPr>
          <w:p w:rsidRPr="00DB3165" w:rsidR="00815804" w:rsidP="00DF5009" w:rsidRDefault="00815804" w14:paraId="49369516" w14:textId="10654DFD">
            <w:pPr>
              <w:spacing w:after="0" w:line="240" w:lineRule="auto"/>
              <w:jc w:val="center"/>
              <w:rPr>
                <w:rFonts w:eastAsia="Times New Roman" w:cs="Arial"/>
                <w:b/>
                <w:bCs/>
                <w:color w:val="000000"/>
                <w:sz w:val="20"/>
                <w:szCs w:val="20"/>
                <w:lang w:eastAsia="en-GB"/>
              </w:rPr>
            </w:pPr>
            <w:r w:rsidRPr="00DB3165">
              <w:rPr>
                <w:rFonts w:eastAsia="Times New Roman" w:cs="Arial"/>
                <w:color w:val="000000"/>
                <w:sz w:val="20"/>
                <w:szCs w:val="20"/>
                <w:lang w:eastAsia="en-GB"/>
              </w:rPr>
              <w:t xml:space="preserve">                      778</w:t>
            </w:r>
          </w:p>
        </w:tc>
      </w:tr>
      <w:tr w:rsidRPr="00DB3165" w:rsidR="00815804" w:rsidTr="00815804" w14:paraId="4E9F1D03" w14:textId="273BC402">
        <w:trPr>
          <w:trHeight w:val="300"/>
        </w:trPr>
        <w:tc>
          <w:tcPr>
            <w:tcW w:w="2552" w:type="dxa"/>
            <w:tcBorders>
              <w:top w:val="nil"/>
              <w:left w:val="single" w:color="auto" w:sz="4" w:space="0"/>
              <w:bottom w:val="nil"/>
              <w:right w:val="nil"/>
            </w:tcBorders>
            <w:shd w:val="clear" w:color="auto" w:fill="auto"/>
            <w:noWrap/>
            <w:vAlign w:val="bottom"/>
          </w:tcPr>
          <w:p w:rsidRPr="00DB3165" w:rsidR="00815804" w:rsidP="00DF5009" w:rsidRDefault="00815804" w14:paraId="6F1ED0C3" w14:textId="52E34324">
            <w:pPr>
              <w:spacing w:after="0" w:line="240" w:lineRule="auto"/>
              <w:rPr>
                <w:rFonts w:eastAsia="Times New Roman" w:cs="Arial"/>
                <w:color w:val="000000"/>
                <w:sz w:val="20"/>
                <w:szCs w:val="20"/>
                <w:lang w:eastAsia="en-GB"/>
              </w:rPr>
            </w:pPr>
            <w:r w:rsidRPr="00DB3165">
              <w:rPr>
                <w:rFonts w:eastAsia="Times New Roman" w:cs="Arial"/>
                <w:color w:val="000000"/>
                <w:sz w:val="20"/>
                <w:szCs w:val="20"/>
                <w:lang w:eastAsia="en-GB"/>
              </w:rPr>
              <w:t>Vale of Glamorgan</w:t>
            </w:r>
          </w:p>
        </w:tc>
        <w:tc>
          <w:tcPr>
            <w:tcW w:w="1650" w:type="dxa"/>
            <w:tcBorders>
              <w:top w:val="nil"/>
              <w:left w:val="single" w:color="auto" w:sz="4" w:space="0"/>
              <w:bottom w:val="nil"/>
              <w:right w:val="single" w:color="auto" w:sz="4" w:space="0"/>
            </w:tcBorders>
            <w:shd w:val="clear" w:color="auto" w:fill="auto"/>
            <w:noWrap/>
            <w:vAlign w:val="bottom"/>
          </w:tcPr>
          <w:p w:rsidRPr="00DB3165" w:rsidR="00815804" w:rsidP="00DF5009" w:rsidRDefault="00815804" w14:paraId="0C3BBBDC" w14:textId="703D57EB">
            <w:pPr>
              <w:spacing w:after="0" w:line="240" w:lineRule="auto"/>
              <w:jc w:val="center"/>
              <w:rPr>
                <w:rFonts w:eastAsia="Times New Roman" w:cs="Arial"/>
                <w:color w:val="000000"/>
                <w:sz w:val="20"/>
                <w:szCs w:val="20"/>
                <w:lang w:eastAsia="en-GB"/>
              </w:rPr>
            </w:pPr>
            <w:r w:rsidRPr="00DB3165">
              <w:rPr>
                <w:rFonts w:eastAsia="Times New Roman" w:cs="Arial"/>
                <w:color w:val="000000"/>
                <w:sz w:val="20"/>
                <w:szCs w:val="20"/>
                <w:lang w:eastAsia="en-GB"/>
              </w:rPr>
              <w:t>15.5%</w:t>
            </w:r>
          </w:p>
        </w:tc>
        <w:tc>
          <w:tcPr>
            <w:tcW w:w="1786" w:type="dxa"/>
            <w:tcBorders>
              <w:top w:val="nil"/>
              <w:left w:val="nil"/>
              <w:bottom w:val="nil"/>
              <w:right w:val="single" w:color="auto" w:sz="4" w:space="0"/>
            </w:tcBorders>
            <w:shd w:val="clear" w:color="auto" w:fill="auto"/>
            <w:noWrap/>
            <w:vAlign w:val="bottom"/>
          </w:tcPr>
          <w:p w:rsidRPr="00DB3165" w:rsidR="00815804" w:rsidP="00CE75B9" w:rsidRDefault="00815804" w14:paraId="2A490705" w14:textId="261610EE">
            <w:pPr>
              <w:spacing w:after="0" w:line="240" w:lineRule="auto"/>
              <w:jc w:val="right"/>
              <w:rPr>
                <w:rFonts w:eastAsia="Times New Roman" w:cs="Arial"/>
                <w:color w:val="000000"/>
                <w:sz w:val="20"/>
                <w:szCs w:val="20"/>
                <w:lang w:eastAsia="en-GB"/>
              </w:rPr>
            </w:pPr>
            <w:r w:rsidRPr="00DB3165">
              <w:rPr>
                <w:rFonts w:eastAsia="Times New Roman" w:cs="Arial"/>
                <w:color w:val="000000"/>
                <w:sz w:val="20"/>
                <w:szCs w:val="20"/>
                <w:lang w:eastAsia="en-GB"/>
              </w:rPr>
              <w:t>297</w:t>
            </w:r>
          </w:p>
        </w:tc>
      </w:tr>
      <w:tr w:rsidRPr="00DB3165" w:rsidR="00815804" w:rsidTr="00815804" w14:paraId="0EDA07FE" w14:textId="07153911">
        <w:trPr>
          <w:trHeight w:val="300"/>
        </w:trPr>
        <w:tc>
          <w:tcPr>
            <w:tcW w:w="2552" w:type="dxa"/>
            <w:tcBorders>
              <w:top w:val="nil"/>
              <w:left w:val="single" w:color="auto" w:sz="4" w:space="0"/>
              <w:bottom w:val="nil"/>
              <w:right w:val="nil"/>
            </w:tcBorders>
            <w:shd w:val="clear" w:color="auto" w:fill="auto"/>
            <w:noWrap/>
            <w:vAlign w:val="bottom"/>
            <w:hideMark/>
          </w:tcPr>
          <w:p w:rsidRPr="00DB3165" w:rsidR="00815804" w:rsidP="00DF5009" w:rsidRDefault="00815804" w14:paraId="48C026E9" w14:textId="2C864B80">
            <w:pPr>
              <w:spacing w:after="0" w:line="240" w:lineRule="auto"/>
              <w:rPr>
                <w:rFonts w:eastAsia="Times New Roman" w:cs="Arial"/>
                <w:color w:val="000000"/>
                <w:sz w:val="20"/>
                <w:szCs w:val="20"/>
                <w:lang w:eastAsia="en-GB"/>
              </w:rPr>
            </w:pPr>
            <w:r w:rsidRPr="00DB3165">
              <w:rPr>
                <w:rFonts w:eastAsia="Times New Roman" w:cs="Arial"/>
                <w:color w:val="000000"/>
                <w:sz w:val="20"/>
                <w:szCs w:val="20"/>
                <w:lang w:eastAsia="en-GB"/>
              </w:rPr>
              <w:t>Merthyr Tydfil CBC</w:t>
            </w:r>
          </w:p>
        </w:tc>
        <w:tc>
          <w:tcPr>
            <w:tcW w:w="1650" w:type="dxa"/>
            <w:tcBorders>
              <w:top w:val="nil"/>
              <w:left w:val="single" w:color="auto" w:sz="4" w:space="0"/>
              <w:bottom w:val="nil"/>
              <w:right w:val="single" w:color="auto" w:sz="4" w:space="0"/>
            </w:tcBorders>
            <w:shd w:val="clear" w:color="auto" w:fill="auto"/>
            <w:noWrap/>
            <w:vAlign w:val="bottom"/>
            <w:hideMark/>
          </w:tcPr>
          <w:p w:rsidRPr="00DB3165" w:rsidR="00815804" w:rsidP="00DF5009" w:rsidRDefault="00815804" w14:paraId="0EA1A79E" w14:textId="7C62BF9D">
            <w:pPr>
              <w:spacing w:after="0" w:line="240" w:lineRule="auto"/>
              <w:jc w:val="center"/>
              <w:rPr>
                <w:rFonts w:eastAsia="Times New Roman" w:cs="Arial"/>
                <w:color w:val="000000"/>
                <w:sz w:val="20"/>
                <w:szCs w:val="20"/>
                <w:lang w:eastAsia="en-GB"/>
              </w:rPr>
            </w:pPr>
            <w:r w:rsidRPr="00DB3165">
              <w:rPr>
                <w:rFonts w:eastAsia="Times New Roman" w:cs="Arial"/>
                <w:color w:val="000000"/>
                <w:sz w:val="20"/>
                <w:szCs w:val="20"/>
                <w:lang w:eastAsia="en-GB"/>
              </w:rPr>
              <w:t>12.6%</w:t>
            </w:r>
          </w:p>
        </w:tc>
        <w:tc>
          <w:tcPr>
            <w:tcW w:w="1786" w:type="dxa"/>
            <w:tcBorders>
              <w:top w:val="nil"/>
              <w:left w:val="nil"/>
              <w:bottom w:val="nil"/>
              <w:right w:val="single" w:color="auto" w:sz="4" w:space="0"/>
            </w:tcBorders>
            <w:shd w:val="clear" w:color="auto" w:fill="auto"/>
            <w:noWrap/>
            <w:vAlign w:val="bottom"/>
            <w:hideMark/>
          </w:tcPr>
          <w:p w:rsidRPr="00DB3165" w:rsidR="00815804" w:rsidP="00CE75B9" w:rsidRDefault="00815804" w14:paraId="080A5135" w14:textId="4419418B">
            <w:pPr>
              <w:spacing w:after="0" w:line="240" w:lineRule="auto"/>
              <w:jc w:val="right"/>
              <w:rPr>
                <w:rFonts w:eastAsia="Times New Roman" w:cs="Arial"/>
                <w:color w:val="000000"/>
                <w:sz w:val="20"/>
                <w:szCs w:val="20"/>
                <w:lang w:eastAsia="en-GB"/>
              </w:rPr>
            </w:pPr>
            <w:r w:rsidRPr="00DB3165">
              <w:rPr>
                <w:rFonts w:eastAsia="Times New Roman" w:cs="Arial"/>
                <w:color w:val="000000"/>
                <w:sz w:val="20"/>
                <w:szCs w:val="20"/>
                <w:lang w:eastAsia="en-GB"/>
              </w:rPr>
              <w:t>243</w:t>
            </w:r>
          </w:p>
        </w:tc>
      </w:tr>
      <w:tr w:rsidRPr="00DB3165" w:rsidR="00815804" w:rsidTr="00815804" w14:paraId="07241F6F" w14:textId="73640C60">
        <w:trPr>
          <w:trHeight w:val="300"/>
        </w:trPr>
        <w:tc>
          <w:tcPr>
            <w:tcW w:w="2552" w:type="dxa"/>
            <w:tcBorders>
              <w:top w:val="nil"/>
              <w:left w:val="single" w:color="auto" w:sz="4" w:space="0"/>
              <w:bottom w:val="single" w:color="auto" w:sz="4" w:space="0"/>
              <w:right w:val="nil"/>
            </w:tcBorders>
            <w:shd w:val="clear" w:color="auto" w:fill="auto"/>
            <w:noWrap/>
            <w:vAlign w:val="bottom"/>
            <w:hideMark/>
          </w:tcPr>
          <w:p w:rsidRPr="00DB3165" w:rsidR="00815804" w:rsidP="00DF5009" w:rsidRDefault="00815804" w14:paraId="5D71556B" w14:textId="49489FB7">
            <w:pPr>
              <w:spacing w:after="0" w:line="240" w:lineRule="auto"/>
              <w:rPr>
                <w:rFonts w:eastAsia="Times New Roman" w:cs="Arial"/>
                <w:color w:val="000000"/>
                <w:sz w:val="20"/>
                <w:szCs w:val="20"/>
                <w:lang w:eastAsia="en-GB"/>
              </w:rPr>
            </w:pPr>
            <w:r w:rsidRPr="00DB3165">
              <w:rPr>
                <w:rFonts w:eastAsia="Times New Roman" w:cs="Arial"/>
                <w:color w:val="000000"/>
                <w:sz w:val="20"/>
                <w:szCs w:val="20"/>
                <w:lang w:eastAsia="en-GB"/>
              </w:rPr>
              <w:t>Rhondda Cynon Taff CBC</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DB3165" w:rsidR="00815804" w:rsidP="00DF5009" w:rsidRDefault="00815804" w14:paraId="5FE6C1E9" w14:textId="0A0E5C21">
            <w:pPr>
              <w:spacing w:after="0" w:line="240" w:lineRule="auto"/>
              <w:jc w:val="center"/>
              <w:rPr>
                <w:rFonts w:eastAsia="Times New Roman" w:cs="Arial"/>
                <w:color w:val="000000"/>
                <w:sz w:val="20"/>
                <w:szCs w:val="20"/>
                <w:lang w:eastAsia="en-GB"/>
              </w:rPr>
            </w:pPr>
            <w:r w:rsidRPr="00DB3165">
              <w:rPr>
                <w:rFonts w:eastAsia="Times New Roman" w:cs="Arial"/>
                <w:color w:val="000000"/>
                <w:sz w:val="20"/>
                <w:szCs w:val="20"/>
                <w:lang w:eastAsia="en-GB"/>
              </w:rPr>
              <w:t xml:space="preserve">  31.4%</w:t>
            </w:r>
          </w:p>
        </w:tc>
        <w:tc>
          <w:tcPr>
            <w:tcW w:w="1786" w:type="dxa"/>
            <w:tcBorders>
              <w:top w:val="nil"/>
              <w:left w:val="nil"/>
              <w:bottom w:val="single" w:color="auto" w:sz="4" w:space="0"/>
              <w:right w:val="single" w:color="auto" w:sz="4" w:space="0"/>
            </w:tcBorders>
            <w:shd w:val="clear" w:color="auto" w:fill="auto"/>
            <w:noWrap/>
            <w:vAlign w:val="bottom"/>
            <w:hideMark/>
          </w:tcPr>
          <w:p w:rsidRPr="00DB3165" w:rsidR="00815804" w:rsidP="00CE75B9" w:rsidRDefault="00815804" w14:paraId="066FB94B" w14:textId="245EBC3C">
            <w:pPr>
              <w:spacing w:after="0" w:line="240" w:lineRule="auto"/>
              <w:jc w:val="right"/>
              <w:rPr>
                <w:rFonts w:eastAsia="Times New Roman" w:cs="Arial"/>
                <w:color w:val="000000"/>
                <w:sz w:val="20"/>
                <w:szCs w:val="20"/>
                <w:lang w:eastAsia="en-GB"/>
              </w:rPr>
            </w:pPr>
            <w:r w:rsidRPr="00DB3165">
              <w:rPr>
                <w:rFonts w:eastAsia="Times New Roman" w:cs="Arial"/>
                <w:color w:val="000000"/>
                <w:sz w:val="20"/>
                <w:szCs w:val="20"/>
                <w:lang w:eastAsia="en-GB"/>
              </w:rPr>
              <w:t>603</w:t>
            </w:r>
          </w:p>
        </w:tc>
      </w:tr>
      <w:tr w:rsidRPr="00DB3165" w:rsidR="00815804" w:rsidTr="00815804" w14:paraId="5F4EFA56" w14:textId="6B24A1CB">
        <w:trPr>
          <w:trHeight w:val="300"/>
        </w:trPr>
        <w:tc>
          <w:tcPr>
            <w:tcW w:w="2552" w:type="dxa"/>
            <w:tcBorders>
              <w:top w:val="nil"/>
              <w:left w:val="single" w:color="auto" w:sz="4" w:space="0"/>
              <w:bottom w:val="single" w:color="auto" w:sz="4" w:space="0"/>
              <w:right w:val="nil"/>
            </w:tcBorders>
            <w:shd w:val="clear" w:color="auto" w:fill="DBE5F1" w:themeFill="accent1" w:themeFillTint="33"/>
            <w:noWrap/>
            <w:vAlign w:val="bottom"/>
            <w:hideMark/>
          </w:tcPr>
          <w:p w:rsidRPr="00DB3165" w:rsidR="00815804" w:rsidP="00DF5009" w:rsidRDefault="00815804" w14:paraId="0FD686BF" w14:textId="77777777">
            <w:pPr>
              <w:spacing w:after="0" w:line="240" w:lineRule="auto"/>
              <w:rPr>
                <w:rFonts w:eastAsia="Times New Roman" w:cs="Arial"/>
                <w:color w:val="000000"/>
                <w:sz w:val="20"/>
                <w:szCs w:val="20"/>
                <w:lang w:eastAsia="en-GB"/>
              </w:rPr>
            </w:pPr>
            <w:r w:rsidRPr="00DB3165">
              <w:rPr>
                <w:rFonts w:eastAsia="Times New Roman" w:cs="Arial"/>
                <w:b/>
                <w:bCs/>
                <w:color w:val="000000"/>
                <w:sz w:val="20"/>
                <w:szCs w:val="20"/>
                <w:lang w:eastAsia="en-GB"/>
              </w:rPr>
              <w:t>Total</w:t>
            </w:r>
          </w:p>
        </w:tc>
        <w:tc>
          <w:tcPr>
            <w:tcW w:w="1650"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DB3165" w:rsidR="00815804" w:rsidP="00DF5009" w:rsidRDefault="00815804" w14:paraId="33FC0150" w14:textId="77777777">
            <w:pPr>
              <w:spacing w:after="0" w:line="240" w:lineRule="auto"/>
              <w:jc w:val="center"/>
              <w:rPr>
                <w:rFonts w:eastAsia="Times New Roman" w:cs="Arial"/>
                <w:color w:val="000000"/>
                <w:sz w:val="20"/>
                <w:szCs w:val="20"/>
                <w:lang w:eastAsia="en-GB"/>
              </w:rPr>
            </w:pPr>
            <w:r w:rsidRPr="00DB3165">
              <w:rPr>
                <w:rFonts w:eastAsia="Times New Roman" w:cs="Arial"/>
                <w:b/>
                <w:bCs/>
                <w:color w:val="000000"/>
                <w:sz w:val="20"/>
                <w:szCs w:val="20"/>
                <w:lang w:eastAsia="en-GB"/>
              </w:rPr>
              <w:t>100.00%</w:t>
            </w:r>
          </w:p>
        </w:tc>
        <w:tc>
          <w:tcPr>
            <w:tcW w:w="1786" w:type="dxa"/>
            <w:tcBorders>
              <w:top w:val="nil"/>
              <w:left w:val="nil"/>
              <w:bottom w:val="single" w:color="auto" w:sz="4" w:space="0"/>
              <w:right w:val="single" w:color="auto" w:sz="4" w:space="0"/>
            </w:tcBorders>
            <w:shd w:val="clear" w:color="auto" w:fill="DBE5F1" w:themeFill="accent1" w:themeFillTint="33"/>
            <w:noWrap/>
            <w:vAlign w:val="bottom"/>
            <w:hideMark/>
          </w:tcPr>
          <w:p w:rsidRPr="00DB3165" w:rsidR="00815804" w:rsidP="00CE75B9" w:rsidRDefault="00815804" w14:paraId="60B6C922" w14:textId="194AE414">
            <w:pPr>
              <w:spacing w:after="0" w:line="240" w:lineRule="auto"/>
              <w:jc w:val="right"/>
              <w:rPr>
                <w:rFonts w:eastAsia="Times New Roman" w:cs="Arial"/>
                <w:b/>
                <w:bCs/>
                <w:color w:val="000000"/>
                <w:sz w:val="20"/>
                <w:szCs w:val="20"/>
                <w:lang w:eastAsia="en-GB"/>
              </w:rPr>
            </w:pPr>
            <w:r w:rsidRPr="00DB3165">
              <w:rPr>
                <w:rFonts w:eastAsia="Times New Roman" w:cs="Arial"/>
                <w:b/>
                <w:bCs/>
                <w:color w:val="000000"/>
                <w:sz w:val="20"/>
                <w:szCs w:val="20"/>
                <w:lang w:eastAsia="en-GB"/>
              </w:rPr>
              <w:t>1,921</w:t>
            </w:r>
          </w:p>
        </w:tc>
      </w:tr>
    </w:tbl>
    <w:p w:rsidR="0046480A" w:rsidP="009D3B72" w:rsidRDefault="0046480A" w14:paraId="73E69F0A" w14:textId="2025A92A">
      <w:pPr>
        <w:jc w:val="both"/>
        <w:rPr>
          <w:rFonts w:cs="Arial"/>
        </w:rPr>
      </w:pPr>
    </w:p>
    <w:p w:rsidRPr="00772CBF" w:rsidR="00815804" w:rsidP="009D3B72" w:rsidRDefault="00815804" w14:paraId="5FD777AA" w14:textId="2F726E88">
      <w:pPr>
        <w:jc w:val="both"/>
        <w:rPr>
          <w:rFonts w:cs="Arial"/>
        </w:rPr>
      </w:pPr>
      <w:r w:rsidRPr="00772CBF">
        <w:rPr>
          <w:rFonts w:cs="Arial"/>
        </w:rPr>
        <w:t>The agreed use of reserves budget of £149k is in addition to the above and is funded from previous years underspends that have been transferred into a reserve.</w:t>
      </w:r>
    </w:p>
    <w:p w:rsidRPr="00772CBF" w:rsidR="001E735B" w:rsidP="009D3B72" w:rsidRDefault="001E735B" w14:paraId="5407366A" w14:textId="2B157AE7">
      <w:pPr>
        <w:jc w:val="both"/>
        <w:rPr>
          <w:rFonts w:cs="Arial"/>
        </w:rPr>
      </w:pPr>
      <w:r w:rsidRPr="00772CBF">
        <w:rPr>
          <w:rFonts w:cs="Arial"/>
        </w:rPr>
        <w:t xml:space="preserve">The service has been awarded an Adoption Services grant from Welsh Government of £537k.  The grant is to be claimed by the </w:t>
      </w:r>
      <w:r w:rsidRPr="00386566" w:rsidR="00386566">
        <w:rPr>
          <w:bCs/>
        </w:rPr>
        <w:t xml:space="preserve">VVC </w:t>
      </w:r>
      <w:r w:rsidRPr="00772CBF">
        <w:rPr>
          <w:rFonts w:cs="Arial"/>
        </w:rPr>
        <w:t>from National Adoption Service (NAS).  The allocation is to be distributed to partners as shown in the table below.</w:t>
      </w:r>
    </w:p>
    <w:tbl>
      <w:tblPr>
        <w:tblW w:w="4202" w:type="dxa"/>
        <w:tblInd w:w="-5" w:type="dxa"/>
        <w:tblLook w:val="04A0" w:firstRow="1" w:lastRow="0" w:firstColumn="1" w:lastColumn="0" w:noHBand="0" w:noVBand="1"/>
      </w:tblPr>
      <w:tblGrid>
        <w:gridCol w:w="2552"/>
        <w:gridCol w:w="1650"/>
      </w:tblGrid>
      <w:tr w:rsidRPr="00DB3165" w:rsidR="001E735B" w:rsidTr="001E735B" w14:paraId="7747EDB7" w14:textId="77777777">
        <w:trPr>
          <w:trHeight w:val="300"/>
        </w:trPr>
        <w:tc>
          <w:tcPr>
            <w:tcW w:w="2552" w:type="dxa"/>
            <w:tcBorders>
              <w:top w:val="single" w:color="auto" w:sz="4" w:space="0"/>
              <w:left w:val="single" w:color="auto" w:sz="4" w:space="0"/>
              <w:bottom w:val="nil"/>
              <w:right w:val="nil"/>
            </w:tcBorders>
            <w:shd w:val="clear" w:color="auto" w:fill="DBE5F1" w:themeFill="accent1" w:themeFillTint="33"/>
            <w:noWrap/>
            <w:vAlign w:val="bottom"/>
            <w:hideMark/>
          </w:tcPr>
          <w:p w:rsidRPr="00DB3165" w:rsidR="001E735B" w:rsidP="00C65763" w:rsidRDefault="001E735B" w14:paraId="32C9C8A9" w14:textId="1C8FE899">
            <w:pPr>
              <w:spacing w:after="0" w:line="240" w:lineRule="auto"/>
              <w:jc w:val="center"/>
              <w:rPr>
                <w:rFonts w:eastAsia="Times New Roman" w:cs="Arial"/>
                <w:b/>
                <w:bCs/>
                <w:color w:val="000000"/>
                <w:sz w:val="20"/>
                <w:szCs w:val="20"/>
                <w:lang w:eastAsia="en-GB"/>
              </w:rPr>
            </w:pPr>
          </w:p>
        </w:tc>
        <w:tc>
          <w:tcPr>
            <w:tcW w:w="1650"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DB3165" w:rsidR="001E735B" w:rsidP="001E735B" w:rsidRDefault="001E735B" w14:paraId="0223D35D" w14:textId="158ED833">
            <w:pPr>
              <w:spacing w:after="0" w:line="240" w:lineRule="auto"/>
              <w:rPr>
                <w:rFonts w:eastAsia="Times New Roman" w:cs="Arial"/>
                <w:b/>
                <w:bCs/>
                <w:color w:val="000000"/>
                <w:sz w:val="20"/>
                <w:szCs w:val="20"/>
                <w:lang w:eastAsia="en-GB"/>
              </w:rPr>
            </w:pPr>
            <w:r w:rsidRPr="00DB3165">
              <w:rPr>
                <w:rFonts w:eastAsia="Times New Roman" w:cs="Arial"/>
                <w:b/>
                <w:bCs/>
                <w:color w:val="000000"/>
                <w:sz w:val="20"/>
                <w:szCs w:val="20"/>
                <w:lang w:eastAsia="en-GB"/>
              </w:rPr>
              <w:t xml:space="preserve"> </w:t>
            </w:r>
          </w:p>
        </w:tc>
      </w:tr>
      <w:tr w:rsidRPr="00DB3165" w:rsidR="001E735B" w:rsidTr="001E735B" w14:paraId="62C9D946" w14:textId="77777777">
        <w:trPr>
          <w:trHeight w:val="300"/>
        </w:trPr>
        <w:tc>
          <w:tcPr>
            <w:tcW w:w="2552" w:type="dxa"/>
            <w:tcBorders>
              <w:top w:val="nil"/>
              <w:left w:val="single" w:color="auto" w:sz="4" w:space="0"/>
              <w:bottom w:val="nil"/>
              <w:right w:val="nil"/>
            </w:tcBorders>
            <w:shd w:val="clear" w:color="auto" w:fill="DBE5F1" w:themeFill="accent1" w:themeFillTint="33"/>
            <w:noWrap/>
            <w:vAlign w:val="bottom"/>
            <w:hideMark/>
          </w:tcPr>
          <w:p w:rsidRPr="00DB3165" w:rsidR="001E735B" w:rsidP="001E735B" w:rsidRDefault="001E735B" w14:paraId="1D7787B5" w14:textId="57DAE90F">
            <w:pPr>
              <w:spacing w:after="0" w:line="240" w:lineRule="auto"/>
              <w:jc w:val="center"/>
              <w:rPr>
                <w:rFonts w:eastAsia="Times New Roman" w:cs="Arial"/>
                <w:b/>
                <w:bCs/>
                <w:color w:val="000000"/>
                <w:sz w:val="20"/>
                <w:szCs w:val="20"/>
                <w:lang w:eastAsia="en-GB"/>
              </w:rPr>
            </w:pPr>
            <w:r>
              <w:rPr>
                <w:rFonts w:eastAsia="Times New Roman" w:cs="Arial"/>
                <w:b/>
                <w:bCs/>
                <w:color w:val="000000"/>
                <w:sz w:val="20"/>
                <w:szCs w:val="20"/>
                <w:lang w:eastAsia="en-GB"/>
              </w:rPr>
              <w:t>Grant Recipient</w:t>
            </w:r>
          </w:p>
        </w:tc>
        <w:tc>
          <w:tcPr>
            <w:tcW w:w="1650" w:type="dxa"/>
            <w:tcBorders>
              <w:top w:val="nil"/>
              <w:left w:val="single" w:color="auto" w:sz="4" w:space="0"/>
              <w:bottom w:val="nil"/>
              <w:right w:val="single" w:color="auto" w:sz="4" w:space="0"/>
            </w:tcBorders>
            <w:shd w:val="clear" w:color="auto" w:fill="DBE5F1" w:themeFill="accent1" w:themeFillTint="33"/>
            <w:noWrap/>
            <w:vAlign w:val="bottom"/>
            <w:hideMark/>
          </w:tcPr>
          <w:p w:rsidRPr="00DB3165" w:rsidR="001E735B" w:rsidP="001E735B" w:rsidRDefault="001E735B" w14:paraId="0D9DF8E8" w14:textId="182F0D5B">
            <w:pPr>
              <w:spacing w:after="0" w:line="240" w:lineRule="auto"/>
              <w:jc w:val="center"/>
              <w:rPr>
                <w:rFonts w:eastAsia="Times New Roman" w:cs="Arial"/>
                <w:b/>
                <w:bCs/>
                <w:color w:val="000000"/>
                <w:sz w:val="20"/>
                <w:szCs w:val="20"/>
                <w:lang w:eastAsia="en-GB"/>
              </w:rPr>
            </w:pPr>
            <w:r>
              <w:rPr>
                <w:rFonts w:eastAsia="Times New Roman" w:cs="Arial"/>
                <w:b/>
                <w:bCs/>
                <w:color w:val="000000"/>
                <w:sz w:val="20"/>
                <w:szCs w:val="20"/>
                <w:lang w:eastAsia="en-GB"/>
              </w:rPr>
              <w:t>Allocation</w:t>
            </w:r>
          </w:p>
        </w:tc>
      </w:tr>
      <w:tr w:rsidRPr="00DB3165" w:rsidR="001E735B" w:rsidTr="001E735B" w14:paraId="1B222DE0" w14:textId="77777777">
        <w:trPr>
          <w:trHeight w:val="300"/>
        </w:trPr>
        <w:tc>
          <w:tcPr>
            <w:tcW w:w="2552" w:type="dxa"/>
            <w:tcBorders>
              <w:top w:val="nil"/>
              <w:left w:val="single" w:color="auto" w:sz="4" w:space="0"/>
              <w:bottom w:val="single" w:color="auto" w:sz="4" w:space="0"/>
              <w:right w:val="nil"/>
            </w:tcBorders>
            <w:shd w:val="clear" w:color="auto" w:fill="DBE5F1" w:themeFill="accent1" w:themeFillTint="33"/>
            <w:noWrap/>
            <w:vAlign w:val="bottom"/>
          </w:tcPr>
          <w:p w:rsidRPr="00DB3165" w:rsidR="001E735B" w:rsidP="00C65763" w:rsidRDefault="001E735B" w14:paraId="74A132F0" w14:textId="77777777">
            <w:pPr>
              <w:spacing w:after="0" w:line="240" w:lineRule="auto"/>
              <w:rPr>
                <w:rFonts w:eastAsia="Times New Roman" w:cs="Arial"/>
                <w:b/>
                <w:bCs/>
                <w:color w:val="000000"/>
                <w:sz w:val="20"/>
                <w:szCs w:val="20"/>
                <w:lang w:eastAsia="en-GB"/>
              </w:rPr>
            </w:pPr>
            <w:r w:rsidRPr="00DB3165">
              <w:rPr>
                <w:rFonts w:eastAsia="Times New Roman" w:cs="Arial"/>
                <w:b/>
                <w:bCs/>
                <w:color w:val="000000"/>
                <w:sz w:val="20"/>
                <w:szCs w:val="20"/>
                <w:lang w:eastAsia="en-GB"/>
              </w:rPr>
              <w:t> </w:t>
            </w:r>
          </w:p>
        </w:tc>
        <w:tc>
          <w:tcPr>
            <w:tcW w:w="1650" w:type="dxa"/>
            <w:tcBorders>
              <w:top w:val="nil"/>
              <w:left w:val="single" w:color="auto" w:sz="4" w:space="0"/>
              <w:bottom w:val="single" w:color="auto" w:sz="4" w:space="0"/>
              <w:right w:val="single" w:color="auto" w:sz="4" w:space="0"/>
            </w:tcBorders>
            <w:shd w:val="clear" w:color="auto" w:fill="DBE5F1" w:themeFill="accent1" w:themeFillTint="33"/>
            <w:noWrap/>
            <w:vAlign w:val="bottom"/>
          </w:tcPr>
          <w:p w:rsidRPr="00DB3165" w:rsidR="001E735B" w:rsidP="00C65763" w:rsidRDefault="001E735B" w14:paraId="672C079D" w14:textId="18D525AA">
            <w:pPr>
              <w:spacing w:after="0" w:line="240" w:lineRule="auto"/>
              <w:jc w:val="center"/>
              <w:rPr>
                <w:rFonts w:eastAsia="Times New Roman" w:cs="Arial"/>
                <w:b/>
                <w:bCs/>
                <w:color w:val="000000"/>
                <w:sz w:val="20"/>
                <w:szCs w:val="20"/>
                <w:lang w:eastAsia="en-GB"/>
              </w:rPr>
            </w:pPr>
            <w:r>
              <w:rPr>
                <w:rFonts w:eastAsia="Times New Roman" w:cs="Arial"/>
                <w:b/>
                <w:bCs/>
                <w:color w:val="000000"/>
                <w:sz w:val="20"/>
                <w:szCs w:val="20"/>
                <w:lang w:eastAsia="en-GB"/>
              </w:rPr>
              <w:t>£000</w:t>
            </w:r>
          </w:p>
        </w:tc>
      </w:tr>
      <w:tr w:rsidRPr="00DB3165" w:rsidR="001E735B" w:rsidTr="001E735B" w14:paraId="07BB98DD" w14:textId="77777777">
        <w:trPr>
          <w:trHeight w:val="300"/>
        </w:trPr>
        <w:tc>
          <w:tcPr>
            <w:tcW w:w="2552" w:type="dxa"/>
            <w:tcBorders>
              <w:top w:val="nil"/>
              <w:left w:val="single" w:color="auto" w:sz="4" w:space="0"/>
              <w:bottom w:val="nil"/>
              <w:right w:val="nil"/>
            </w:tcBorders>
            <w:shd w:val="clear" w:color="auto" w:fill="auto"/>
            <w:noWrap/>
            <w:vAlign w:val="bottom"/>
            <w:hideMark/>
          </w:tcPr>
          <w:p w:rsidRPr="00DB3165" w:rsidR="001E735B" w:rsidP="00C65763" w:rsidRDefault="001E735B" w14:paraId="0946A6B2" w14:textId="77777777">
            <w:pPr>
              <w:spacing w:after="0" w:line="240" w:lineRule="auto"/>
              <w:rPr>
                <w:rFonts w:eastAsia="Times New Roman" w:cs="Arial"/>
                <w:b/>
                <w:bCs/>
                <w:color w:val="000000"/>
                <w:sz w:val="20"/>
                <w:szCs w:val="20"/>
                <w:lang w:eastAsia="en-GB"/>
              </w:rPr>
            </w:pPr>
            <w:r w:rsidRPr="00DB3165">
              <w:rPr>
                <w:rFonts w:eastAsia="Times New Roman" w:cs="Arial"/>
                <w:color w:val="000000"/>
                <w:sz w:val="20"/>
                <w:szCs w:val="20"/>
                <w:lang w:eastAsia="en-GB"/>
              </w:rPr>
              <w:t>City and County of Cardiff</w:t>
            </w:r>
          </w:p>
        </w:tc>
        <w:tc>
          <w:tcPr>
            <w:tcW w:w="1650" w:type="dxa"/>
            <w:tcBorders>
              <w:top w:val="nil"/>
              <w:left w:val="single" w:color="auto" w:sz="4" w:space="0"/>
              <w:bottom w:val="nil"/>
              <w:right w:val="single" w:color="auto" w:sz="4" w:space="0"/>
            </w:tcBorders>
            <w:shd w:val="clear" w:color="auto" w:fill="auto"/>
            <w:noWrap/>
            <w:vAlign w:val="bottom"/>
            <w:hideMark/>
          </w:tcPr>
          <w:p w:rsidRPr="001E735B" w:rsidR="001E735B" w:rsidP="00C65763" w:rsidRDefault="001E735B" w14:paraId="7675B69B" w14:textId="171FD2A4">
            <w:pPr>
              <w:spacing w:after="0" w:line="240" w:lineRule="auto"/>
              <w:jc w:val="center"/>
              <w:rPr>
                <w:rFonts w:eastAsia="Times New Roman" w:cs="Arial"/>
                <w:color w:val="000000"/>
                <w:sz w:val="20"/>
                <w:szCs w:val="20"/>
                <w:lang w:eastAsia="en-GB"/>
              </w:rPr>
            </w:pPr>
            <w:r w:rsidRPr="001E735B">
              <w:rPr>
                <w:rFonts w:eastAsia="Times New Roman" w:cs="Arial"/>
                <w:color w:val="000000"/>
                <w:sz w:val="20"/>
                <w:szCs w:val="20"/>
                <w:lang w:eastAsia="en-GB"/>
              </w:rPr>
              <w:t>131</w:t>
            </w:r>
          </w:p>
        </w:tc>
      </w:tr>
      <w:tr w:rsidRPr="00DB3165" w:rsidR="001E735B" w:rsidTr="001E735B" w14:paraId="5E4BF295" w14:textId="77777777">
        <w:trPr>
          <w:trHeight w:val="300"/>
        </w:trPr>
        <w:tc>
          <w:tcPr>
            <w:tcW w:w="2552" w:type="dxa"/>
            <w:tcBorders>
              <w:top w:val="nil"/>
              <w:left w:val="single" w:color="auto" w:sz="4" w:space="0"/>
              <w:bottom w:val="nil"/>
              <w:right w:val="nil"/>
            </w:tcBorders>
            <w:shd w:val="clear" w:color="auto" w:fill="auto"/>
            <w:noWrap/>
            <w:vAlign w:val="bottom"/>
          </w:tcPr>
          <w:p w:rsidRPr="00DB3165" w:rsidR="001E735B" w:rsidP="00C65763" w:rsidRDefault="001E735B" w14:paraId="42E40916" w14:textId="77777777">
            <w:pPr>
              <w:spacing w:after="0" w:line="240" w:lineRule="auto"/>
              <w:rPr>
                <w:rFonts w:eastAsia="Times New Roman" w:cs="Arial"/>
                <w:color w:val="000000"/>
                <w:sz w:val="20"/>
                <w:szCs w:val="20"/>
                <w:lang w:eastAsia="en-GB"/>
              </w:rPr>
            </w:pPr>
            <w:r w:rsidRPr="00DB3165">
              <w:rPr>
                <w:rFonts w:eastAsia="Times New Roman" w:cs="Arial"/>
                <w:color w:val="000000"/>
                <w:sz w:val="20"/>
                <w:szCs w:val="20"/>
                <w:lang w:eastAsia="en-GB"/>
              </w:rPr>
              <w:t>Vale of Glamorgan</w:t>
            </w:r>
          </w:p>
        </w:tc>
        <w:tc>
          <w:tcPr>
            <w:tcW w:w="1650" w:type="dxa"/>
            <w:tcBorders>
              <w:top w:val="nil"/>
              <w:left w:val="single" w:color="auto" w:sz="4" w:space="0"/>
              <w:bottom w:val="nil"/>
              <w:right w:val="single" w:color="auto" w:sz="4" w:space="0"/>
            </w:tcBorders>
            <w:shd w:val="clear" w:color="auto" w:fill="auto"/>
            <w:noWrap/>
            <w:vAlign w:val="bottom"/>
          </w:tcPr>
          <w:p w:rsidRPr="001E735B" w:rsidR="001E735B" w:rsidP="00C65763" w:rsidRDefault="001E735B" w14:paraId="413D70AD" w14:textId="273A84E3">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49</w:t>
            </w:r>
          </w:p>
        </w:tc>
      </w:tr>
      <w:tr w:rsidRPr="00DB3165" w:rsidR="001E735B" w:rsidTr="001E735B" w14:paraId="31E7634C" w14:textId="77777777">
        <w:trPr>
          <w:trHeight w:val="300"/>
        </w:trPr>
        <w:tc>
          <w:tcPr>
            <w:tcW w:w="2552" w:type="dxa"/>
            <w:tcBorders>
              <w:top w:val="nil"/>
              <w:left w:val="single" w:color="auto" w:sz="4" w:space="0"/>
              <w:bottom w:val="nil"/>
              <w:right w:val="nil"/>
            </w:tcBorders>
            <w:shd w:val="clear" w:color="auto" w:fill="auto"/>
            <w:noWrap/>
            <w:vAlign w:val="bottom"/>
            <w:hideMark/>
          </w:tcPr>
          <w:p w:rsidRPr="00DB3165" w:rsidR="001E735B" w:rsidP="00C65763" w:rsidRDefault="001E735B" w14:paraId="22A629A7" w14:textId="77777777">
            <w:pPr>
              <w:spacing w:after="0" w:line="240" w:lineRule="auto"/>
              <w:rPr>
                <w:rFonts w:eastAsia="Times New Roman" w:cs="Arial"/>
                <w:color w:val="000000"/>
                <w:sz w:val="20"/>
                <w:szCs w:val="20"/>
                <w:lang w:eastAsia="en-GB"/>
              </w:rPr>
            </w:pPr>
            <w:r w:rsidRPr="00DB3165">
              <w:rPr>
                <w:rFonts w:eastAsia="Times New Roman" w:cs="Arial"/>
                <w:color w:val="000000"/>
                <w:sz w:val="20"/>
                <w:szCs w:val="20"/>
                <w:lang w:eastAsia="en-GB"/>
              </w:rPr>
              <w:t>Merthyr Tydfil CBC</w:t>
            </w:r>
          </w:p>
        </w:tc>
        <w:tc>
          <w:tcPr>
            <w:tcW w:w="1650" w:type="dxa"/>
            <w:tcBorders>
              <w:top w:val="nil"/>
              <w:left w:val="single" w:color="auto" w:sz="4" w:space="0"/>
              <w:bottom w:val="nil"/>
              <w:right w:val="single" w:color="auto" w:sz="4" w:space="0"/>
            </w:tcBorders>
            <w:shd w:val="clear" w:color="auto" w:fill="auto"/>
            <w:noWrap/>
            <w:vAlign w:val="bottom"/>
            <w:hideMark/>
          </w:tcPr>
          <w:p w:rsidRPr="001E735B" w:rsidR="001E735B" w:rsidP="00C65763" w:rsidRDefault="001E735B" w14:paraId="5B98B83E" w14:textId="031691B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33</w:t>
            </w:r>
          </w:p>
        </w:tc>
      </w:tr>
      <w:tr w:rsidRPr="00DB3165" w:rsidR="001E735B" w:rsidTr="001E735B" w14:paraId="7DF01431" w14:textId="77777777">
        <w:trPr>
          <w:trHeight w:val="300"/>
        </w:trPr>
        <w:tc>
          <w:tcPr>
            <w:tcW w:w="2552" w:type="dxa"/>
            <w:tcBorders>
              <w:top w:val="nil"/>
              <w:left w:val="single" w:color="auto" w:sz="4" w:space="0"/>
              <w:bottom w:val="nil"/>
              <w:right w:val="nil"/>
            </w:tcBorders>
            <w:shd w:val="clear" w:color="auto" w:fill="auto"/>
            <w:noWrap/>
            <w:vAlign w:val="bottom"/>
          </w:tcPr>
          <w:p w:rsidRPr="00DB3165" w:rsidR="001E735B" w:rsidP="001E735B" w:rsidRDefault="001E735B" w14:paraId="2688AA08" w14:textId="4776232D">
            <w:pPr>
              <w:spacing w:after="0" w:line="240" w:lineRule="auto"/>
              <w:rPr>
                <w:rFonts w:eastAsia="Times New Roman" w:cs="Arial"/>
                <w:color w:val="000000"/>
                <w:sz w:val="20"/>
                <w:szCs w:val="20"/>
                <w:lang w:eastAsia="en-GB"/>
              </w:rPr>
            </w:pPr>
            <w:r w:rsidRPr="00DB3165">
              <w:rPr>
                <w:rFonts w:eastAsia="Times New Roman" w:cs="Arial"/>
                <w:color w:val="000000"/>
                <w:sz w:val="20"/>
                <w:szCs w:val="20"/>
                <w:lang w:eastAsia="en-GB"/>
              </w:rPr>
              <w:t>Rhondda Cynon Taff CBC</w:t>
            </w:r>
          </w:p>
        </w:tc>
        <w:tc>
          <w:tcPr>
            <w:tcW w:w="1650" w:type="dxa"/>
            <w:tcBorders>
              <w:top w:val="nil"/>
              <w:left w:val="single" w:color="auto" w:sz="4" w:space="0"/>
              <w:bottom w:val="nil"/>
              <w:right w:val="single" w:color="auto" w:sz="4" w:space="0"/>
            </w:tcBorders>
            <w:shd w:val="clear" w:color="auto" w:fill="auto"/>
            <w:noWrap/>
            <w:vAlign w:val="bottom"/>
          </w:tcPr>
          <w:p w:rsidR="001E735B" w:rsidP="001E735B" w:rsidRDefault="001E735B" w14:paraId="63EFB498" w14:textId="1A306239">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131</w:t>
            </w:r>
          </w:p>
        </w:tc>
      </w:tr>
      <w:tr w:rsidRPr="00DB3165" w:rsidR="001E735B" w:rsidTr="001E735B" w14:paraId="596916AD" w14:textId="77777777">
        <w:trPr>
          <w:trHeight w:val="300"/>
        </w:trPr>
        <w:tc>
          <w:tcPr>
            <w:tcW w:w="2552" w:type="dxa"/>
            <w:tcBorders>
              <w:top w:val="nil"/>
              <w:left w:val="single" w:color="auto" w:sz="4" w:space="0"/>
              <w:bottom w:val="single" w:color="auto" w:sz="4" w:space="0"/>
              <w:right w:val="nil"/>
            </w:tcBorders>
            <w:shd w:val="clear" w:color="auto" w:fill="auto"/>
            <w:noWrap/>
            <w:vAlign w:val="bottom"/>
            <w:hideMark/>
          </w:tcPr>
          <w:p w:rsidRPr="00DB3165" w:rsidR="001E735B" w:rsidP="001E735B" w:rsidRDefault="001E735B" w14:paraId="14D93341" w14:textId="459EE514">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Vale, Valleys and Cardiff Adoption Service</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1E735B" w:rsidR="001E735B" w:rsidP="001E735B" w:rsidRDefault="001E735B" w14:paraId="6B8FF384" w14:textId="79F7BA2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193</w:t>
            </w:r>
          </w:p>
        </w:tc>
      </w:tr>
      <w:tr w:rsidRPr="00DB3165" w:rsidR="001E735B" w:rsidTr="001E735B" w14:paraId="11170098" w14:textId="77777777">
        <w:trPr>
          <w:trHeight w:val="300"/>
        </w:trPr>
        <w:tc>
          <w:tcPr>
            <w:tcW w:w="2552" w:type="dxa"/>
            <w:tcBorders>
              <w:top w:val="nil"/>
              <w:left w:val="single" w:color="auto" w:sz="4" w:space="0"/>
              <w:bottom w:val="single" w:color="auto" w:sz="4" w:space="0"/>
              <w:right w:val="nil"/>
            </w:tcBorders>
            <w:shd w:val="clear" w:color="auto" w:fill="DBE5F1" w:themeFill="accent1" w:themeFillTint="33"/>
            <w:noWrap/>
            <w:vAlign w:val="bottom"/>
            <w:hideMark/>
          </w:tcPr>
          <w:p w:rsidRPr="00DB3165" w:rsidR="001E735B" w:rsidP="001E735B" w:rsidRDefault="001E735B" w14:paraId="2F97CF8D" w14:textId="77777777">
            <w:pPr>
              <w:spacing w:after="0" w:line="240" w:lineRule="auto"/>
              <w:rPr>
                <w:rFonts w:eastAsia="Times New Roman" w:cs="Arial"/>
                <w:color w:val="000000"/>
                <w:sz w:val="20"/>
                <w:szCs w:val="20"/>
                <w:lang w:eastAsia="en-GB"/>
              </w:rPr>
            </w:pPr>
            <w:r w:rsidRPr="00DB3165">
              <w:rPr>
                <w:rFonts w:eastAsia="Times New Roman" w:cs="Arial"/>
                <w:b/>
                <w:bCs/>
                <w:color w:val="000000"/>
                <w:sz w:val="20"/>
                <w:szCs w:val="20"/>
                <w:lang w:eastAsia="en-GB"/>
              </w:rPr>
              <w:t>Total</w:t>
            </w:r>
          </w:p>
        </w:tc>
        <w:tc>
          <w:tcPr>
            <w:tcW w:w="1650"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1E735B" w:rsidR="001E735B" w:rsidP="001E735B" w:rsidRDefault="001E735B" w14:paraId="6E0232DB" w14:textId="3740504B">
            <w:pPr>
              <w:spacing w:after="0" w:line="240" w:lineRule="auto"/>
              <w:jc w:val="center"/>
              <w:rPr>
                <w:rFonts w:eastAsia="Times New Roman" w:cs="Arial"/>
                <w:b/>
                <w:bCs/>
                <w:color w:val="000000"/>
                <w:sz w:val="20"/>
                <w:szCs w:val="20"/>
                <w:lang w:eastAsia="en-GB"/>
              </w:rPr>
            </w:pPr>
            <w:r w:rsidRPr="001E735B">
              <w:rPr>
                <w:rFonts w:eastAsia="Times New Roman" w:cs="Arial"/>
                <w:b/>
                <w:bCs/>
                <w:color w:val="000000"/>
                <w:sz w:val="20"/>
                <w:szCs w:val="20"/>
                <w:lang w:eastAsia="en-GB"/>
              </w:rPr>
              <w:t>537</w:t>
            </w:r>
          </w:p>
        </w:tc>
      </w:tr>
    </w:tbl>
    <w:p w:rsidRPr="001E735B" w:rsidR="001E735B" w:rsidP="009D3B72" w:rsidRDefault="001E735B" w14:paraId="5850E764" w14:textId="77777777">
      <w:pPr>
        <w:jc w:val="both"/>
        <w:rPr>
          <w:rFonts w:cs="Arial"/>
          <w:highlight w:val="cyan"/>
        </w:rPr>
      </w:pPr>
    </w:p>
    <w:p w:rsidRPr="00614894" w:rsidR="00DB5535" w:rsidP="009D3B72" w:rsidRDefault="009704F5" w14:paraId="71702EC0" w14:textId="082277AD">
      <w:pPr>
        <w:jc w:val="both"/>
        <w:rPr>
          <w:rFonts w:cs="Arial"/>
          <w:highlight w:val="yellow"/>
        </w:rPr>
      </w:pPr>
      <w:r w:rsidRPr="00815804">
        <w:rPr>
          <w:rFonts w:cs="Arial"/>
        </w:rPr>
        <w:t xml:space="preserve">The table below illustrates the </w:t>
      </w:r>
      <w:r w:rsidR="00A266DC">
        <w:rPr>
          <w:rFonts w:cs="Arial"/>
        </w:rPr>
        <w:t>actual</w:t>
      </w:r>
      <w:r w:rsidRPr="00815804">
        <w:rPr>
          <w:rFonts w:cs="Arial"/>
        </w:rPr>
        <w:t xml:space="preserve"> expenditure </w:t>
      </w:r>
      <w:r w:rsidR="00A266DC">
        <w:rPr>
          <w:rFonts w:cs="Arial"/>
        </w:rPr>
        <w:t xml:space="preserve">and income </w:t>
      </w:r>
      <w:r w:rsidRPr="00815804">
        <w:rPr>
          <w:rFonts w:cs="Arial"/>
        </w:rPr>
        <w:t>incurred for the period 1</w:t>
      </w:r>
      <w:r w:rsidRPr="00815804">
        <w:rPr>
          <w:rFonts w:cs="Arial"/>
          <w:vertAlign w:val="superscript"/>
        </w:rPr>
        <w:t>st</w:t>
      </w:r>
      <w:r w:rsidRPr="00815804" w:rsidR="00922835">
        <w:rPr>
          <w:rFonts w:cs="Arial"/>
        </w:rPr>
        <w:t xml:space="preserve"> April 202</w:t>
      </w:r>
      <w:r w:rsidRPr="00815804" w:rsidR="00FE32CD">
        <w:rPr>
          <w:rFonts w:cs="Arial"/>
        </w:rPr>
        <w:t>2</w:t>
      </w:r>
      <w:r w:rsidRPr="00815804">
        <w:rPr>
          <w:rFonts w:cs="Arial"/>
        </w:rPr>
        <w:t xml:space="preserve"> to 31</w:t>
      </w:r>
      <w:r w:rsidRPr="00815804">
        <w:rPr>
          <w:rFonts w:cs="Arial"/>
          <w:vertAlign w:val="superscript"/>
        </w:rPr>
        <w:t>st</w:t>
      </w:r>
      <w:r w:rsidRPr="00815804" w:rsidR="00511CA2">
        <w:rPr>
          <w:rFonts w:cs="Arial"/>
        </w:rPr>
        <w:t xml:space="preserve"> March 20</w:t>
      </w:r>
      <w:r w:rsidRPr="00815804" w:rsidR="00922835">
        <w:rPr>
          <w:rFonts w:cs="Arial"/>
        </w:rPr>
        <w:t>2</w:t>
      </w:r>
      <w:r w:rsidRPr="00815804" w:rsidR="00FE32CD">
        <w:rPr>
          <w:rFonts w:cs="Arial"/>
        </w:rPr>
        <w:t>3</w:t>
      </w:r>
      <w:r w:rsidRPr="00815804">
        <w:rPr>
          <w:rFonts w:cs="Arial"/>
        </w:rPr>
        <w:t>.</w:t>
      </w:r>
      <w:r w:rsidRPr="00815804" w:rsidR="00251F94">
        <w:rPr>
          <w:rFonts w:cs="Arial"/>
        </w:rPr>
        <w:t xml:space="preserve"> </w:t>
      </w:r>
    </w:p>
    <w:tbl>
      <w:tblPr>
        <w:tblW w:w="8070" w:type="dxa"/>
        <w:tblLook w:val="04A0" w:firstRow="1" w:lastRow="0" w:firstColumn="1" w:lastColumn="0" w:noHBand="0" w:noVBand="1"/>
      </w:tblPr>
      <w:tblGrid>
        <w:gridCol w:w="3392"/>
        <w:gridCol w:w="1560"/>
        <w:gridCol w:w="1452"/>
        <w:gridCol w:w="1666"/>
      </w:tblGrid>
      <w:tr w:rsidRPr="00EA7565" w:rsidR="00EA7565" w:rsidTr="00EA7565" w14:paraId="151E2AC1" w14:textId="77777777">
        <w:trPr>
          <w:trHeight w:val="528"/>
        </w:trPr>
        <w:tc>
          <w:tcPr>
            <w:tcW w:w="3392" w:type="dxa"/>
            <w:tcBorders>
              <w:top w:val="single" w:color="auto" w:sz="8" w:space="0"/>
              <w:left w:val="single" w:color="auto" w:sz="8" w:space="0"/>
              <w:bottom w:val="nil"/>
              <w:right w:val="nil"/>
            </w:tcBorders>
            <w:shd w:val="clear" w:color="000000" w:fill="DBE5F1"/>
            <w:noWrap/>
            <w:vAlign w:val="center"/>
            <w:hideMark/>
          </w:tcPr>
          <w:p w:rsidRPr="00EA7565" w:rsidR="00EA7565" w:rsidP="00EA7565" w:rsidRDefault="00EA7565" w14:paraId="3B80A816"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Category</w:t>
            </w:r>
          </w:p>
        </w:tc>
        <w:tc>
          <w:tcPr>
            <w:tcW w:w="1560" w:type="dxa"/>
            <w:tcBorders>
              <w:top w:val="single" w:color="auto" w:sz="8" w:space="0"/>
              <w:left w:val="single" w:color="auto" w:sz="8" w:space="0"/>
              <w:bottom w:val="nil"/>
              <w:right w:val="single" w:color="auto" w:sz="8" w:space="0"/>
            </w:tcBorders>
            <w:shd w:val="clear" w:color="000000" w:fill="DBE5F1"/>
            <w:noWrap/>
            <w:vAlign w:val="center"/>
            <w:hideMark/>
          </w:tcPr>
          <w:p w:rsidRPr="00EA7565" w:rsidR="00EA7565" w:rsidP="00EA7565" w:rsidRDefault="00EA7565" w14:paraId="51BD22BE"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Actual</w:t>
            </w:r>
          </w:p>
        </w:tc>
        <w:tc>
          <w:tcPr>
            <w:tcW w:w="1452" w:type="dxa"/>
            <w:tcBorders>
              <w:top w:val="single" w:color="auto" w:sz="8" w:space="0"/>
              <w:left w:val="nil"/>
              <w:bottom w:val="nil"/>
              <w:right w:val="single" w:color="auto" w:sz="8" w:space="0"/>
            </w:tcBorders>
            <w:shd w:val="clear" w:color="000000" w:fill="DBE5F1"/>
            <w:noWrap/>
            <w:vAlign w:val="center"/>
            <w:hideMark/>
          </w:tcPr>
          <w:p w:rsidRPr="00EA7565" w:rsidR="00EA7565" w:rsidP="00EA7565" w:rsidRDefault="00EA7565" w14:paraId="5FEAA930"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Actual</w:t>
            </w:r>
          </w:p>
        </w:tc>
        <w:tc>
          <w:tcPr>
            <w:tcW w:w="1666" w:type="dxa"/>
            <w:tcBorders>
              <w:top w:val="single" w:color="auto" w:sz="8" w:space="0"/>
              <w:left w:val="nil"/>
              <w:bottom w:val="nil"/>
              <w:right w:val="single" w:color="auto" w:sz="8" w:space="0"/>
            </w:tcBorders>
            <w:shd w:val="clear" w:color="000000" w:fill="DBE5F1"/>
            <w:vAlign w:val="center"/>
            <w:hideMark/>
          </w:tcPr>
          <w:p w:rsidRPr="00EA7565" w:rsidR="00EA7565" w:rsidP="00EA7565" w:rsidRDefault="00EA7565" w14:paraId="4869924B"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Contribution to/(from)</w:t>
            </w:r>
          </w:p>
        </w:tc>
      </w:tr>
      <w:tr w:rsidRPr="00EA7565" w:rsidR="00EA7565" w:rsidTr="00EA7565" w14:paraId="1908754E" w14:textId="77777777">
        <w:trPr>
          <w:trHeight w:val="264"/>
        </w:trPr>
        <w:tc>
          <w:tcPr>
            <w:tcW w:w="3392" w:type="dxa"/>
            <w:tcBorders>
              <w:top w:val="nil"/>
              <w:left w:val="single" w:color="auto" w:sz="8" w:space="0"/>
              <w:bottom w:val="nil"/>
              <w:right w:val="nil"/>
            </w:tcBorders>
            <w:shd w:val="clear" w:color="000000" w:fill="DBE5F1"/>
            <w:noWrap/>
            <w:vAlign w:val="center"/>
            <w:hideMark/>
          </w:tcPr>
          <w:p w:rsidRPr="00EA7565" w:rsidR="00EA7565" w:rsidP="00EA7565" w:rsidRDefault="00EA7565" w14:paraId="415AE9FB" w14:textId="77777777">
            <w:pPr>
              <w:spacing w:after="0" w:line="240" w:lineRule="auto"/>
              <w:rPr>
                <w:rFonts w:eastAsia="Times New Roman" w:cs="Arial"/>
                <w:b/>
                <w:bCs/>
                <w:color w:val="000000"/>
                <w:sz w:val="20"/>
                <w:szCs w:val="20"/>
                <w:lang w:eastAsia="en-GB"/>
              </w:rPr>
            </w:pPr>
            <w:r w:rsidRPr="00EA7565">
              <w:rPr>
                <w:rFonts w:eastAsia="Times New Roman" w:cs="Arial"/>
                <w:b/>
                <w:bCs/>
                <w:color w:val="000000"/>
                <w:sz w:val="20"/>
                <w:szCs w:val="20"/>
                <w:lang w:eastAsia="en-GB"/>
              </w:rPr>
              <w:t> </w:t>
            </w:r>
          </w:p>
        </w:tc>
        <w:tc>
          <w:tcPr>
            <w:tcW w:w="1560" w:type="dxa"/>
            <w:tcBorders>
              <w:top w:val="nil"/>
              <w:left w:val="single" w:color="auto" w:sz="8" w:space="0"/>
              <w:bottom w:val="nil"/>
              <w:right w:val="single" w:color="auto" w:sz="8" w:space="0"/>
            </w:tcBorders>
            <w:shd w:val="clear" w:color="000000" w:fill="DBE5F1"/>
            <w:noWrap/>
            <w:vAlign w:val="center"/>
            <w:hideMark/>
          </w:tcPr>
          <w:p w:rsidRPr="00EA7565" w:rsidR="00EA7565" w:rsidP="00EA7565" w:rsidRDefault="00EA7565" w14:paraId="57CF210B"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Expenditure</w:t>
            </w:r>
          </w:p>
        </w:tc>
        <w:tc>
          <w:tcPr>
            <w:tcW w:w="1452" w:type="dxa"/>
            <w:tcBorders>
              <w:top w:val="nil"/>
              <w:left w:val="nil"/>
              <w:bottom w:val="nil"/>
              <w:right w:val="single" w:color="auto" w:sz="8" w:space="0"/>
            </w:tcBorders>
            <w:shd w:val="clear" w:color="000000" w:fill="DBE5F1"/>
            <w:noWrap/>
            <w:vAlign w:val="center"/>
            <w:hideMark/>
          </w:tcPr>
          <w:p w:rsidRPr="00EA7565" w:rsidR="00EA7565" w:rsidP="00EA7565" w:rsidRDefault="00EA7565" w14:paraId="40337B30"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Income</w:t>
            </w:r>
          </w:p>
        </w:tc>
        <w:tc>
          <w:tcPr>
            <w:tcW w:w="1666" w:type="dxa"/>
            <w:tcBorders>
              <w:top w:val="nil"/>
              <w:left w:val="nil"/>
              <w:bottom w:val="nil"/>
              <w:right w:val="single" w:color="auto" w:sz="8" w:space="0"/>
            </w:tcBorders>
            <w:shd w:val="clear" w:color="000000" w:fill="DBE5F1"/>
            <w:vAlign w:val="center"/>
            <w:hideMark/>
          </w:tcPr>
          <w:p w:rsidRPr="00EA7565" w:rsidR="00EA7565" w:rsidP="00EA7565" w:rsidRDefault="00EA7565" w14:paraId="1209B243"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Reserves</w:t>
            </w:r>
          </w:p>
        </w:tc>
      </w:tr>
      <w:tr w:rsidRPr="00EA7565" w:rsidR="00EA7565" w:rsidTr="00EA7565" w14:paraId="2D9D028B" w14:textId="77777777">
        <w:trPr>
          <w:trHeight w:val="276"/>
        </w:trPr>
        <w:tc>
          <w:tcPr>
            <w:tcW w:w="3392" w:type="dxa"/>
            <w:tcBorders>
              <w:top w:val="nil"/>
              <w:left w:val="single" w:color="auto" w:sz="8" w:space="0"/>
              <w:bottom w:val="single" w:color="auto" w:sz="8" w:space="0"/>
              <w:right w:val="nil"/>
            </w:tcBorders>
            <w:shd w:val="clear" w:color="000000" w:fill="DBE5F1"/>
            <w:noWrap/>
            <w:vAlign w:val="center"/>
            <w:hideMark/>
          </w:tcPr>
          <w:p w:rsidRPr="00EA7565" w:rsidR="00EA7565" w:rsidP="00EA7565" w:rsidRDefault="00EA7565" w14:paraId="7488F751" w14:textId="77777777">
            <w:pPr>
              <w:spacing w:after="0" w:line="240" w:lineRule="auto"/>
              <w:rPr>
                <w:rFonts w:eastAsia="Times New Roman" w:cs="Arial"/>
                <w:b/>
                <w:bCs/>
                <w:color w:val="000000"/>
                <w:sz w:val="20"/>
                <w:szCs w:val="20"/>
                <w:lang w:eastAsia="en-GB"/>
              </w:rPr>
            </w:pPr>
            <w:r w:rsidRPr="00EA7565">
              <w:rPr>
                <w:rFonts w:eastAsia="Times New Roman" w:cs="Arial"/>
                <w:b/>
                <w:bCs/>
                <w:color w:val="000000"/>
                <w:sz w:val="20"/>
                <w:szCs w:val="20"/>
                <w:lang w:eastAsia="en-GB"/>
              </w:rPr>
              <w:t> </w:t>
            </w:r>
          </w:p>
        </w:tc>
        <w:tc>
          <w:tcPr>
            <w:tcW w:w="1560" w:type="dxa"/>
            <w:tcBorders>
              <w:top w:val="nil"/>
              <w:left w:val="single" w:color="auto" w:sz="8" w:space="0"/>
              <w:bottom w:val="single" w:color="auto" w:sz="8" w:space="0"/>
              <w:right w:val="single" w:color="auto" w:sz="8" w:space="0"/>
            </w:tcBorders>
            <w:shd w:val="clear" w:color="000000" w:fill="DBE5F1"/>
            <w:noWrap/>
            <w:vAlign w:val="center"/>
            <w:hideMark/>
          </w:tcPr>
          <w:p w:rsidRPr="00EA7565" w:rsidR="00EA7565" w:rsidP="00EA7565" w:rsidRDefault="00EA7565" w14:paraId="4584D14A"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£'000</w:t>
            </w:r>
          </w:p>
        </w:tc>
        <w:tc>
          <w:tcPr>
            <w:tcW w:w="1452" w:type="dxa"/>
            <w:tcBorders>
              <w:top w:val="nil"/>
              <w:left w:val="nil"/>
              <w:bottom w:val="single" w:color="auto" w:sz="8" w:space="0"/>
              <w:right w:val="single" w:color="auto" w:sz="8" w:space="0"/>
            </w:tcBorders>
            <w:shd w:val="clear" w:color="000000" w:fill="DBE5F1"/>
            <w:noWrap/>
            <w:vAlign w:val="center"/>
            <w:hideMark/>
          </w:tcPr>
          <w:p w:rsidRPr="00EA7565" w:rsidR="00EA7565" w:rsidP="00EA7565" w:rsidRDefault="00EA7565" w14:paraId="135DEF42"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£'000</w:t>
            </w:r>
          </w:p>
        </w:tc>
        <w:tc>
          <w:tcPr>
            <w:tcW w:w="1666" w:type="dxa"/>
            <w:tcBorders>
              <w:top w:val="nil"/>
              <w:left w:val="nil"/>
              <w:bottom w:val="single" w:color="auto" w:sz="8" w:space="0"/>
              <w:right w:val="single" w:color="auto" w:sz="8" w:space="0"/>
            </w:tcBorders>
            <w:shd w:val="clear" w:color="000000" w:fill="DBE5F1"/>
            <w:vAlign w:val="center"/>
            <w:hideMark/>
          </w:tcPr>
          <w:p w:rsidRPr="00EA7565" w:rsidR="00EA7565" w:rsidP="00EA7565" w:rsidRDefault="00EA7565" w14:paraId="15B0759F" w14:textId="55ECAA1B">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£'000 </w:t>
            </w:r>
          </w:p>
        </w:tc>
      </w:tr>
      <w:tr w:rsidRPr="00EA7565" w:rsidR="00EA7565" w:rsidTr="00EA7565" w14:paraId="7029EE7A" w14:textId="77777777">
        <w:trPr>
          <w:trHeight w:val="264"/>
        </w:trPr>
        <w:tc>
          <w:tcPr>
            <w:tcW w:w="3392" w:type="dxa"/>
            <w:tcBorders>
              <w:top w:val="nil"/>
              <w:left w:val="single" w:color="auto" w:sz="8" w:space="0"/>
              <w:bottom w:val="nil"/>
              <w:right w:val="nil"/>
            </w:tcBorders>
            <w:shd w:val="clear" w:color="auto" w:fill="auto"/>
            <w:noWrap/>
            <w:vAlign w:val="center"/>
            <w:hideMark/>
          </w:tcPr>
          <w:p w:rsidRPr="00EA7565" w:rsidR="00EA7565" w:rsidP="00EA7565" w:rsidRDefault="00EA7565" w14:paraId="7B7767A8" w14:textId="77777777">
            <w:pPr>
              <w:spacing w:after="0" w:line="240" w:lineRule="auto"/>
              <w:rPr>
                <w:rFonts w:eastAsia="Times New Roman" w:cs="Arial"/>
                <w:color w:val="000000"/>
                <w:sz w:val="20"/>
                <w:szCs w:val="20"/>
                <w:lang w:eastAsia="en-GB"/>
              </w:rPr>
            </w:pPr>
            <w:r w:rsidRPr="00EA7565">
              <w:rPr>
                <w:rFonts w:eastAsia="Times New Roman" w:cs="Arial"/>
                <w:color w:val="000000"/>
                <w:sz w:val="20"/>
                <w:szCs w:val="20"/>
                <w:lang w:eastAsia="en-GB"/>
              </w:rPr>
              <w:t>Core Budget</w:t>
            </w:r>
          </w:p>
        </w:tc>
        <w:tc>
          <w:tcPr>
            <w:tcW w:w="1560" w:type="dxa"/>
            <w:tcBorders>
              <w:top w:val="nil"/>
              <w:left w:val="single" w:color="auto" w:sz="8" w:space="0"/>
              <w:bottom w:val="nil"/>
              <w:right w:val="single" w:color="auto" w:sz="8" w:space="0"/>
            </w:tcBorders>
            <w:shd w:val="clear" w:color="auto" w:fill="auto"/>
            <w:noWrap/>
            <w:vAlign w:val="center"/>
            <w:hideMark/>
          </w:tcPr>
          <w:p w:rsidRPr="00EA7565" w:rsidR="00EA7565" w:rsidP="00EA7565" w:rsidRDefault="00EA7565" w14:paraId="2ED09E14" w14:textId="77777777">
            <w:pPr>
              <w:spacing w:after="0" w:line="240" w:lineRule="auto"/>
              <w:jc w:val="center"/>
              <w:rPr>
                <w:rFonts w:eastAsia="Times New Roman" w:cs="Arial"/>
                <w:color w:val="000000"/>
                <w:sz w:val="20"/>
                <w:szCs w:val="20"/>
                <w:lang w:eastAsia="en-GB"/>
              </w:rPr>
            </w:pPr>
            <w:r w:rsidRPr="00EA7565">
              <w:rPr>
                <w:rFonts w:eastAsia="Times New Roman" w:cs="Arial"/>
                <w:color w:val="000000"/>
                <w:sz w:val="20"/>
                <w:szCs w:val="20"/>
                <w:lang w:eastAsia="en-GB"/>
              </w:rPr>
              <w:t>1,959</w:t>
            </w:r>
          </w:p>
        </w:tc>
        <w:tc>
          <w:tcPr>
            <w:tcW w:w="1452" w:type="dxa"/>
            <w:tcBorders>
              <w:top w:val="nil"/>
              <w:left w:val="nil"/>
              <w:bottom w:val="nil"/>
              <w:right w:val="single" w:color="auto" w:sz="8" w:space="0"/>
            </w:tcBorders>
            <w:shd w:val="clear" w:color="auto" w:fill="auto"/>
            <w:noWrap/>
            <w:vAlign w:val="center"/>
            <w:hideMark/>
          </w:tcPr>
          <w:p w:rsidRPr="00EA7565" w:rsidR="00EA7565" w:rsidP="00EA7565" w:rsidRDefault="00F00D2E" w14:paraId="144D3D76" w14:textId="53DA63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w:t>
            </w:r>
            <w:r w:rsidRPr="00EA7565" w:rsidR="00EA7565">
              <w:rPr>
                <w:rFonts w:eastAsia="Times New Roman" w:cs="Arial"/>
                <w:color w:val="000000"/>
                <w:sz w:val="20"/>
                <w:szCs w:val="20"/>
                <w:lang w:eastAsia="en-GB"/>
              </w:rPr>
              <w:t>2,024</w:t>
            </w:r>
            <w:r>
              <w:rPr>
                <w:rFonts w:eastAsia="Times New Roman" w:cs="Arial"/>
                <w:color w:val="000000"/>
                <w:sz w:val="20"/>
                <w:szCs w:val="20"/>
                <w:lang w:eastAsia="en-GB"/>
              </w:rPr>
              <w:t>)</w:t>
            </w:r>
          </w:p>
        </w:tc>
        <w:tc>
          <w:tcPr>
            <w:tcW w:w="1666" w:type="dxa"/>
            <w:tcBorders>
              <w:top w:val="nil"/>
              <w:left w:val="nil"/>
              <w:bottom w:val="nil"/>
              <w:right w:val="single" w:color="auto" w:sz="8" w:space="0"/>
            </w:tcBorders>
            <w:shd w:val="clear" w:color="auto" w:fill="auto"/>
            <w:vAlign w:val="center"/>
            <w:hideMark/>
          </w:tcPr>
          <w:p w:rsidRPr="00EA7565" w:rsidR="00EA7565" w:rsidP="00EA7565" w:rsidRDefault="00EA7565" w14:paraId="723B8353" w14:textId="3A4937CF">
            <w:pPr>
              <w:spacing w:after="0" w:line="240" w:lineRule="auto"/>
              <w:jc w:val="center"/>
              <w:rPr>
                <w:rFonts w:eastAsia="Times New Roman" w:cs="Arial"/>
                <w:color w:val="000000"/>
                <w:sz w:val="20"/>
                <w:szCs w:val="20"/>
                <w:lang w:eastAsia="en-GB"/>
              </w:rPr>
            </w:pPr>
            <w:r w:rsidRPr="00EA7565">
              <w:rPr>
                <w:rFonts w:eastAsia="Times New Roman" w:cs="Arial"/>
                <w:color w:val="000000"/>
                <w:sz w:val="20"/>
                <w:szCs w:val="20"/>
                <w:lang w:eastAsia="en-GB"/>
              </w:rPr>
              <w:t>6</w:t>
            </w:r>
            <w:r w:rsidR="0085460C">
              <w:rPr>
                <w:rFonts w:eastAsia="Times New Roman" w:cs="Arial"/>
                <w:color w:val="000000"/>
                <w:sz w:val="20"/>
                <w:szCs w:val="20"/>
                <w:lang w:eastAsia="en-GB"/>
              </w:rPr>
              <w:t>5</w:t>
            </w:r>
          </w:p>
        </w:tc>
      </w:tr>
      <w:tr w:rsidRPr="00EA7565" w:rsidR="00EA7565" w:rsidTr="00EA7565" w14:paraId="51D3FAE2" w14:textId="77777777">
        <w:trPr>
          <w:trHeight w:val="264"/>
        </w:trPr>
        <w:tc>
          <w:tcPr>
            <w:tcW w:w="3392" w:type="dxa"/>
            <w:tcBorders>
              <w:top w:val="nil"/>
              <w:left w:val="single" w:color="auto" w:sz="8" w:space="0"/>
              <w:bottom w:val="nil"/>
              <w:right w:val="nil"/>
            </w:tcBorders>
            <w:shd w:val="clear" w:color="auto" w:fill="auto"/>
            <w:noWrap/>
            <w:vAlign w:val="center"/>
            <w:hideMark/>
          </w:tcPr>
          <w:p w:rsidRPr="00EA7565" w:rsidR="00EA7565" w:rsidP="00EA7565" w:rsidRDefault="003C4DCD" w14:paraId="13AEAABF" w14:textId="134C7411">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Utilisation of Previous Years Underspend</w:t>
            </w:r>
          </w:p>
        </w:tc>
        <w:tc>
          <w:tcPr>
            <w:tcW w:w="1560" w:type="dxa"/>
            <w:tcBorders>
              <w:top w:val="nil"/>
              <w:left w:val="single" w:color="auto" w:sz="8" w:space="0"/>
              <w:bottom w:val="nil"/>
              <w:right w:val="single" w:color="auto" w:sz="8" w:space="0"/>
            </w:tcBorders>
            <w:shd w:val="clear" w:color="auto" w:fill="auto"/>
            <w:noWrap/>
            <w:vAlign w:val="center"/>
            <w:hideMark/>
          </w:tcPr>
          <w:p w:rsidRPr="00EA7565" w:rsidR="00EA7565" w:rsidP="00EA7565" w:rsidRDefault="00EA7565" w14:paraId="2ED90E92" w14:textId="77777777">
            <w:pPr>
              <w:spacing w:after="0" w:line="240" w:lineRule="auto"/>
              <w:jc w:val="center"/>
              <w:rPr>
                <w:rFonts w:eastAsia="Times New Roman" w:cs="Arial"/>
                <w:color w:val="000000"/>
                <w:sz w:val="20"/>
                <w:szCs w:val="20"/>
                <w:lang w:eastAsia="en-GB"/>
              </w:rPr>
            </w:pPr>
            <w:r w:rsidRPr="00EA7565">
              <w:rPr>
                <w:rFonts w:eastAsia="Times New Roman" w:cs="Arial"/>
                <w:color w:val="000000"/>
                <w:sz w:val="20"/>
                <w:szCs w:val="20"/>
                <w:lang w:eastAsia="en-GB"/>
              </w:rPr>
              <w:t>103</w:t>
            </w:r>
          </w:p>
        </w:tc>
        <w:tc>
          <w:tcPr>
            <w:tcW w:w="1452" w:type="dxa"/>
            <w:tcBorders>
              <w:top w:val="nil"/>
              <w:left w:val="nil"/>
              <w:bottom w:val="nil"/>
              <w:right w:val="single" w:color="auto" w:sz="8" w:space="0"/>
            </w:tcBorders>
            <w:shd w:val="clear" w:color="auto" w:fill="auto"/>
            <w:noWrap/>
            <w:vAlign w:val="center"/>
            <w:hideMark/>
          </w:tcPr>
          <w:p w:rsidRPr="00EA7565" w:rsidR="00EA7565" w:rsidP="00EA7565" w:rsidRDefault="00F00D2E" w14:paraId="5810BED2" w14:textId="46856F4D">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w:t>
            </w:r>
            <w:r w:rsidRPr="00EA7565" w:rsidR="00EA7565">
              <w:rPr>
                <w:rFonts w:eastAsia="Times New Roman" w:cs="Arial"/>
                <w:color w:val="000000"/>
                <w:sz w:val="20"/>
                <w:szCs w:val="20"/>
                <w:lang w:eastAsia="en-GB"/>
              </w:rPr>
              <w:t>18</w:t>
            </w:r>
            <w:r>
              <w:rPr>
                <w:rFonts w:eastAsia="Times New Roman" w:cs="Arial"/>
                <w:color w:val="000000"/>
                <w:sz w:val="20"/>
                <w:szCs w:val="20"/>
                <w:lang w:eastAsia="en-GB"/>
              </w:rPr>
              <w:t>)</w:t>
            </w:r>
          </w:p>
        </w:tc>
        <w:tc>
          <w:tcPr>
            <w:tcW w:w="1666" w:type="dxa"/>
            <w:tcBorders>
              <w:top w:val="nil"/>
              <w:left w:val="nil"/>
              <w:bottom w:val="nil"/>
              <w:right w:val="single" w:color="auto" w:sz="8" w:space="0"/>
            </w:tcBorders>
            <w:shd w:val="clear" w:color="auto" w:fill="auto"/>
            <w:vAlign w:val="center"/>
            <w:hideMark/>
          </w:tcPr>
          <w:p w:rsidRPr="00EA7565" w:rsidR="00EA7565" w:rsidP="00EA7565" w:rsidRDefault="00A266DC" w14:paraId="15755895" w14:textId="49CD571D">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w:t>
            </w:r>
            <w:r w:rsidRPr="00EA7565" w:rsidR="00EA7565">
              <w:rPr>
                <w:rFonts w:eastAsia="Times New Roman" w:cs="Arial"/>
                <w:color w:val="000000"/>
                <w:sz w:val="20"/>
                <w:szCs w:val="20"/>
                <w:lang w:eastAsia="en-GB"/>
              </w:rPr>
              <w:t>85</w:t>
            </w:r>
            <w:r>
              <w:rPr>
                <w:rFonts w:eastAsia="Times New Roman" w:cs="Arial"/>
                <w:color w:val="000000"/>
                <w:sz w:val="20"/>
                <w:szCs w:val="20"/>
                <w:lang w:eastAsia="en-GB"/>
              </w:rPr>
              <w:t>)</w:t>
            </w:r>
          </w:p>
        </w:tc>
      </w:tr>
      <w:tr w:rsidRPr="00EA7565" w:rsidR="00EA7565" w:rsidTr="00EA7565" w14:paraId="1384F466" w14:textId="77777777">
        <w:trPr>
          <w:trHeight w:val="276"/>
        </w:trPr>
        <w:tc>
          <w:tcPr>
            <w:tcW w:w="3392" w:type="dxa"/>
            <w:tcBorders>
              <w:top w:val="nil"/>
              <w:left w:val="single" w:color="auto" w:sz="8" w:space="0"/>
              <w:bottom w:val="single" w:color="auto" w:sz="8" w:space="0"/>
              <w:right w:val="nil"/>
            </w:tcBorders>
            <w:shd w:val="clear" w:color="auto" w:fill="auto"/>
            <w:noWrap/>
            <w:vAlign w:val="center"/>
            <w:hideMark/>
          </w:tcPr>
          <w:p w:rsidRPr="00EA7565" w:rsidR="00EA7565" w:rsidP="00EA7565" w:rsidRDefault="00EA7565" w14:paraId="4C4C9721" w14:textId="77777777">
            <w:pPr>
              <w:spacing w:after="0" w:line="240" w:lineRule="auto"/>
              <w:rPr>
                <w:rFonts w:eastAsia="Times New Roman" w:cs="Arial"/>
                <w:color w:val="000000"/>
                <w:sz w:val="20"/>
                <w:szCs w:val="20"/>
                <w:lang w:eastAsia="en-GB"/>
              </w:rPr>
            </w:pPr>
            <w:r w:rsidRPr="00EA7565">
              <w:rPr>
                <w:rFonts w:eastAsia="Times New Roman" w:cs="Arial"/>
                <w:color w:val="000000"/>
                <w:sz w:val="20"/>
                <w:szCs w:val="20"/>
                <w:lang w:eastAsia="en-GB"/>
              </w:rPr>
              <w:t xml:space="preserve">Adoption Service Grant </w:t>
            </w:r>
          </w:p>
        </w:tc>
        <w:tc>
          <w:tcPr>
            <w:tcW w:w="1560" w:type="dxa"/>
            <w:tcBorders>
              <w:top w:val="nil"/>
              <w:left w:val="single" w:color="auto" w:sz="8" w:space="0"/>
              <w:bottom w:val="single" w:color="auto" w:sz="8" w:space="0"/>
              <w:right w:val="single" w:color="auto" w:sz="8" w:space="0"/>
            </w:tcBorders>
            <w:shd w:val="clear" w:color="auto" w:fill="auto"/>
            <w:noWrap/>
            <w:vAlign w:val="center"/>
            <w:hideMark/>
          </w:tcPr>
          <w:p w:rsidRPr="00EA7565" w:rsidR="00EA7565" w:rsidP="00EA7565" w:rsidRDefault="00EA7565" w14:paraId="314E9D76" w14:textId="77777777">
            <w:pPr>
              <w:spacing w:after="0" w:line="240" w:lineRule="auto"/>
              <w:jc w:val="center"/>
              <w:rPr>
                <w:rFonts w:eastAsia="Times New Roman" w:cs="Arial"/>
                <w:color w:val="000000"/>
                <w:sz w:val="20"/>
                <w:szCs w:val="20"/>
                <w:lang w:eastAsia="en-GB"/>
              </w:rPr>
            </w:pPr>
            <w:r w:rsidRPr="00EA7565">
              <w:rPr>
                <w:rFonts w:eastAsia="Times New Roman" w:cs="Arial"/>
                <w:color w:val="000000"/>
                <w:sz w:val="20"/>
                <w:szCs w:val="20"/>
                <w:lang w:eastAsia="en-GB"/>
              </w:rPr>
              <w:t>537</w:t>
            </w:r>
          </w:p>
        </w:tc>
        <w:tc>
          <w:tcPr>
            <w:tcW w:w="1452" w:type="dxa"/>
            <w:tcBorders>
              <w:top w:val="nil"/>
              <w:left w:val="nil"/>
              <w:bottom w:val="single" w:color="auto" w:sz="8" w:space="0"/>
              <w:right w:val="single" w:color="auto" w:sz="8" w:space="0"/>
            </w:tcBorders>
            <w:shd w:val="clear" w:color="auto" w:fill="auto"/>
            <w:noWrap/>
            <w:vAlign w:val="center"/>
            <w:hideMark/>
          </w:tcPr>
          <w:p w:rsidRPr="00EA7565" w:rsidR="00EA7565" w:rsidP="00EA7565" w:rsidRDefault="00F00D2E" w14:paraId="2FFB94DB" w14:textId="461A881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w:t>
            </w:r>
            <w:r w:rsidRPr="00EA7565" w:rsidR="00EA7565">
              <w:rPr>
                <w:rFonts w:eastAsia="Times New Roman" w:cs="Arial"/>
                <w:color w:val="000000"/>
                <w:sz w:val="20"/>
                <w:szCs w:val="20"/>
                <w:lang w:eastAsia="en-GB"/>
              </w:rPr>
              <w:t>537</w:t>
            </w:r>
            <w:r>
              <w:rPr>
                <w:rFonts w:eastAsia="Times New Roman" w:cs="Arial"/>
                <w:color w:val="000000"/>
                <w:sz w:val="20"/>
                <w:szCs w:val="20"/>
                <w:lang w:eastAsia="en-GB"/>
              </w:rPr>
              <w:t>)</w:t>
            </w:r>
          </w:p>
        </w:tc>
        <w:tc>
          <w:tcPr>
            <w:tcW w:w="1666" w:type="dxa"/>
            <w:tcBorders>
              <w:top w:val="nil"/>
              <w:left w:val="nil"/>
              <w:bottom w:val="single" w:color="auto" w:sz="8" w:space="0"/>
              <w:right w:val="single" w:color="auto" w:sz="8" w:space="0"/>
            </w:tcBorders>
            <w:shd w:val="clear" w:color="auto" w:fill="auto"/>
            <w:vAlign w:val="center"/>
            <w:hideMark/>
          </w:tcPr>
          <w:p w:rsidRPr="00EA7565" w:rsidR="00EA7565" w:rsidP="00EA7565" w:rsidRDefault="00EA7565" w14:paraId="618A58FE" w14:textId="77777777">
            <w:pPr>
              <w:spacing w:after="0" w:line="240" w:lineRule="auto"/>
              <w:jc w:val="center"/>
              <w:rPr>
                <w:rFonts w:eastAsia="Times New Roman" w:cs="Arial"/>
                <w:color w:val="000000"/>
                <w:sz w:val="20"/>
                <w:szCs w:val="20"/>
                <w:lang w:eastAsia="en-GB"/>
              </w:rPr>
            </w:pPr>
            <w:r w:rsidRPr="00EA7565">
              <w:rPr>
                <w:rFonts w:eastAsia="Times New Roman" w:cs="Arial"/>
                <w:color w:val="000000"/>
                <w:sz w:val="20"/>
                <w:szCs w:val="20"/>
                <w:lang w:eastAsia="en-GB"/>
              </w:rPr>
              <w:t>0</w:t>
            </w:r>
          </w:p>
        </w:tc>
      </w:tr>
      <w:tr w:rsidRPr="00EA7565" w:rsidR="00EA7565" w:rsidTr="00EA7565" w14:paraId="01E2C4EB" w14:textId="77777777">
        <w:trPr>
          <w:trHeight w:val="276"/>
        </w:trPr>
        <w:tc>
          <w:tcPr>
            <w:tcW w:w="3392" w:type="dxa"/>
            <w:tcBorders>
              <w:top w:val="nil"/>
              <w:left w:val="single" w:color="auto" w:sz="8" w:space="0"/>
              <w:bottom w:val="single" w:color="auto" w:sz="8" w:space="0"/>
              <w:right w:val="nil"/>
            </w:tcBorders>
            <w:shd w:val="clear" w:color="000000" w:fill="DBE5F1"/>
            <w:noWrap/>
            <w:vAlign w:val="center"/>
            <w:hideMark/>
          </w:tcPr>
          <w:p w:rsidRPr="00EA7565" w:rsidR="00EA7565" w:rsidP="00EA7565" w:rsidRDefault="00EA7565" w14:paraId="6EA0A4A6"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Total</w:t>
            </w:r>
          </w:p>
        </w:tc>
        <w:tc>
          <w:tcPr>
            <w:tcW w:w="1560" w:type="dxa"/>
            <w:tcBorders>
              <w:top w:val="nil"/>
              <w:left w:val="single" w:color="auto" w:sz="8" w:space="0"/>
              <w:bottom w:val="single" w:color="auto" w:sz="8" w:space="0"/>
              <w:right w:val="single" w:color="auto" w:sz="8" w:space="0"/>
            </w:tcBorders>
            <w:shd w:val="clear" w:color="000000" w:fill="DBE5F1"/>
            <w:noWrap/>
            <w:vAlign w:val="center"/>
            <w:hideMark/>
          </w:tcPr>
          <w:p w:rsidRPr="00EA7565" w:rsidR="00EA7565" w:rsidP="00EA7565" w:rsidRDefault="00EA7565" w14:paraId="23D96BF8" w14:textId="77777777">
            <w:pPr>
              <w:spacing w:after="0" w:line="240" w:lineRule="auto"/>
              <w:jc w:val="center"/>
              <w:rPr>
                <w:rFonts w:eastAsia="Times New Roman" w:cs="Arial"/>
                <w:b/>
                <w:bCs/>
                <w:color w:val="000000"/>
                <w:sz w:val="20"/>
                <w:szCs w:val="20"/>
                <w:lang w:eastAsia="en-GB"/>
              </w:rPr>
            </w:pPr>
            <w:r w:rsidRPr="00EA7565">
              <w:rPr>
                <w:rFonts w:eastAsia="Times New Roman" w:cs="Arial"/>
                <w:b/>
                <w:bCs/>
                <w:color w:val="000000"/>
                <w:sz w:val="20"/>
                <w:szCs w:val="20"/>
                <w:lang w:eastAsia="en-GB"/>
              </w:rPr>
              <w:t>2,599</w:t>
            </w:r>
          </w:p>
        </w:tc>
        <w:tc>
          <w:tcPr>
            <w:tcW w:w="1452" w:type="dxa"/>
            <w:tcBorders>
              <w:top w:val="nil"/>
              <w:left w:val="nil"/>
              <w:bottom w:val="single" w:color="auto" w:sz="8" w:space="0"/>
              <w:right w:val="single" w:color="auto" w:sz="8" w:space="0"/>
            </w:tcBorders>
            <w:shd w:val="clear" w:color="000000" w:fill="DBE5F1"/>
            <w:noWrap/>
            <w:vAlign w:val="center"/>
            <w:hideMark/>
          </w:tcPr>
          <w:p w:rsidRPr="00EA7565" w:rsidR="00EA7565" w:rsidP="00EA7565" w:rsidRDefault="00F00D2E" w14:paraId="670FBFB7" w14:textId="7AC8ABAB">
            <w:pPr>
              <w:spacing w:after="0" w:line="240" w:lineRule="auto"/>
              <w:jc w:val="center"/>
              <w:rPr>
                <w:rFonts w:eastAsia="Times New Roman" w:cs="Arial"/>
                <w:b/>
                <w:bCs/>
                <w:color w:val="000000"/>
                <w:sz w:val="20"/>
                <w:szCs w:val="20"/>
                <w:lang w:eastAsia="en-GB"/>
              </w:rPr>
            </w:pPr>
            <w:r>
              <w:rPr>
                <w:rFonts w:eastAsia="Times New Roman" w:cs="Arial"/>
                <w:b/>
                <w:bCs/>
                <w:color w:val="000000"/>
                <w:sz w:val="20"/>
                <w:szCs w:val="20"/>
                <w:lang w:eastAsia="en-GB"/>
              </w:rPr>
              <w:t>(</w:t>
            </w:r>
            <w:r w:rsidRPr="00EA7565" w:rsidR="00EA7565">
              <w:rPr>
                <w:rFonts w:eastAsia="Times New Roman" w:cs="Arial"/>
                <w:b/>
                <w:bCs/>
                <w:color w:val="000000"/>
                <w:sz w:val="20"/>
                <w:szCs w:val="20"/>
                <w:lang w:eastAsia="en-GB"/>
              </w:rPr>
              <w:t>2,579</w:t>
            </w:r>
            <w:r>
              <w:rPr>
                <w:rFonts w:eastAsia="Times New Roman" w:cs="Arial"/>
                <w:b/>
                <w:bCs/>
                <w:color w:val="000000"/>
                <w:sz w:val="20"/>
                <w:szCs w:val="20"/>
                <w:lang w:eastAsia="en-GB"/>
              </w:rPr>
              <w:t>)</w:t>
            </w:r>
          </w:p>
        </w:tc>
        <w:tc>
          <w:tcPr>
            <w:tcW w:w="1666" w:type="dxa"/>
            <w:tcBorders>
              <w:top w:val="nil"/>
              <w:left w:val="nil"/>
              <w:bottom w:val="single" w:color="auto" w:sz="8" w:space="0"/>
              <w:right w:val="single" w:color="auto" w:sz="8" w:space="0"/>
            </w:tcBorders>
            <w:shd w:val="clear" w:color="000000" w:fill="DBE5F1"/>
            <w:vAlign w:val="center"/>
            <w:hideMark/>
          </w:tcPr>
          <w:p w:rsidRPr="00EA7565" w:rsidR="00EA7565" w:rsidP="00EA7565" w:rsidRDefault="00A266DC" w14:paraId="623AB947" w14:textId="03668B84">
            <w:pPr>
              <w:spacing w:after="0" w:line="240" w:lineRule="auto"/>
              <w:jc w:val="center"/>
              <w:rPr>
                <w:rFonts w:eastAsia="Times New Roman" w:cs="Arial"/>
                <w:b/>
                <w:bCs/>
                <w:color w:val="000000"/>
                <w:sz w:val="20"/>
                <w:szCs w:val="20"/>
                <w:lang w:eastAsia="en-GB"/>
              </w:rPr>
            </w:pPr>
            <w:r>
              <w:rPr>
                <w:rFonts w:eastAsia="Times New Roman" w:cs="Arial"/>
                <w:b/>
                <w:bCs/>
                <w:color w:val="000000"/>
                <w:sz w:val="20"/>
                <w:szCs w:val="20"/>
                <w:lang w:eastAsia="en-GB"/>
              </w:rPr>
              <w:t>(</w:t>
            </w:r>
            <w:r w:rsidRPr="00EA7565" w:rsidR="00EA7565">
              <w:rPr>
                <w:rFonts w:eastAsia="Times New Roman" w:cs="Arial"/>
                <w:b/>
                <w:bCs/>
                <w:color w:val="000000"/>
                <w:sz w:val="20"/>
                <w:szCs w:val="20"/>
                <w:lang w:eastAsia="en-GB"/>
              </w:rPr>
              <w:t>2</w:t>
            </w:r>
            <w:r w:rsidR="0085460C">
              <w:rPr>
                <w:rFonts w:eastAsia="Times New Roman" w:cs="Arial"/>
                <w:b/>
                <w:bCs/>
                <w:color w:val="000000"/>
                <w:sz w:val="20"/>
                <w:szCs w:val="20"/>
                <w:lang w:eastAsia="en-GB"/>
              </w:rPr>
              <w:t>0</w:t>
            </w:r>
            <w:r>
              <w:rPr>
                <w:rFonts w:eastAsia="Times New Roman" w:cs="Arial"/>
                <w:b/>
                <w:bCs/>
                <w:color w:val="000000"/>
                <w:sz w:val="20"/>
                <w:szCs w:val="20"/>
                <w:lang w:eastAsia="en-GB"/>
              </w:rPr>
              <w:t>)</w:t>
            </w:r>
          </w:p>
        </w:tc>
      </w:tr>
    </w:tbl>
    <w:p w:rsidRPr="00614894" w:rsidR="00DB5535" w:rsidP="009D3B72" w:rsidRDefault="00DB5535" w14:paraId="27398AB4" w14:textId="77777777">
      <w:pPr>
        <w:jc w:val="both"/>
        <w:rPr>
          <w:rFonts w:cs="Arial"/>
          <w:highlight w:val="yellow"/>
        </w:rPr>
      </w:pPr>
    </w:p>
    <w:p w:rsidRPr="003C4DCD" w:rsidR="003C4DCD" w:rsidP="009D3B72" w:rsidRDefault="003C4DCD" w14:paraId="5B705AC5" w14:textId="77777777">
      <w:pPr>
        <w:jc w:val="both"/>
        <w:rPr>
          <w:rFonts w:cs="Arial"/>
          <w:b/>
        </w:rPr>
      </w:pPr>
      <w:r w:rsidRPr="003C4DCD">
        <w:rPr>
          <w:rFonts w:cs="Arial"/>
          <w:b/>
        </w:rPr>
        <w:t>Core Budget</w:t>
      </w:r>
    </w:p>
    <w:p w:rsidRPr="00701AFD" w:rsidR="00701AFD" w:rsidP="009D3B72" w:rsidRDefault="00701AFD" w14:paraId="7B517D77" w14:textId="56F3B8B9">
      <w:pPr>
        <w:jc w:val="both"/>
        <w:rPr>
          <w:rFonts w:cs="Arial"/>
        </w:rPr>
      </w:pPr>
      <w:r>
        <w:rPr>
          <w:rFonts w:cs="Arial"/>
        </w:rPr>
        <w:t xml:space="preserve">In relation to the Core budget the outturn </w:t>
      </w:r>
      <w:r w:rsidRPr="00701AFD">
        <w:rPr>
          <w:rFonts w:cs="Arial"/>
        </w:rPr>
        <w:t xml:space="preserve">position as </w:t>
      </w:r>
      <w:proofErr w:type="gramStart"/>
      <w:r w:rsidRPr="00701AFD">
        <w:rPr>
          <w:rFonts w:cs="Arial"/>
        </w:rPr>
        <w:t>at</w:t>
      </w:r>
      <w:proofErr w:type="gramEnd"/>
      <w:r w:rsidRPr="00701AFD">
        <w:rPr>
          <w:rFonts w:cs="Arial"/>
        </w:rPr>
        <w:t xml:space="preserve"> 31st March 2023 is an underspend of £6</w:t>
      </w:r>
      <w:r w:rsidR="00F00D2E">
        <w:rPr>
          <w:rFonts w:cs="Arial"/>
        </w:rPr>
        <w:t>4</w:t>
      </w:r>
      <w:r w:rsidRPr="00701AFD">
        <w:rPr>
          <w:rFonts w:cs="Arial"/>
        </w:rPr>
        <w:t>k. The main reasons for this are outlined below:-</w:t>
      </w:r>
    </w:p>
    <w:p w:rsidR="00701AFD" w:rsidP="00701AFD" w:rsidRDefault="005B5D33" w14:paraId="6882C903" w14:textId="54FF6733">
      <w:pPr>
        <w:pStyle w:val="ListNumber"/>
        <w:numPr>
          <w:ilvl w:val="0"/>
          <w:numId w:val="0"/>
        </w:numPr>
        <w:rPr>
          <w:rFonts w:cs="Arial" w:eastAsiaTheme="minorHAnsi"/>
          <w:sz w:val="22"/>
          <w:szCs w:val="22"/>
          <w:lang w:eastAsia="en-US"/>
        </w:rPr>
      </w:pPr>
      <w:r>
        <w:rPr>
          <w:rFonts w:cs="Arial" w:eastAsiaTheme="minorHAnsi"/>
          <w:sz w:val="22"/>
          <w:szCs w:val="22"/>
          <w:lang w:eastAsia="en-US"/>
        </w:rPr>
        <w:lastRenderedPageBreak/>
        <w:t xml:space="preserve">Employees – Underspent at year end by £39k.  </w:t>
      </w:r>
      <w:r w:rsidRPr="00701AFD" w:rsidR="00701AFD">
        <w:rPr>
          <w:rFonts w:cs="Arial" w:eastAsiaTheme="minorHAnsi"/>
          <w:sz w:val="22"/>
          <w:szCs w:val="22"/>
          <w:lang w:eastAsia="en-US"/>
        </w:rPr>
        <w:t xml:space="preserve">When the budget was set for 2022/23 a 2% uplift for the pay award was assumed however the </w:t>
      </w:r>
      <w:r>
        <w:rPr>
          <w:rFonts w:cs="Arial" w:eastAsiaTheme="minorHAnsi"/>
          <w:sz w:val="22"/>
          <w:szCs w:val="22"/>
          <w:lang w:eastAsia="en-US"/>
        </w:rPr>
        <w:t>pay award</w:t>
      </w:r>
      <w:r w:rsidRPr="00701AFD" w:rsidR="00701AFD">
        <w:rPr>
          <w:rFonts w:cs="Arial" w:eastAsiaTheme="minorHAnsi"/>
          <w:sz w:val="22"/>
          <w:szCs w:val="22"/>
          <w:lang w:eastAsia="en-US"/>
        </w:rPr>
        <w:t xml:space="preserve"> offer of a flat £1,925 per employee is equivalent to circa 6%.  Due to a delay in establishing and recruiting the new Social Care Officer roles, and other staff vacancies alongside some staff member not yet reaching the top of scale, the service was able to absorb the pay award uplift for 2022/23 in year within the existing budget and this has also contributed to the staffing underspend in year.  The Business Support restructure has not yet been fully implemented which again has contributed to the staffing underspend.</w:t>
      </w:r>
      <w:r>
        <w:rPr>
          <w:rFonts w:cs="Arial" w:eastAsiaTheme="minorHAnsi"/>
          <w:sz w:val="22"/>
          <w:szCs w:val="22"/>
          <w:lang w:eastAsia="en-US"/>
        </w:rPr>
        <w:t xml:space="preserve">  </w:t>
      </w:r>
      <w:r w:rsidRPr="00701AFD" w:rsidR="00701AFD">
        <w:rPr>
          <w:rFonts w:cs="Arial" w:eastAsiaTheme="minorHAnsi"/>
          <w:sz w:val="22"/>
          <w:szCs w:val="22"/>
          <w:lang w:eastAsia="en-US"/>
        </w:rPr>
        <w:t>In the latter part of the year a hold was placed on filling vacant posts to help mitigate the pressure of realising the savings that need to be found during 2023/24.</w:t>
      </w:r>
    </w:p>
    <w:p w:rsidR="005B5D33" w:rsidP="00701AFD" w:rsidRDefault="005B5D33" w14:paraId="6526E8FD" w14:textId="5C4967AC">
      <w:pPr>
        <w:pStyle w:val="ListNumber"/>
        <w:numPr>
          <w:ilvl w:val="0"/>
          <w:numId w:val="0"/>
        </w:numPr>
        <w:rPr>
          <w:rFonts w:cs="Arial" w:eastAsiaTheme="minorHAnsi"/>
          <w:sz w:val="22"/>
          <w:szCs w:val="22"/>
          <w:lang w:eastAsia="en-US"/>
        </w:rPr>
      </w:pPr>
      <w:r>
        <w:rPr>
          <w:rFonts w:cs="Arial" w:eastAsiaTheme="minorHAnsi"/>
          <w:sz w:val="22"/>
          <w:szCs w:val="22"/>
          <w:lang w:eastAsia="en-US"/>
        </w:rPr>
        <w:t>Travel – Underspent at year end by £16k.  This has occurred as a result of a reduction in staff travel due to hybrid working.</w:t>
      </w:r>
    </w:p>
    <w:p w:rsidRPr="00701AFD" w:rsidR="00701AFD" w:rsidP="00701AFD" w:rsidRDefault="005B5D33" w14:paraId="1C0F3E5D" w14:textId="4903D751">
      <w:pPr>
        <w:pStyle w:val="ListNumber"/>
        <w:numPr>
          <w:ilvl w:val="0"/>
          <w:numId w:val="0"/>
        </w:numPr>
        <w:rPr>
          <w:rFonts w:cs="Arial" w:eastAsiaTheme="minorHAnsi"/>
          <w:sz w:val="22"/>
          <w:szCs w:val="22"/>
          <w:lang w:eastAsia="en-US"/>
        </w:rPr>
      </w:pPr>
      <w:r>
        <w:rPr>
          <w:rFonts w:cs="Arial" w:eastAsiaTheme="minorHAnsi"/>
          <w:sz w:val="22"/>
          <w:szCs w:val="22"/>
          <w:lang w:eastAsia="en-US"/>
        </w:rPr>
        <w:t xml:space="preserve">Supplies and Services – Overall this budget was underspent at year end by £3k.  The main variances are printer costs (£9k underspend) </w:t>
      </w:r>
      <w:r w:rsidRPr="00701AFD">
        <w:rPr>
          <w:rFonts w:cs="Arial" w:eastAsiaTheme="minorHAnsi"/>
          <w:sz w:val="22"/>
          <w:szCs w:val="22"/>
          <w:lang w:eastAsia="en-US"/>
        </w:rPr>
        <w:t>as there is a move to online working</w:t>
      </w:r>
      <w:r>
        <w:rPr>
          <w:rFonts w:cs="Arial" w:eastAsiaTheme="minorHAnsi"/>
          <w:sz w:val="22"/>
          <w:szCs w:val="22"/>
          <w:lang w:eastAsia="en-US"/>
        </w:rPr>
        <w:t xml:space="preserve">, </w:t>
      </w:r>
      <w:r w:rsidR="00463B77">
        <w:rPr>
          <w:rFonts w:cs="Arial" w:eastAsiaTheme="minorHAnsi"/>
          <w:sz w:val="22"/>
          <w:szCs w:val="22"/>
          <w:lang w:eastAsia="en-US"/>
        </w:rPr>
        <w:t>a</w:t>
      </w:r>
      <w:r>
        <w:rPr>
          <w:rFonts w:cs="Arial" w:eastAsiaTheme="minorHAnsi"/>
          <w:sz w:val="22"/>
          <w:szCs w:val="22"/>
          <w:lang w:eastAsia="en-US"/>
        </w:rPr>
        <w:t>dopter training budget (£4k underspend) as</w:t>
      </w:r>
      <w:r w:rsidRPr="005B5D33">
        <w:rPr>
          <w:rFonts w:cs="Arial" w:eastAsiaTheme="minorHAnsi"/>
          <w:sz w:val="22"/>
          <w:szCs w:val="22"/>
          <w:lang w:eastAsia="en-US"/>
        </w:rPr>
        <w:t xml:space="preserve"> </w:t>
      </w:r>
      <w:r w:rsidRPr="00701AFD">
        <w:rPr>
          <w:rFonts w:cs="Arial" w:eastAsiaTheme="minorHAnsi"/>
          <w:sz w:val="22"/>
          <w:szCs w:val="22"/>
          <w:lang w:eastAsia="en-US"/>
        </w:rPr>
        <w:t>training has continued to be delivered virtually</w:t>
      </w:r>
      <w:r>
        <w:rPr>
          <w:rFonts w:cs="Arial" w:eastAsiaTheme="minorHAnsi"/>
          <w:sz w:val="22"/>
          <w:szCs w:val="22"/>
          <w:lang w:eastAsia="en-US"/>
        </w:rPr>
        <w:t xml:space="preserve">, </w:t>
      </w:r>
      <w:r w:rsidR="00463B77">
        <w:rPr>
          <w:rFonts w:cs="Arial" w:eastAsiaTheme="minorHAnsi"/>
          <w:sz w:val="22"/>
          <w:szCs w:val="22"/>
          <w:lang w:eastAsia="en-US"/>
        </w:rPr>
        <w:t>s</w:t>
      </w:r>
      <w:r>
        <w:rPr>
          <w:rFonts w:cs="Arial" w:eastAsiaTheme="minorHAnsi"/>
          <w:sz w:val="22"/>
          <w:szCs w:val="22"/>
          <w:lang w:eastAsia="en-US"/>
        </w:rPr>
        <w:t xml:space="preserve">oftware </w:t>
      </w:r>
      <w:r w:rsidR="00463B77">
        <w:rPr>
          <w:rFonts w:cs="Arial" w:eastAsiaTheme="minorHAnsi"/>
          <w:sz w:val="22"/>
          <w:szCs w:val="22"/>
          <w:lang w:eastAsia="en-US"/>
        </w:rPr>
        <w:t>l</w:t>
      </w:r>
      <w:r>
        <w:rPr>
          <w:rFonts w:cs="Arial" w:eastAsiaTheme="minorHAnsi"/>
          <w:sz w:val="22"/>
          <w:szCs w:val="22"/>
          <w:lang w:eastAsia="en-US"/>
        </w:rPr>
        <w:t xml:space="preserve">icence </w:t>
      </w:r>
      <w:r w:rsidR="00463B77">
        <w:rPr>
          <w:rFonts w:cs="Arial" w:eastAsiaTheme="minorHAnsi"/>
          <w:sz w:val="22"/>
          <w:szCs w:val="22"/>
          <w:lang w:eastAsia="en-US"/>
        </w:rPr>
        <w:t>f</w:t>
      </w:r>
      <w:r>
        <w:rPr>
          <w:rFonts w:cs="Arial" w:eastAsiaTheme="minorHAnsi"/>
          <w:sz w:val="22"/>
          <w:szCs w:val="22"/>
          <w:lang w:eastAsia="en-US"/>
        </w:rPr>
        <w:t xml:space="preserve">ees (£20k overspend) </w:t>
      </w:r>
      <w:r w:rsidRPr="00701AFD">
        <w:rPr>
          <w:rFonts w:cs="Arial" w:eastAsiaTheme="minorHAnsi"/>
          <w:sz w:val="22"/>
          <w:szCs w:val="22"/>
          <w:lang w:eastAsia="en-US"/>
        </w:rPr>
        <w:t>mainly due to an increase in cost in relation to the Microsoft Licences</w:t>
      </w:r>
      <w:r>
        <w:rPr>
          <w:rFonts w:cs="Arial" w:eastAsiaTheme="minorHAnsi"/>
          <w:sz w:val="22"/>
          <w:szCs w:val="22"/>
          <w:lang w:eastAsia="en-US"/>
        </w:rPr>
        <w:t>, postage (£4k underspend)</w:t>
      </w:r>
      <w:r w:rsidR="00C3103E">
        <w:rPr>
          <w:rFonts w:cs="Arial" w:eastAsiaTheme="minorHAnsi"/>
          <w:sz w:val="22"/>
          <w:szCs w:val="22"/>
          <w:lang w:eastAsia="en-US"/>
        </w:rPr>
        <w:t xml:space="preserve"> </w:t>
      </w:r>
      <w:r w:rsidRPr="00701AFD" w:rsidR="00C3103E">
        <w:rPr>
          <w:rFonts w:cs="Arial" w:eastAsiaTheme="minorHAnsi"/>
          <w:sz w:val="22"/>
          <w:szCs w:val="22"/>
          <w:lang w:eastAsia="en-US"/>
        </w:rPr>
        <w:t>due to the fact that less postage is now required due to the increased use of emails</w:t>
      </w:r>
      <w:r w:rsidR="00C3103E">
        <w:rPr>
          <w:rFonts w:cs="Arial" w:eastAsiaTheme="minorHAnsi"/>
          <w:sz w:val="22"/>
          <w:szCs w:val="22"/>
          <w:lang w:eastAsia="en-US"/>
        </w:rPr>
        <w:t xml:space="preserve">, </w:t>
      </w:r>
      <w:r w:rsidR="00463B77">
        <w:rPr>
          <w:rFonts w:cs="Arial" w:eastAsiaTheme="minorHAnsi"/>
          <w:sz w:val="22"/>
          <w:szCs w:val="22"/>
          <w:lang w:eastAsia="en-US"/>
        </w:rPr>
        <w:t>s</w:t>
      </w:r>
      <w:r w:rsidRPr="00701AFD" w:rsidR="00C3103E">
        <w:rPr>
          <w:rFonts w:cs="Arial" w:eastAsiaTheme="minorHAnsi"/>
          <w:sz w:val="22"/>
          <w:szCs w:val="22"/>
          <w:lang w:eastAsia="en-US"/>
        </w:rPr>
        <w:t xml:space="preserve">oftware </w:t>
      </w:r>
      <w:r w:rsidR="00463B77">
        <w:rPr>
          <w:rFonts w:cs="Arial" w:eastAsiaTheme="minorHAnsi"/>
          <w:sz w:val="22"/>
          <w:szCs w:val="22"/>
          <w:lang w:eastAsia="en-US"/>
        </w:rPr>
        <w:t>m</w:t>
      </w:r>
      <w:r w:rsidRPr="00701AFD" w:rsidR="00C3103E">
        <w:rPr>
          <w:rFonts w:cs="Arial" w:eastAsiaTheme="minorHAnsi"/>
          <w:sz w:val="22"/>
          <w:szCs w:val="22"/>
          <w:lang w:eastAsia="en-US"/>
        </w:rPr>
        <w:t xml:space="preserve">aintenance </w:t>
      </w:r>
      <w:r w:rsidR="00C3103E">
        <w:rPr>
          <w:rFonts w:cs="Arial" w:eastAsiaTheme="minorHAnsi"/>
          <w:sz w:val="22"/>
          <w:szCs w:val="22"/>
          <w:lang w:eastAsia="en-US"/>
        </w:rPr>
        <w:t>(</w:t>
      </w:r>
      <w:r w:rsidRPr="00701AFD" w:rsidR="00C3103E">
        <w:rPr>
          <w:rFonts w:cs="Arial" w:eastAsiaTheme="minorHAnsi"/>
          <w:sz w:val="22"/>
          <w:szCs w:val="22"/>
          <w:lang w:eastAsia="en-US"/>
        </w:rPr>
        <w:t>£7k</w:t>
      </w:r>
      <w:r w:rsidR="00C3103E">
        <w:rPr>
          <w:rFonts w:cs="Arial" w:eastAsiaTheme="minorHAnsi"/>
          <w:sz w:val="22"/>
          <w:szCs w:val="22"/>
          <w:lang w:eastAsia="en-US"/>
        </w:rPr>
        <w:t xml:space="preserve"> underspend), </w:t>
      </w:r>
      <w:r w:rsidR="00463B77">
        <w:rPr>
          <w:rFonts w:cs="Arial" w:eastAsiaTheme="minorHAnsi"/>
          <w:sz w:val="22"/>
          <w:szCs w:val="22"/>
          <w:lang w:eastAsia="en-US"/>
        </w:rPr>
        <w:t>s</w:t>
      </w:r>
      <w:r w:rsidRPr="00701AFD" w:rsidR="00701AFD">
        <w:rPr>
          <w:rFonts w:cs="Arial" w:eastAsiaTheme="minorHAnsi"/>
          <w:sz w:val="22"/>
          <w:szCs w:val="22"/>
          <w:lang w:eastAsia="en-US"/>
        </w:rPr>
        <w:t>ubscriptions</w:t>
      </w:r>
      <w:r w:rsidR="00C3103E">
        <w:rPr>
          <w:rFonts w:cs="Arial" w:eastAsiaTheme="minorHAnsi"/>
          <w:sz w:val="22"/>
          <w:szCs w:val="22"/>
          <w:lang w:eastAsia="en-US"/>
        </w:rPr>
        <w:t xml:space="preserve"> (£11k overspend) as</w:t>
      </w:r>
      <w:r w:rsidRPr="00701AFD" w:rsidR="00701AFD">
        <w:rPr>
          <w:rFonts w:cs="Arial" w:eastAsiaTheme="minorHAnsi"/>
          <w:sz w:val="22"/>
          <w:szCs w:val="22"/>
          <w:lang w:eastAsia="en-US"/>
        </w:rPr>
        <w:t xml:space="preserve"> costs have increased</w:t>
      </w:r>
      <w:r w:rsidR="00C3103E">
        <w:rPr>
          <w:rFonts w:cs="Arial" w:eastAsiaTheme="minorHAnsi"/>
          <w:sz w:val="22"/>
          <w:szCs w:val="22"/>
          <w:lang w:eastAsia="en-US"/>
        </w:rPr>
        <w:t>, t</w:t>
      </w:r>
      <w:r w:rsidRPr="00701AFD" w:rsidR="00701AFD">
        <w:rPr>
          <w:rFonts w:cs="Arial" w:eastAsiaTheme="minorHAnsi"/>
          <w:sz w:val="22"/>
          <w:szCs w:val="22"/>
          <w:lang w:eastAsia="en-US"/>
        </w:rPr>
        <w:t xml:space="preserve">ranslation costs </w:t>
      </w:r>
      <w:r w:rsidR="00C3103E">
        <w:rPr>
          <w:rFonts w:cs="Arial" w:eastAsiaTheme="minorHAnsi"/>
          <w:sz w:val="22"/>
          <w:szCs w:val="22"/>
          <w:lang w:eastAsia="en-US"/>
        </w:rPr>
        <w:t>(£2k</w:t>
      </w:r>
      <w:r w:rsidRPr="00701AFD" w:rsidR="00701AFD">
        <w:rPr>
          <w:rFonts w:cs="Arial" w:eastAsiaTheme="minorHAnsi"/>
          <w:sz w:val="22"/>
          <w:szCs w:val="22"/>
          <w:lang w:eastAsia="en-US"/>
        </w:rPr>
        <w:t xml:space="preserve"> overspen</w:t>
      </w:r>
      <w:r w:rsidR="00C3103E">
        <w:rPr>
          <w:rFonts w:cs="Arial" w:eastAsiaTheme="minorHAnsi"/>
          <w:sz w:val="22"/>
          <w:szCs w:val="22"/>
          <w:lang w:eastAsia="en-US"/>
        </w:rPr>
        <w:t xml:space="preserve">d) and adoption expenses (£12k underspend) </w:t>
      </w:r>
      <w:r w:rsidRPr="00701AFD" w:rsidR="00C3103E">
        <w:rPr>
          <w:rFonts w:cs="Arial" w:eastAsiaTheme="minorHAnsi"/>
          <w:sz w:val="22"/>
          <w:szCs w:val="22"/>
          <w:lang w:eastAsia="en-US"/>
        </w:rPr>
        <w:t>due to varying accommodation rates and need</w:t>
      </w:r>
      <w:r w:rsidR="00C3103E">
        <w:rPr>
          <w:rFonts w:cs="Arial" w:eastAsiaTheme="minorHAnsi"/>
          <w:sz w:val="22"/>
          <w:szCs w:val="22"/>
          <w:lang w:eastAsia="en-US"/>
        </w:rPr>
        <w:t>.</w:t>
      </w:r>
    </w:p>
    <w:p w:rsidRPr="00701AFD" w:rsidR="00C3103E" w:rsidP="00C3103E" w:rsidRDefault="00701AFD" w14:paraId="1E28F638" w14:textId="77777777">
      <w:pPr>
        <w:pStyle w:val="ListNumber"/>
        <w:numPr>
          <w:ilvl w:val="0"/>
          <w:numId w:val="0"/>
        </w:numPr>
        <w:rPr>
          <w:rFonts w:cs="Arial" w:eastAsiaTheme="minorHAnsi"/>
          <w:sz w:val="22"/>
          <w:szCs w:val="22"/>
          <w:lang w:eastAsia="en-US"/>
        </w:rPr>
      </w:pPr>
      <w:r w:rsidRPr="00701AFD">
        <w:rPr>
          <w:rFonts w:cs="Arial" w:eastAsiaTheme="minorHAnsi"/>
          <w:sz w:val="22"/>
          <w:szCs w:val="22"/>
          <w:lang w:eastAsia="en-US"/>
        </w:rPr>
        <w:t>Other Income - Underspent at year end by £7k</w:t>
      </w:r>
      <w:r w:rsidR="00C3103E">
        <w:rPr>
          <w:rFonts w:cs="Arial" w:eastAsiaTheme="minorHAnsi"/>
          <w:sz w:val="22"/>
          <w:szCs w:val="22"/>
          <w:lang w:eastAsia="en-US"/>
        </w:rPr>
        <w:t xml:space="preserve"> </w:t>
      </w:r>
      <w:r w:rsidRPr="00701AFD" w:rsidR="00C3103E">
        <w:rPr>
          <w:rFonts w:cs="Arial" w:eastAsiaTheme="minorHAnsi"/>
          <w:sz w:val="22"/>
          <w:szCs w:val="22"/>
          <w:lang w:eastAsia="en-US"/>
        </w:rPr>
        <w:t>in relation to the DWP Kickstart scheme grant payments, this offsets costs within the staffing budget for a Kickstart worker.</w:t>
      </w:r>
    </w:p>
    <w:p w:rsidR="001F06E5" w:rsidP="009D3B72" w:rsidRDefault="00701AFD" w14:paraId="13C63BCA" w14:textId="770D6D8A">
      <w:pPr>
        <w:jc w:val="both"/>
        <w:rPr>
          <w:rFonts w:cs="Arial"/>
        </w:rPr>
      </w:pPr>
      <w:r>
        <w:rPr>
          <w:rFonts w:cs="Arial"/>
        </w:rPr>
        <w:t>The Regional Adoption Service does not have any capital expenditure.</w:t>
      </w:r>
    </w:p>
    <w:p w:rsidRPr="003C4DCD" w:rsidR="003C4DCD" w:rsidP="003C4DCD" w:rsidRDefault="003C4DCD" w14:paraId="59303E45" w14:textId="1669C842">
      <w:pPr>
        <w:jc w:val="both"/>
        <w:rPr>
          <w:rFonts w:cs="Arial"/>
          <w:b/>
        </w:rPr>
      </w:pPr>
      <w:r w:rsidRPr="003C4DCD">
        <w:rPr>
          <w:rFonts w:cs="Arial"/>
          <w:b/>
        </w:rPr>
        <w:t>Utilisation of Previous Years Underspend</w:t>
      </w:r>
    </w:p>
    <w:p w:rsidRPr="003C4DCD" w:rsidR="003C4DCD" w:rsidP="003C4DCD" w:rsidRDefault="003C4DCD" w14:paraId="396434EE" w14:textId="56D867E2">
      <w:pPr>
        <w:pStyle w:val="ListNumber"/>
        <w:numPr>
          <w:ilvl w:val="0"/>
          <w:numId w:val="0"/>
        </w:numPr>
        <w:rPr>
          <w:rFonts w:cs="Arial" w:eastAsiaTheme="minorHAnsi"/>
          <w:sz w:val="22"/>
          <w:szCs w:val="22"/>
          <w:lang w:eastAsia="en-US"/>
        </w:rPr>
      </w:pPr>
      <w:r w:rsidRPr="003C4DCD">
        <w:rPr>
          <w:rFonts w:cs="Arial" w:eastAsiaTheme="minorHAnsi"/>
          <w:sz w:val="22"/>
          <w:szCs w:val="22"/>
          <w:lang w:eastAsia="en-US"/>
        </w:rPr>
        <w:t xml:space="preserve">The draft outturn position as </w:t>
      </w:r>
      <w:proofErr w:type="gramStart"/>
      <w:r w:rsidRPr="003C4DCD">
        <w:rPr>
          <w:rFonts w:cs="Arial" w:eastAsiaTheme="minorHAnsi"/>
          <w:sz w:val="22"/>
          <w:szCs w:val="22"/>
          <w:lang w:eastAsia="en-US"/>
        </w:rPr>
        <w:t>at</w:t>
      </w:r>
      <w:proofErr w:type="gramEnd"/>
      <w:r w:rsidRPr="003C4DCD">
        <w:rPr>
          <w:rFonts w:cs="Arial" w:eastAsiaTheme="minorHAnsi"/>
          <w:sz w:val="22"/>
          <w:szCs w:val="22"/>
          <w:lang w:eastAsia="en-US"/>
        </w:rPr>
        <w:t xml:space="preserve"> 31st March 2023 is an underspend of £63k</w:t>
      </w:r>
      <w:r w:rsidR="00C3103E">
        <w:rPr>
          <w:rFonts w:cs="Arial" w:eastAsiaTheme="minorHAnsi"/>
          <w:sz w:val="22"/>
          <w:szCs w:val="22"/>
          <w:lang w:eastAsia="en-US"/>
        </w:rPr>
        <w:t>.</w:t>
      </w:r>
    </w:p>
    <w:p w:rsidRPr="001D7970" w:rsidR="003C4DCD" w:rsidP="003C4DCD" w:rsidRDefault="003C4DCD" w14:paraId="544F624E" w14:textId="59613BE0">
      <w:pPr>
        <w:pStyle w:val="ListNumber"/>
        <w:numPr>
          <w:ilvl w:val="0"/>
          <w:numId w:val="0"/>
        </w:numPr>
        <w:rPr>
          <w:rFonts w:cs="Arial" w:eastAsiaTheme="minorHAnsi"/>
          <w:sz w:val="22"/>
          <w:szCs w:val="22"/>
          <w:lang w:eastAsia="en-US"/>
        </w:rPr>
      </w:pPr>
      <w:r w:rsidRPr="003C4DCD">
        <w:rPr>
          <w:rFonts w:cs="Arial" w:eastAsiaTheme="minorHAnsi"/>
          <w:sz w:val="22"/>
          <w:szCs w:val="22"/>
          <w:lang w:eastAsia="en-US"/>
        </w:rPr>
        <w:t xml:space="preserve">The Independent Assessments budget </w:t>
      </w:r>
      <w:r w:rsidR="00C3103E">
        <w:rPr>
          <w:rFonts w:cs="Arial" w:eastAsiaTheme="minorHAnsi"/>
          <w:sz w:val="22"/>
          <w:szCs w:val="22"/>
          <w:lang w:eastAsia="en-US"/>
        </w:rPr>
        <w:t>was</w:t>
      </w:r>
      <w:r w:rsidRPr="003C4DCD">
        <w:rPr>
          <w:rFonts w:cs="Arial" w:eastAsiaTheme="minorHAnsi"/>
          <w:sz w:val="22"/>
          <w:szCs w:val="22"/>
          <w:lang w:eastAsia="en-US"/>
        </w:rPr>
        <w:t xml:space="preserve"> underspent by £30k, this was partly due to the fact that the staff time extensions that were required to assist with the independent assessments have been coded to the Social Worker detail code, resulting in that</w:t>
      </w:r>
      <w:r w:rsidRPr="001D7970">
        <w:rPr>
          <w:rFonts w:cs="Arial" w:eastAsiaTheme="minorHAnsi"/>
          <w:sz w:val="22"/>
          <w:szCs w:val="22"/>
          <w:lang w:eastAsia="en-US"/>
        </w:rPr>
        <w:t xml:space="preserve"> budget line being shown as £5k overspent.  The Independent Assessments did not cost as much as first anticipated and spend was put on hold towards the end of the year to help mitigate the pressure of realising the savings that need to be found during 2023/24.</w:t>
      </w:r>
    </w:p>
    <w:p w:rsidR="003C4DCD" w:rsidP="003C4DCD" w:rsidRDefault="003C4DCD" w14:paraId="3DFC230B" w14:textId="3574122D">
      <w:pPr>
        <w:pStyle w:val="ListNumber"/>
        <w:numPr>
          <w:ilvl w:val="0"/>
          <w:numId w:val="0"/>
        </w:numPr>
        <w:rPr>
          <w:rFonts w:cs="Arial" w:eastAsiaTheme="minorHAnsi"/>
          <w:sz w:val="22"/>
          <w:szCs w:val="22"/>
          <w:lang w:eastAsia="en-US"/>
        </w:rPr>
      </w:pPr>
      <w:r w:rsidRPr="003C4DCD">
        <w:rPr>
          <w:rFonts w:cs="Arial" w:eastAsiaTheme="minorHAnsi"/>
          <w:sz w:val="22"/>
          <w:szCs w:val="22"/>
          <w:lang w:eastAsia="en-US"/>
        </w:rPr>
        <w:t>Some equipment that was required was purchased within the core budget resulting in a £3k underspend</w:t>
      </w:r>
      <w:r w:rsidR="00C3103E">
        <w:rPr>
          <w:rFonts w:cs="Arial" w:eastAsiaTheme="minorHAnsi"/>
          <w:sz w:val="22"/>
          <w:szCs w:val="22"/>
          <w:lang w:eastAsia="en-US"/>
        </w:rPr>
        <w:t xml:space="preserve">.  </w:t>
      </w:r>
      <w:r w:rsidRPr="003C4DCD">
        <w:rPr>
          <w:rFonts w:cs="Arial" w:eastAsiaTheme="minorHAnsi"/>
          <w:sz w:val="22"/>
          <w:szCs w:val="22"/>
          <w:lang w:eastAsia="en-US"/>
        </w:rPr>
        <w:t xml:space="preserve">Subscriptions underspent by £6k </w:t>
      </w:r>
      <w:r w:rsidR="00C3103E">
        <w:rPr>
          <w:rFonts w:cs="Arial" w:eastAsiaTheme="minorHAnsi"/>
          <w:sz w:val="22"/>
          <w:szCs w:val="22"/>
          <w:lang w:eastAsia="en-US"/>
        </w:rPr>
        <w:t>as</w:t>
      </w:r>
      <w:r w:rsidRPr="003C4DCD">
        <w:rPr>
          <w:rFonts w:cs="Arial" w:eastAsiaTheme="minorHAnsi"/>
          <w:sz w:val="22"/>
          <w:szCs w:val="22"/>
          <w:lang w:eastAsia="en-US"/>
        </w:rPr>
        <w:t xml:space="preserve"> the cost of the subscription to Connected has been absorbed within the Core budget.</w:t>
      </w:r>
      <w:r w:rsidR="00C3103E">
        <w:rPr>
          <w:rFonts w:cs="Arial" w:eastAsiaTheme="minorHAnsi"/>
          <w:sz w:val="22"/>
          <w:szCs w:val="22"/>
          <w:lang w:eastAsia="en-US"/>
        </w:rPr>
        <w:t xml:space="preserve">  </w:t>
      </w:r>
      <w:r w:rsidRPr="003C4DCD">
        <w:rPr>
          <w:rFonts w:cs="Arial" w:eastAsiaTheme="minorHAnsi"/>
          <w:sz w:val="22"/>
          <w:szCs w:val="22"/>
          <w:lang w:eastAsia="en-US"/>
        </w:rPr>
        <w:t>Adoption Support underspent by £11k as this was put on hold towards the end of the year to help mitigate the pressure of realising the savings that need to be found during 2023/24.</w:t>
      </w:r>
      <w:r w:rsidR="00C3103E">
        <w:rPr>
          <w:rFonts w:cs="Arial" w:eastAsiaTheme="minorHAnsi"/>
          <w:sz w:val="22"/>
          <w:szCs w:val="22"/>
          <w:lang w:eastAsia="en-US"/>
        </w:rPr>
        <w:t xml:space="preserve">  </w:t>
      </w:r>
      <w:r w:rsidRPr="003C4DCD">
        <w:rPr>
          <w:rFonts w:cs="Arial" w:eastAsiaTheme="minorHAnsi"/>
          <w:sz w:val="22"/>
          <w:szCs w:val="22"/>
          <w:lang w:eastAsia="en-US"/>
        </w:rPr>
        <w:t xml:space="preserve">The service was awarded grant funding in March of £18k from Welsh Government, via NAS, to assist with adoption support.  This has offset some of the staff costs against the Social Worker budget.  </w:t>
      </w:r>
    </w:p>
    <w:p w:rsidRPr="00962B38" w:rsidR="003C4DCD" w:rsidP="003C4DCD" w:rsidRDefault="003C4DCD" w14:paraId="2E255BA7" w14:textId="77777777">
      <w:pPr>
        <w:pStyle w:val="ListNumber"/>
        <w:numPr>
          <w:ilvl w:val="0"/>
          <w:numId w:val="0"/>
        </w:numPr>
        <w:rPr>
          <w:rStyle w:val="Strong"/>
          <w:rFonts w:eastAsiaTheme="majorEastAsia"/>
        </w:rPr>
      </w:pPr>
      <w:r w:rsidRPr="00962B38">
        <w:rPr>
          <w:rStyle w:val="Strong"/>
          <w:rFonts w:eastAsiaTheme="majorEastAsia"/>
        </w:rPr>
        <w:t>Adoption Services Grant</w:t>
      </w:r>
    </w:p>
    <w:p w:rsidRPr="001D7970" w:rsidR="003C4DCD" w:rsidP="003C4DCD" w:rsidRDefault="003C4DCD" w14:paraId="73345315" w14:textId="18A0F0AC">
      <w:pPr>
        <w:pStyle w:val="ListNumber"/>
        <w:numPr>
          <w:ilvl w:val="0"/>
          <w:numId w:val="0"/>
        </w:numPr>
        <w:rPr>
          <w:rFonts w:cs="Arial" w:eastAsiaTheme="minorHAnsi"/>
          <w:sz w:val="22"/>
          <w:szCs w:val="22"/>
          <w:lang w:eastAsia="en-US"/>
        </w:rPr>
      </w:pPr>
      <w:r w:rsidRPr="001D7970">
        <w:rPr>
          <w:rFonts w:cs="Arial" w:eastAsiaTheme="minorHAnsi"/>
          <w:sz w:val="22"/>
          <w:szCs w:val="22"/>
          <w:lang w:eastAsia="en-US"/>
        </w:rPr>
        <w:t xml:space="preserve">The draft outturn position as </w:t>
      </w:r>
      <w:proofErr w:type="gramStart"/>
      <w:r w:rsidRPr="001D7970">
        <w:rPr>
          <w:rFonts w:cs="Arial" w:eastAsiaTheme="minorHAnsi"/>
          <w:sz w:val="22"/>
          <w:szCs w:val="22"/>
          <w:lang w:eastAsia="en-US"/>
        </w:rPr>
        <w:t>at</w:t>
      </w:r>
      <w:proofErr w:type="gramEnd"/>
      <w:r w:rsidRPr="001D7970">
        <w:rPr>
          <w:rFonts w:cs="Arial" w:eastAsiaTheme="minorHAnsi"/>
          <w:sz w:val="22"/>
          <w:szCs w:val="22"/>
          <w:lang w:eastAsia="en-US"/>
        </w:rPr>
        <w:t xml:space="preserve"> 31st March 2023 is a breakeven position.</w:t>
      </w:r>
    </w:p>
    <w:p w:rsidRPr="003C4DCD" w:rsidR="003C4DCD" w:rsidP="003C4DCD" w:rsidRDefault="003C4DCD" w14:paraId="713DA8C2" w14:textId="77777777">
      <w:pPr>
        <w:pStyle w:val="ListNumber"/>
        <w:numPr>
          <w:ilvl w:val="0"/>
          <w:numId w:val="0"/>
        </w:numPr>
        <w:rPr>
          <w:rFonts w:cs="Arial" w:eastAsiaTheme="minorHAnsi"/>
          <w:sz w:val="22"/>
          <w:szCs w:val="22"/>
          <w:lang w:eastAsia="en-US"/>
        </w:rPr>
      </w:pPr>
    </w:p>
    <w:p w:rsidRPr="00652AAF" w:rsidR="006046EE" w:rsidP="009D3B72" w:rsidRDefault="006046EE" w14:paraId="28065BAF" w14:textId="60DD360E">
      <w:pPr>
        <w:jc w:val="both"/>
        <w:rPr>
          <w:rFonts w:cs="Arial"/>
          <w:b/>
        </w:rPr>
      </w:pPr>
      <w:r w:rsidRPr="00052DBB">
        <w:rPr>
          <w:rFonts w:cs="Arial"/>
          <w:b/>
        </w:rPr>
        <w:t>Impact of the Current Economic Climate</w:t>
      </w:r>
    </w:p>
    <w:p w:rsidR="00652AAF" w:rsidP="00652AAF" w:rsidRDefault="00652AAF" w14:paraId="6FD5CD8C" w14:textId="1CE4C118">
      <w:pPr>
        <w:jc w:val="both"/>
        <w:rPr>
          <w:rFonts w:cs="Arial"/>
        </w:rPr>
      </w:pPr>
      <w:r w:rsidRPr="001D7970">
        <w:rPr>
          <w:rFonts w:cs="Arial"/>
        </w:rPr>
        <w:t xml:space="preserve">Over the last year, inflation has risen sharply and continues to remain at a very high level.  There are also great pressures on VVC budget in respect of potential 2023/24 wage increase which is yet to be agreed.  The majority of the overall budget relates to staff costs therefore, anything in excess of the budgeted 5% pay award will have a detrimental effect on the 2023/24 </w:t>
      </w:r>
      <w:r w:rsidRPr="001D7970">
        <w:rPr>
          <w:rFonts w:cs="Arial"/>
        </w:rPr>
        <w:lastRenderedPageBreak/>
        <w:t>budget position.  The Bank of England has increased interest rates every month for the last year, which is leaving the overall financial environment feeling uncertain.</w:t>
      </w:r>
      <w:r w:rsidR="00411720">
        <w:rPr>
          <w:rFonts w:cs="Arial"/>
        </w:rPr>
        <w:t xml:space="preserve">  </w:t>
      </w:r>
      <w:r w:rsidRPr="00A5615F" w:rsidR="00463B77">
        <w:rPr>
          <w:rFonts w:cs="Arial"/>
        </w:rPr>
        <w:t>The Service will continue to monitor and manage risks as the impact of these issues becomes clearer during the year.</w:t>
      </w:r>
    </w:p>
    <w:p w:rsidRPr="00A5615F" w:rsidR="000A2A0F" w:rsidP="009D3B72" w:rsidRDefault="000A2A0F" w14:paraId="12B59734" w14:textId="4FF6D39E">
      <w:pPr>
        <w:jc w:val="both"/>
        <w:rPr>
          <w:rFonts w:cs="Arial"/>
          <w:b/>
        </w:rPr>
      </w:pPr>
      <w:r w:rsidRPr="00A5615F">
        <w:rPr>
          <w:rFonts w:cs="Arial"/>
          <w:b/>
        </w:rPr>
        <w:t>Pension Liability</w:t>
      </w:r>
    </w:p>
    <w:p w:rsidRPr="001D7970" w:rsidR="008518CA" w:rsidP="009D3B72" w:rsidRDefault="000A2A0F" w14:paraId="4AF001FF" w14:textId="786D41BE">
      <w:pPr>
        <w:jc w:val="both"/>
        <w:rPr>
          <w:rFonts w:cs="Arial"/>
        </w:rPr>
      </w:pPr>
      <w:r w:rsidRPr="00A5615F">
        <w:rPr>
          <w:rFonts w:cs="Arial"/>
        </w:rPr>
        <w:t xml:space="preserve">Pensions are provided under the Local Government Pension Scheme and the </w:t>
      </w:r>
      <w:r w:rsidRPr="001D7970" w:rsidR="003C4DCD">
        <w:rPr>
          <w:rFonts w:cs="Arial"/>
        </w:rPr>
        <w:t xml:space="preserve">VVC </w:t>
      </w:r>
      <w:r w:rsidRPr="00A5615F">
        <w:rPr>
          <w:rFonts w:cs="Arial"/>
        </w:rPr>
        <w:t xml:space="preserve">is a member of the Cardiff &amp; Vale Pension Fund, which is administered by Cardiff County Council.  Employees and Employers contribute into the fund, along with investment income and growth generated.  A triennial valuation is </w:t>
      </w:r>
      <w:r w:rsidRPr="00A5615F" w:rsidR="008518CA">
        <w:rPr>
          <w:rFonts w:cs="Arial"/>
        </w:rPr>
        <w:t>carried out on the Fund.  T</w:t>
      </w:r>
      <w:r w:rsidRPr="00A5615F">
        <w:rPr>
          <w:rFonts w:cs="Arial"/>
        </w:rPr>
        <w:t xml:space="preserve">he value of the pension liability as at the </w:t>
      </w:r>
      <w:proofErr w:type="gramStart"/>
      <w:r w:rsidRPr="00A5615F">
        <w:rPr>
          <w:rFonts w:cs="Arial"/>
        </w:rPr>
        <w:t>31</w:t>
      </w:r>
      <w:r w:rsidRPr="001D7970">
        <w:rPr>
          <w:rFonts w:cs="Arial"/>
        </w:rPr>
        <w:t>st</w:t>
      </w:r>
      <w:proofErr w:type="gramEnd"/>
      <w:r w:rsidRPr="00A5615F" w:rsidR="0033466E">
        <w:rPr>
          <w:rFonts w:cs="Arial"/>
        </w:rPr>
        <w:t xml:space="preserve"> March 202</w:t>
      </w:r>
      <w:r w:rsidR="00A5615F">
        <w:rPr>
          <w:rFonts w:cs="Arial"/>
        </w:rPr>
        <w:t>3</w:t>
      </w:r>
      <w:r w:rsidRPr="00A5615F" w:rsidR="0033466E">
        <w:rPr>
          <w:rFonts w:cs="Arial"/>
        </w:rPr>
        <w:t xml:space="preserve"> being £</w:t>
      </w:r>
      <w:r w:rsidRPr="00A5615F" w:rsidR="00A5615F">
        <w:rPr>
          <w:rFonts w:cs="Arial"/>
        </w:rPr>
        <w:t>520k</w:t>
      </w:r>
      <w:r w:rsidRPr="00A5615F">
        <w:rPr>
          <w:rFonts w:cs="Arial"/>
        </w:rPr>
        <w:t xml:space="preserve">.  </w:t>
      </w:r>
    </w:p>
    <w:p w:rsidR="005F3902" w:rsidP="009D3B72" w:rsidRDefault="003F0481" w14:paraId="3EED4970" w14:textId="2F0C3487">
      <w:pPr>
        <w:jc w:val="both"/>
        <w:rPr>
          <w:rFonts w:cs="Arial"/>
          <w:b/>
        </w:rPr>
      </w:pPr>
      <w:r>
        <w:rPr>
          <w:rFonts w:cs="Arial"/>
          <w:b/>
        </w:rPr>
        <w:t>Service Provision</w:t>
      </w:r>
    </w:p>
    <w:p w:rsidR="003F0481" w:rsidP="003F0481" w:rsidRDefault="003F0481" w14:paraId="3B993AE9" w14:textId="77777777">
      <w:pPr>
        <w:jc w:val="both"/>
        <w:rPr>
          <w:rFonts w:cs="Arial"/>
        </w:rPr>
      </w:pPr>
      <w:r>
        <w:rPr>
          <w:rFonts w:cs="Arial"/>
        </w:rPr>
        <w:t>The range of delegated functions provided by VVC are outlined in the Collaborative Agreement and are delivered by way of three functional teams:</w:t>
      </w:r>
    </w:p>
    <w:p w:rsidR="003F0481" w:rsidP="003F0481" w:rsidRDefault="003F0481" w14:paraId="0075D5E3" w14:textId="6CAE1157">
      <w:pPr>
        <w:pStyle w:val="ListParagraph"/>
        <w:numPr>
          <w:ilvl w:val="0"/>
          <w:numId w:val="30"/>
        </w:numPr>
        <w:jc w:val="both"/>
        <w:rPr>
          <w:rFonts w:cs="Arial"/>
        </w:rPr>
      </w:pPr>
      <w:r w:rsidRPr="001B4479">
        <w:rPr>
          <w:rFonts w:cs="Arial"/>
        </w:rPr>
        <w:t>Recruitment &amp; Assessment</w:t>
      </w:r>
      <w:r>
        <w:rPr>
          <w:rFonts w:cs="Arial"/>
        </w:rPr>
        <w:t xml:space="preserve"> Team</w:t>
      </w:r>
      <w:r w:rsidRPr="001B4479">
        <w:rPr>
          <w:rFonts w:cs="Arial"/>
        </w:rPr>
        <w:t xml:space="preserve"> responsible for the </w:t>
      </w:r>
      <w:r>
        <w:rPr>
          <w:rFonts w:cs="Arial"/>
        </w:rPr>
        <w:t xml:space="preserve">recruitment, </w:t>
      </w:r>
      <w:r w:rsidRPr="001B4479">
        <w:rPr>
          <w:rFonts w:cs="Arial"/>
        </w:rPr>
        <w:t>training and assessment of prospective adopters</w:t>
      </w:r>
      <w:r>
        <w:rPr>
          <w:rFonts w:cs="Arial"/>
        </w:rPr>
        <w:t xml:space="preserve"> and non</w:t>
      </w:r>
      <w:r w:rsidR="00411720">
        <w:rPr>
          <w:rFonts w:cs="Arial"/>
        </w:rPr>
        <w:t>-</w:t>
      </w:r>
      <w:r>
        <w:rPr>
          <w:rFonts w:cs="Arial"/>
        </w:rPr>
        <w:t xml:space="preserve">agency adopters. </w:t>
      </w:r>
    </w:p>
    <w:p w:rsidR="003F0481" w:rsidP="003F0481" w:rsidRDefault="003F0481" w14:paraId="439B25C1" w14:textId="77777777">
      <w:pPr>
        <w:pStyle w:val="ListParagraph"/>
        <w:numPr>
          <w:ilvl w:val="0"/>
          <w:numId w:val="30"/>
        </w:numPr>
        <w:jc w:val="both"/>
        <w:rPr>
          <w:rFonts w:cs="Arial"/>
        </w:rPr>
      </w:pPr>
      <w:r>
        <w:rPr>
          <w:rFonts w:cs="Arial"/>
        </w:rPr>
        <w:t>Family Finding Team responsible for the placement finding and matching of children requiring an adoptive placement.</w:t>
      </w:r>
    </w:p>
    <w:p w:rsidR="003F0481" w:rsidP="003F0481" w:rsidRDefault="003F0481" w14:paraId="3204311C" w14:textId="77777777">
      <w:pPr>
        <w:pStyle w:val="ListParagraph"/>
        <w:numPr>
          <w:ilvl w:val="0"/>
          <w:numId w:val="30"/>
        </w:numPr>
        <w:jc w:val="both"/>
        <w:rPr>
          <w:rFonts w:cs="Arial"/>
        </w:rPr>
      </w:pPr>
      <w:r>
        <w:rPr>
          <w:rFonts w:cs="Arial"/>
        </w:rPr>
        <w:t xml:space="preserve">Adoption Support Team responsible for the support of adoptive families post adoption, facilitating indirect and direct post adoption contact and supporting adopted </w:t>
      </w:r>
      <w:proofErr w:type="gramStart"/>
      <w:r>
        <w:rPr>
          <w:rFonts w:cs="Arial"/>
        </w:rPr>
        <w:t>adults</w:t>
      </w:r>
      <w:proofErr w:type="gramEnd"/>
      <w:r>
        <w:rPr>
          <w:rFonts w:cs="Arial"/>
        </w:rPr>
        <w:t xml:space="preserve"> </w:t>
      </w:r>
    </w:p>
    <w:p w:rsidR="003F0481" w:rsidP="003F0481" w:rsidRDefault="003F0481" w14:paraId="65DCD5DD" w14:textId="77777777">
      <w:pPr>
        <w:pStyle w:val="ListParagraph"/>
        <w:jc w:val="both"/>
        <w:rPr>
          <w:rFonts w:cs="Arial"/>
        </w:rPr>
      </w:pPr>
      <w:r>
        <w:rPr>
          <w:rFonts w:cs="Arial"/>
        </w:rPr>
        <w:t>seeking their adoption records .</w:t>
      </w:r>
    </w:p>
    <w:p w:rsidR="003F0481" w:rsidP="003F0481" w:rsidRDefault="003F0481" w14:paraId="64055F31" w14:textId="77777777">
      <w:pPr>
        <w:jc w:val="both"/>
        <w:rPr>
          <w:rFonts w:cs="Arial"/>
        </w:rPr>
      </w:pPr>
      <w:r>
        <w:rPr>
          <w:rFonts w:cs="Arial"/>
        </w:rPr>
        <w:t>A dedicated Business Support Team supports the business functions underpinning these services.</w:t>
      </w:r>
    </w:p>
    <w:p w:rsidR="003F0481" w:rsidP="003F0481" w:rsidRDefault="003F0481" w14:paraId="3D21C7D2" w14:textId="77777777">
      <w:pPr>
        <w:jc w:val="both"/>
        <w:rPr>
          <w:rFonts w:cs="Arial"/>
        </w:rPr>
      </w:pPr>
      <w:r>
        <w:rPr>
          <w:rFonts w:cs="Arial"/>
        </w:rPr>
        <w:t>Staff within the service are aligned to a particular service area and specialism.</w:t>
      </w:r>
    </w:p>
    <w:p w:rsidR="003F0481" w:rsidP="003F0481" w:rsidRDefault="003F0481" w14:paraId="79DDBB3B" w14:textId="77777777">
      <w:pPr>
        <w:jc w:val="both"/>
        <w:rPr>
          <w:rFonts w:cs="Arial"/>
          <w:b/>
          <w:bCs/>
        </w:rPr>
      </w:pPr>
      <w:r>
        <w:rPr>
          <w:rFonts w:cs="Arial"/>
          <w:b/>
          <w:bCs/>
        </w:rPr>
        <w:t xml:space="preserve">Performance Reporting </w:t>
      </w:r>
    </w:p>
    <w:p w:rsidR="003F0481" w:rsidP="003F0481" w:rsidRDefault="003F0481" w14:paraId="4A64CC41" w14:textId="039AF648">
      <w:pPr>
        <w:autoSpaceDE w:val="0"/>
        <w:autoSpaceDN w:val="0"/>
        <w:adjustRightInd w:val="0"/>
        <w:spacing w:after="0" w:line="240" w:lineRule="auto"/>
        <w:jc w:val="both"/>
        <w:rPr>
          <w:rFonts w:cs="Arial"/>
        </w:rPr>
      </w:pPr>
      <w:r>
        <w:rPr>
          <w:rFonts w:cs="Arial"/>
        </w:rPr>
        <w:t>Under a nationally agreed Performance Management Framework the service is required to report against a range of performance measures to the National Adoption Service on a quarterly basis.</w:t>
      </w:r>
      <w:r w:rsidR="001D7970">
        <w:rPr>
          <w:rFonts w:cs="Arial"/>
        </w:rPr>
        <w:t xml:space="preserve"> </w:t>
      </w:r>
      <w:r>
        <w:rPr>
          <w:rFonts w:cs="Arial"/>
        </w:rPr>
        <w:t xml:space="preserve">The service is also required by regulation to provide a </w:t>
      </w:r>
      <w:proofErr w:type="gramStart"/>
      <w:r>
        <w:rPr>
          <w:rFonts w:cs="Arial"/>
        </w:rPr>
        <w:t>six monthly</w:t>
      </w:r>
      <w:proofErr w:type="gramEnd"/>
      <w:r>
        <w:rPr>
          <w:rFonts w:cs="Arial"/>
        </w:rPr>
        <w:t xml:space="preserve"> report of the quality of care. In addition</w:t>
      </w:r>
      <w:r w:rsidR="001D7970">
        <w:rPr>
          <w:rFonts w:cs="Arial"/>
        </w:rPr>
        <w:t>,</w:t>
      </w:r>
      <w:r>
        <w:rPr>
          <w:rFonts w:cs="Arial"/>
        </w:rPr>
        <w:t xml:space="preserve"> the Collaborative Agreement requires the service to prepare an annual report</w:t>
      </w:r>
      <w:r w:rsidR="001D7970">
        <w:rPr>
          <w:rFonts w:cs="Arial"/>
        </w:rPr>
        <w:t xml:space="preserve"> which</w:t>
      </w:r>
      <w:r>
        <w:rPr>
          <w:rFonts w:cs="Arial"/>
        </w:rPr>
        <w:t xml:space="preserve"> is provided to the Management Board, Joint Committee and Scrutiny Committees in each of the partner authorities.</w:t>
      </w:r>
    </w:p>
    <w:p w:rsidR="003F0481" w:rsidP="003F0481" w:rsidRDefault="003F0481" w14:paraId="17FCC357" w14:textId="77777777">
      <w:pPr>
        <w:autoSpaceDE w:val="0"/>
        <w:autoSpaceDN w:val="0"/>
        <w:adjustRightInd w:val="0"/>
        <w:spacing w:after="0" w:line="240" w:lineRule="auto"/>
        <w:jc w:val="both"/>
        <w:rPr>
          <w:rFonts w:cs="Arial"/>
        </w:rPr>
      </w:pPr>
    </w:p>
    <w:p w:rsidR="003F0481" w:rsidP="003F0481" w:rsidRDefault="003F0481" w14:paraId="56DE9F65" w14:textId="6AE6D57C">
      <w:pPr>
        <w:autoSpaceDE w:val="0"/>
        <w:autoSpaceDN w:val="0"/>
        <w:adjustRightInd w:val="0"/>
        <w:spacing w:after="0" w:line="240" w:lineRule="auto"/>
        <w:jc w:val="both"/>
        <w:rPr>
          <w:rFonts w:cs="Arial"/>
        </w:rPr>
      </w:pPr>
      <w:r>
        <w:rPr>
          <w:rFonts w:cs="Arial"/>
        </w:rPr>
        <w:t>The Performance Framework contains over seventy performance measures. In view of the number of measures VVC Management Board agreed the key measures they wish to consider on a quarterly basis in respect of  the performance of the region.</w:t>
      </w:r>
    </w:p>
    <w:p w:rsidR="003F0481" w:rsidP="003F0481" w:rsidRDefault="003F0481" w14:paraId="3595C7C6" w14:textId="018575D0">
      <w:pPr>
        <w:autoSpaceDE w:val="0"/>
        <w:autoSpaceDN w:val="0"/>
        <w:adjustRightInd w:val="0"/>
        <w:spacing w:after="0" w:line="240" w:lineRule="auto"/>
        <w:jc w:val="both"/>
        <w:rPr>
          <w:rFonts w:cs="Arial"/>
        </w:rPr>
      </w:pPr>
    </w:p>
    <w:p w:rsidR="003F0481" w:rsidP="003F0481" w:rsidRDefault="003F0481" w14:paraId="4E1DC7DA" w14:textId="1B1314FC">
      <w:pPr>
        <w:autoSpaceDE w:val="0"/>
        <w:autoSpaceDN w:val="0"/>
        <w:adjustRightInd w:val="0"/>
        <w:spacing w:after="0" w:line="240" w:lineRule="auto"/>
        <w:jc w:val="both"/>
        <w:rPr>
          <w:rFonts w:cs="Arial"/>
        </w:rPr>
      </w:pPr>
      <w:r>
        <w:rPr>
          <w:rFonts w:cs="Arial"/>
        </w:rPr>
        <w:t xml:space="preserve">VVC is also required to report to the National Adoption Service on the performance of the grant funded posts within the region on a </w:t>
      </w:r>
      <w:proofErr w:type="gramStart"/>
      <w:r>
        <w:rPr>
          <w:rFonts w:cs="Arial"/>
        </w:rPr>
        <w:t>six monthly</w:t>
      </w:r>
      <w:proofErr w:type="gramEnd"/>
      <w:r>
        <w:rPr>
          <w:rFonts w:cs="Arial"/>
        </w:rPr>
        <w:t xml:space="preserve"> basis. </w:t>
      </w:r>
    </w:p>
    <w:p w:rsidRPr="006B634C" w:rsidR="003F0481" w:rsidP="003F0481" w:rsidRDefault="003F0481" w14:paraId="4618C763" w14:textId="77777777">
      <w:pPr>
        <w:autoSpaceDE w:val="0"/>
        <w:autoSpaceDN w:val="0"/>
        <w:adjustRightInd w:val="0"/>
        <w:spacing w:after="0" w:line="240" w:lineRule="auto"/>
        <w:jc w:val="both"/>
        <w:rPr>
          <w:rFonts w:cs="Arial"/>
        </w:rPr>
      </w:pPr>
    </w:p>
    <w:p w:rsidR="003F0481" w:rsidP="003F0481" w:rsidRDefault="003F0481" w14:paraId="5ED8CA6B" w14:textId="77777777">
      <w:pPr>
        <w:jc w:val="both"/>
        <w:rPr>
          <w:rFonts w:cs="Arial"/>
          <w:b/>
          <w:bCs/>
        </w:rPr>
      </w:pPr>
      <w:r w:rsidRPr="000026D3">
        <w:rPr>
          <w:rFonts w:cs="Arial"/>
          <w:b/>
          <w:bCs/>
        </w:rPr>
        <w:t xml:space="preserve">Summary of Performance </w:t>
      </w:r>
    </w:p>
    <w:p w:rsidR="003F0481" w:rsidP="003F0481" w:rsidRDefault="003F0481" w14:paraId="3DDA411D" w14:textId="32540389">
      <w:pPr>
        <w:jc w:val="both"/>
        <w:rPr>
          <w:rFonts w:cs="Arial"/>
        </w:rPr>
      </w:pPr>
      <w:r>
        <w:rPr>
          <w:rFonts w:cs="Arial"/>
        </w:rPr>
        <w:t xml:space="preserve">The key performance </w:t>
      </w:r>
      <w:r w:rsidR="001D7970">
        <w:rPr>
          <w:rFonts w:cs="Arial"/>
        </w:rPr>
        <w:t>measures</w:t>
      </w:r>
      <w:r>
        <w:rPr>
          <w:rFonts w:cs="Arial"/>
        </w:rPr>
        <w:t xml:space="preserve"> agreed by VVC Management Board relate to:</w:t>
      </w:r>
    </w:p>
    <w:p w:rsidR="003F0481" w:rsidP="003F0481" w:rsidRDefault="003F0481" w14:paraId="7900D1FE" w14:textId="693334F3">
      <w:pPr>
        <w:pStyle w:val="ListParagraph"/>
        <w:numPr>
          <w:ilvl w:val="0"/>
          <w:numId w:val="31"/>
        </w:numPr>
        <w:jc w:val="both"/>
        <w:rPr>
          <w:rFonts w:cs="Arial"/>
        </w:rPr>
      </w:pPr>
      <w:r>
        <w:rPr>
          <w:rFonts w:cs="Arial"/>
        </w:rPr>
        <w:t>Number of referrals of children for adoption, the number of children placed and those waiting for placement.</w:t>
      </w:r>
    </w:p>
    <w:p w:rsidR="003F0481" w:rsidP="003F0481" w:rsidRDefault="003F0481" w14:paraId="2F850306" w14:textId="77777777">
      <w:pPr>
        <w:pStyle w:val="ListParagraph"/>
        <w:numPr>
          <w:ilvl w:val="0"/>
          <w:numId w:val="31"/>
        </w:numPr>
        <w:jc w:val="both"/>
        <w:rPr>
          <w:rFonts w:cs="Arial"/>
        </w:rPr>
      </w:pPr>
      <w:r>
        <w:rPr>
          <w:rFonts w:cs="Arial"/>
        </w:rPr>
        <w:lastRenderedPageBreak/>
        <w:t>Provision of life journey work provided for children with a plan for adoption.</w:t>
      </w:r>
    </w:p>
    <w:p w:rsidR="003F0481" w:rsidP="003F0481" w:rsidRDefault="003F0481" w14:paraId="1CD1B980" w14:textId="5C18778F">
      <w:pPr>
        <w:pStyle w:val="ListParagraph"/>
        <w:numPr>
          <w:ilvl w:val="0"/>
          <w:numId w:val="31"/>
        </w:numPr>
        <w:jc w:val="both"/>
        <w:rPr>
          <w:rFonts w:cs="Arial"/>
        </w:rPr>
      </w:pPr>
      <w:r>
        <w:rPr>
          <w:rFonts w:cs="Arial"/>
        </w:rPr>
        <w:t>Number of adopter enquiries received</w:t>
      </w:r>
      <w:r w:rsidR="001D7970">
        <w:rPr>
          <w:rFonts w:cs="Arial"/>
        </w:rPr>
        <w:t>,</w:t>
      </w:r>
      <w:r>
        <w:rPr>
          <w:rFonts w:cs="Arial"/>
        </w:rPr>
        <w:t xml:space="preserve"> and the number approved.</w:t>
      </w:r>
    </w:p>
    <w:p w:rsidR="003F0481" w:rsidP="003F0481" w:rsidRDefault="003F0481" w14:paraId="34C61F72" w14:textId="77777777">
      <w:pPr>
        <w:pStyle w:val="ListParagraph"/>
        <w:numPr>
          <w:ilvl w:val="0"/>
          <w:numId w:val="31"/>
        </w:numPr>
        <w:jc w:val="both"/>
        <w:rPr>
          <w:rFonts w:cs="Arial"/>
        </w:rPr>
      </w:pPr>
      <w:r>
        <w:rPr>
          <w:rFonts w:cs="Arial"/>
        </w:rPr>
        <w:t>Number of referrals for post adoption support services</w:t>
      </w:r>
    </w:p>
    <w:p w:rsidR="003F0481" w:rsidP="003F0481" w:rsidRDefault="003F0481" w14:paraId="37EDE6CF" w14:textId="3FA5F183">
      <w:pPr>
        <w:jc w:val="both"/>
        <w:rPr>
          <w:rFonts w:cs="Arial"/>
        </w:rPr>
      </w:pPr>
      <w:r>
        <w:rPr>
          <w:rFonts w:cs="Arial"/>
        </w:rPr>
        <w:t xml:space="preserve"> The end of year position for 2022/23 in respect of these measures was as follows:</w:t>
      </w:r>
    </w:p>
    <w:p w:rsidRPr="003F0481" w:rsidR="003F0481" w:rsidP="003F0481" w:rsidRDefault="003F0481" w14:paraId="14E7442D" w14:textId="31AF8C28">
      <w:pPr>
        <w:pStyle w:val="ListParagraph"/>
        <w:numPr>
          <w:ilvl w:val="0"/>
          <w:numId w:val="32"/>
        </w:numPr>
        <w:jc w:val="both"/>
        <w:rPr>
          <w:rFonts w:cs="Arial"/>
        </w:rPr>
      </w:pPr>
      <w:r>
        <w:rPr>
          <w:rFonts w:cs="Arial"/>
        </w:rPr>
        <w:t xml:space="preserve">162 children were referred for adoption during the year but over 50% of these referrals were withdrawn due to alternative care plans being put in place. VVC has seen a decrease in referrals in line with other regions but successfully placed 65 children during the year. Over 70% of the children were placed within the region which has reduced reliance upon the need to secure external placements. The reduction in referrals and placement activity has resulted in a reduction in the number of children waiting for placement  at year end. </w:t>
      </w:r>
    </w:p>
    <w:p w:rsidRPr="003F0481" w:rsidR="003F0481" w:rsidP="003F0481" w:rsidRDefault="003F0481" w14:paraId="79E2BD7E" w14:textId="611EE28D">
      <w:pPr>
        <w:pStyle w:val="ListParagraph"/>
        <w:numPr>
          <w:ilvl w:val="0"/>
          <w:numId w:val="32"/>
        </w:numPr>
        <w:jc w:val="both"/>
        <w:rPr>
          <w:rFonts w:cs="Arial"/>
        </w:rPr>
      </w:pPr>
      <w:r>
        <w:rPr>
          <w:rFonts w:cs="Arial"/>
        </w:rPr>
        <w:t>A significant proportion of the regional grant has been dedicated to employ workers within the partner agencies to support the provision of life journey work. A significant improvement in the provision of this work has been seen as a result of this investment  with one of the performance measures resulting in 100% compliance.</w:t>
      </w:r>
    </w:p>
    <w:p w:rsidR="003F0481" w:rsidP="003F0481" w:rsidRDefault="003F0481" w14:paraId="3EAE5AE1" w14:textId="36A0A0E4">
      <w:pPr>
        <w:pStyle w:val="ListParagraph"/>
        <w:numPr>
          <w:ilvl w:val="0"/>
          <w:numId w:val="32"/>
        </w:numPr>
        <w:jc w:val="both"/>
        <w:rPr>
          <w:rFonts w:cs="Arial"/>
        </w:rPr>
      </w:pPr>
      <w:r>
        <w:rPr>
          <w:rFonts w:cs="Arial"/>
        </w:rPr>
        <w:t>210 adopter enquiries were received during the period which is a 40% reduction compared to the previous two years. This is in line with the national trend but has resulted in a reduction in the number of adopters being approved. 47 adopters were approved during the year.</w:t>
      </w:r>
    </w:p>
    <w:p w:rsidR="003F0481" w:rsidP="003F0481" w:rsidRDefault="003F0481" w14:paraId="41E1381D" w14:textId="36DFFDE7">
      <w:pPr>
        <w:pStyle w:val="ListParagraph"/>
        <w:numPr>
          <w:ilvl w:val="0"/>
          <w:numId w:val="32"/>
        </w:numPr>
        <w:jc w:val="both"/>
        <w:rPr>
          <w:rFonts w:cs="Arial"/>
        </w:rPr>
      </w:pPr>
      <w:r>
        <w:rPr>
          <w:rFonts w:cs="Arial"/>
        </w:rPr>
        <w:t xml:space="preserve">70 referrals for post adoption support services were received during the period  which is a similar level to the previous year. 49 referrals were received for access to birth records and </w:t>
      </w:r>
      <w:r w:rsidR="001D7970">
        <w:rPr>
          <w:rFonts w:cs="Arial"/>
        </w:rPr>
        <w:t xml:space="preserve">intermediary </w:t>
      </w:r>
      <w:r>
        <w:rPr>
          <w:rFonts w:cs="Arial"/>
        </w:rPr>
        <w:t>support which represents a significant increase on the previous year.</w:t>
      </w:r>
    </w:p>
    <w:p w:rsidRPr="00ED678B" w:rsidR="003F0481" w:rsidP="003F0481" w:rsidRDefault="003F0481" w14:paraId="78328A39" w14:textId="77777777">
      <w:pPr>
        <w:jc w:val="both"/>
        <w:rPr>
          <w:rFonts w:cs="Arial"/>
        </w:rPr>
      </w:pPr>
      <w:r>
        <w:rPr>
          <w:rFonts w:cs="Arial"/>
        </w:rPr>
        <w:t>Six monthly reports have been provided to NAS in respect of the performance of the grant funded posts to ensure that funding is maintained.</w:t>
      </w:r>
      <w:r w:rsidRPr="00ED678B">
        <w:rPr>
          <w:rFonts w:cs="Arial"/>
        </w:rPr>
        <w:t xml:space="preserve"> </w:t>
      </w:r>
    </w:p>
    <w:p w:rsidRPr="004E1FF5" w:rsidR="004A7970" w:rsidP="00A61C6D" w:rsidRDefault="004A7970" w14:paraId="5A6102AD" w14:textId="77777777">
      <w:pPr>
        <w:pStyle w:val="Heading3"/>
      </w:pPr>
      <w:r w:rsidRPr="004E1FF5">
        <w:t>Looking Forward</w:t>
      </w:r>
    </w:p>
    <w:p w:rsidRPr="00772CBF" w:rsidR="004A7970" w:rsidP="00517861" w:rsidRDefault="004A7970" w14:paraId="56B08601" w14:textId="03C15D01">
      <w:pPr>
        <w:pStyle w:val="Style1"/>
        <w:numPr>
          <w:ilvl w:val="0"/>
          <w:numId w:val="0"/>
        </w:numPr>
        <w:jc w:val="both"/>
        <w:rPr>
          <w:rFonts w:ascii="Arial" w:hAnsi="Arial" w:cs="Arial"/>
          <w:sz w:val="22"/>
        </w:rPr>
      </w:pPr>
      <w:r w:rsidRPr="00772CBF">
        <w:rPr>
          <w:rFonts w:ascii="Arial" w:hAnsi="Arial" w:cs="Arial"/>
          <w:sz w:val="22"/>
        </w:rPr>
        <w:t xml:space="preserve">A </w:t>
      </w:r>
      <w:r w:rsidRPr="00772CBF" w:rsidR="00A61C6D">
        <w:rPr>
          <w:rFonts w:ascii="Arial" w:hAnsi="Arial" w:cs="Arial"/>
          <w:sz w:val="22"/>
        </w:rPr>
        <w:t xml:space="preserve">revenue </w:t>
      </w:r>
      <w:r w:rsidRPr="00772CBF" w:rsidR="00C27010">
        <w:rPr>
          <w:rFonts w:ascii="Arial" w:hAnsi="Arial" w:cs="Arial"/>
          <w:sz w:val="22"/>
        </w:rPr>
        <w:t>budget of £</w:t>
      </w:r>
      <w:r w:rsidRPr="00772CBF" w:rsidR="00772CBF">
        <w:rPr>
          <w:rFonts w:ascii="Arial" w:hAnsi="Arial" w:cs="Arial"/>
          <w:sz w:val="22"/>
        </w:rPr>
        <w:t>1.974</w:t>
      </w:r>
      <w:r w:rsidRPr="00772CBF" w:rsidR="00C27010">
        <w:rPr>
          <w:rFonts w:ascii="Arial" w:hAnsi="Arial" w:cs="Arial"/>
          <w:sz w:val="22"/>
        </w:rPr>
        <w:t>m</w:t>
      </w:r>
      <w:r w:rsidRPr="00772CBF" w:rsidR="00E93ADE">
        <w:rPr>
          <w:rFonts w:ascii="Arial" w:hAnsi="Arial" w:cs="Arial"/>
          <w:sz w:val="22"/>
        </w:rPr>
        <w:t xml:space="preserve"> for 202</w:t>
      </w:r>
      <w:r w:rsidRPr="00772CBF" w:rsidR="00FE32CD">
        <w:rPr>
          <w:rFonts w:ascii="Arial" w:hAnsi="Arial" w:cs="Arial"/>
          <w:sz w:val="22"/>
        </w:rPr>
        <w:t>3</w:t>
      </w:r>
      <w:r w:rsidRPr="00772CBF" w:rsidR="00E93ADE">
        <w:rPr>
          <w:rFonts w:ascii="Arial" w:hAnsi="Arial" w:cs="Arial"/>
          <w:sz w:val="22"/>
        </w:rPr>
        <w:t>/2</w:t>
      </w:r>
      <w:r w:rsidRPr="00772CBF" w:rsidR="00FE32CD">
        <w:rPr>
          <w:rFonts w:ascii="Arial" w:hAnsi="Arial" w:cs="Arial"/>
          <w:sz w:val="22"/>
        </w:rPr>
        <w:t>4</w:t>
      </w:r>
      <w:r w:rsidRPr="00772CBF">
        <w:rPr>
          <w:rFonts w:ascii="Arial" w:hAnsi="Arial" w:cs="Arial"/>
          <w:sz w:val="22"/>
        </w:rPr>
        <w:t xml:space="preserve"> was approv</w:t>
      </w:r>
      <w:r w:rsidRPr="00772CBF" w:rsidR="00766BCE">
        <w:rPr>
          <w:rFonts w:ascii="Arial" w:hAnsi="Arial" w:cs="Arial"/>
          <w:sz w:val="22"/>
        </w:rPr>
        <w:t xml:space="preserve">ed by the </w:t>
      </w:r>
      <w:r w:rsidRPr="001D7970" w:rsidR="001E2079">
        <w:rPr>
          <w:rFonts w:ascii="Arial" w:hAnsi="Arial" w:cs="Arial"/>
          <w:sz w:val="22"/>
        </w:rPr>
        <w:t xml:space="preserve">VVC </w:t>
      </w:r>
      <w:r w:rsidRPr="001D7970" w:rsidR="00772CBF">
        <w:rPr>
          <w:rFonts w:ascii="Arial" w:hAnsi="Arial" w:cs="Arial"/>
          <w:sz w:val="22"/>
        </w:rPr>
        <w:t>Joint Committee</w:t>
      </w:r>
      <w:r w:rsidRPr="00772CBF" w:rsidR="00766BCE">
        <w:rPr>
          <w:rFonts w:ascii="Arial" w:hAnsi="Arial" w:cs="Arial"/>
          <w:sz w:val="22"/>
        </w:rPr>
        <w:t xml:space="preserve"> on the </w:t>
      </w:r>
      <w:proofErr w:type="gramStart"/>
      <w:r w:rsidRPr="00772CBF" w:rsidR="00772CBF">
        <w:rPr>
          <w:rFonts w:ascii="Arial" w:hAnsi="Arial" w:cs="Arial"/>
          <w:sz w:val="22"/>
        </w:rPr>
        <w:t>23</w:t>
      </w:r>
      <w:r w:rsidRPr="001D7970" w:rsidR="00772CBF">
        <w:rPr>
          <w:rFonts w:ascii="Arial" w:hAnsi="Arial" w:cs="Arial"/>
          <w:sz w:val="22"/>
        </w:rPr>
        <w:t>rd</w:t>
      </w:r>
      <w:proofErr w:type="gramEnd"/>
      <w:r w:rsidRPr="00772CBF" w:rsidR="00766BCE">
        <w:rPr>
          <w:rFonts w:ascii="Arial" w:hAnsi="Arial" w:cs="Arial"/>
          <w:sz w:val="22"/>
        </w:rPr>
        <w:t xml:space="preserve"> </w:t>
      </w:r>
      <w:r w:rsidRPr="00772CBF" w:rsidR="00772CBF">
        <w:rPr>
          <w:rFonts w:ascii="Arial" w:hAnsi="Arial" w:cs="Arial"/>
          <w:sz w:val="22"/>
        </w:rPr>
        <w:t>January</w:t>
      </w:r>
      <w:r w:rsidRPr="00772CBF" w:rsidR="00766BCE">
        <w:rPr>
          <w:rFonts w:ascii="Arial" w:hAnsi="Arial" w:cs="Arial"/>
          <w:sz w:val="22"/>
        </w:rPr>
        <w:t xml:space="preserve"> 20</w:t>
      </w:r>
      <w:r w:rsidRPr="00772CBF" w:rsidR="00FE32CD">
        <w:rPr>
          <w:rFonts w:ascii="Arial" w:hAnsi="Arial" w:cs="Arial"/>
          <w:sz w:val="22"/>
        </w:rPr>
        <w:t>23</w:t>
      </w:r>
      <w:r w:rsidRPr="00772CBF">
        <w:rPr>
          <w:rFonts w:ascii="Arial" w:hAnsi="Arial" w:cs="Arial"/>
          <w:sz w:val="22"/>
        </w:rPr>
        <w:t xml:space="preserve">.  </w:t>
      </w:r>
    </w:p>
    <w:p w:rsidRPr="001D7970" w:rsidR="004A7970" w:rsidP="00517861" w:rsidRDefault="004A7970" w14:paraId="4D11C86D" w14:textId="77777777">
      <w:pPr>
        <w:pStyle w:val="Style1"/>
        <w:numPr>
          <w:ilvl w:val="0"/>
          <w:numId w:val="0"/>
        </w:numPr>
        <w:jc w:val="both"/>
        <w:rPr>
          <w:rFonts w:ascii="Arial" w:hAnsi="Arial" w:cs="Arial"/>
          <w:sz w:val="22"/>
        </w:rPr>
      </w:pPr>
    </w:p>
    <w:p w:rsidRPr="003C4DCD" w:rsidR="00A61C6D" w:rsidP="00517861" w:rsidRDefault="003C4DCD" w14:paraId="2ECFE996" w14:textId="2731FD99">
      <w:pPr>
        <w:pStyle w:val="Style1"/>
        <w:numPr>
          <w:ilvl w:val="0"/>
          <w:numId w:val="0"/>
        </w:numPr>
        <w:jc w:val="both"/>
      </w:pPr>
      <w:r w:rsidRPr="001D7970">
        <w:rPr>
          <w:rFonts w:ascii="Arial" w:hAnsi="Arial" w:cs="Arial"/>
          <w:sz w:val="22"/>
        </w:rPr>
        <w:t>The VVC Regional Adoption Service</w:t>
      </w:r>
      <w:r w:rsidRPr="001D7970" w:rsidR="00A61C6D">
        <w:rPr>
          <w:rFonts w:ascii="Arial" w:hAnsi="Arial" w:cs="Arial"/>
          <w:sz w:val="22"/>
        </w:rPr>
        <w:t xml:space="preserve"> does not hold a capital budget</w:t>
      </w:r>
      <w:r w:rsidRPr="003C4DCD" w:rsidR="00A61C6D">
        <w:t>.</w:t>
      </w:r>
    </w:p>
    <w:p w:rsidRPr="00614894" w:rsidR="00EC44FA" w:rsidP="00517861" w:rsidRDefault="00EC44FA" w14:paraId="49CFE466" w14:textId="77777777">
      <w:pPr>
        <w:pStyle w:val="Style1"/>
        <w:numPr>
          <w:ilvl w:val="0"/>
          <w:numId w:val="0"/>
        </w:numPr>
        <w:jc w:val="both"/>
        <w:rPr>
          <w:rFonts w:ascii="Arial" w:hAnsi="Arial" w:cs="Arial"/>
          <w:sz w:val="22"/>
          <w:highlight w:val="yellow"/>
        </w:rPr>
      </w:pPr>
    </w:p>
    <w:p w:rsidRPr="004E1FF5" w:rsidR="00FC14C7" w:rsidP="00696811" w:rsidRDefault="00FC14C7" w14:paraId="477A0162" w14:textId="77777777">
      <w:pPr>
        <w:pStyle w:val="Heading3"/>
      </w:pPr>
      <w:r w:rsidRPr="004E1FF5">
        <w:t>Further Information</w:t>
      </w:r>
    </w:p>
    <w:p w:rsidRPr="001D7970" w:rsidR="00FC14C7" w:rsidP="001D7970" w:rsidRDefault="00FC14C7" w14:paraId="2E93EEC2" w14:textId="2C198FA9">
      <w:pPr>
        <w:pStyle w:val="Style1"/>
        <w:numPr>
          <w:ilvl w:val="0"/>
          <w:numId w:val="0"/>
        </w:numPr>
        <w:jc w:val="both"/>
        <w:rPr>
          <w:rFonts w:ascii="Arial" w:hAnsi="Arial" w:cs="Arial"/>
          <w:sz w:val="22"/>
        </w:rPr>
      </w:pPr>
      <w:r w:rsidRPr="001D7970">
        <w:rPr>
          <w:rFonts w:ascii="Arial" w:hAnsi="Arial" w:cs="Arial"/>
          <w:sz w:val="22"/>
        </w:rPr>
        <w:t xml:space="preserve">Further information regarding the accounts is available from the </w:t>
      </w:r>
      <w:r w:rsidRPr="001D7970" w:rsidR="00403BC8">
        <w:rPr>
          <w:rFonts w:ascii="Arial" w:hAnsi="Arial" w:cs="Arial"/>
          <w:sz w:val="22"/>
        </w:rPr>
        <w:t xml:space="preserve">Section 151 Officer </w:t>
      </w:r>
      <w:r w:rsidRPr="001D7970" w:rsidR="00891CF3">
        <w:rPr>
          <w:rFonts w:ascii="Arial" w:hAnsi="Arial" w:cs="Arial"/>
          <w:sz w:val="22"/>
        </w:rPr>
        <w:t xml:space="preserve">of the Vale of Glamorgan Council </w:t>
      </w:r>
      <w:r w:rsidRPr="001D7970" w:rsidR="00403BC8">
        <w:rPr>
          <w:rFonts w:ascii="Arial" w:hAnsi="Arial" w:cs="Arial"/>
          <w:sz w:val="22"/>
        </w:rPr>
        <w:t xml:space="preserve">who is appointed as Treasurer of the Joint Committee </w:t>
      </w:r>
      <w:r w:rsidRPr="001D7970">
        <w:rPr>
          <w:rFonts w:ascii="Arial" w:hAnsi="Arial" w:cs="Arial"/>
          <w:sz w:val="22"/>
        </w:rPr>
        <w:t>and</w:t>
      </w:r>
      <w:r w:rsidRPr="001D7970" w:rsidR="00403BC8">
        <w:rPr>
          <w:rFonts w:ascii="Arial" w:hAnsi="Arial" w:cs="Arial"/>
          <w:sz w:val="22"/>
        </w:rPr>
        <w:t xml:space="preserve"> is located within </w:t>
      </w:r>
      <w:r w:rsidRPr="001D7970" w:rsidR="00C9416A">
        <w:rPr>
          <w:rFonts w:ascii="Arial" w:hAnsi="Arial" w:cs="Arial"/>
          <w:sz w:val="22"/>
        </w:rPr>
        <w:t xml:space="preserve">the </w:t>
      </w:r>
      <w:r w:rsidRPr="001D7970" w:rsidR="00F2298F">
        <w:rPr>
          <w:rFonts w:ascii="Arial" w:hAnsi="Arial" w:cs="Arial"/>
          <w:sz w:val="22"/>
        </w:rPr>
        <w:t xml:space="preserve">Corporate </w:t>
      </w:r>
      <w:r w:rsidRPr="001D7970" w:rsidR="00C9416A">
        <w:rPr>
          <w:rFonts w:ascii="Arial" w:hAnsi="Arial" w:cs="Arial"/>
          <w:sz w:val="22"/>
        </w:rPr>
        <w:t>Resources</w:t>
      </w:r>
      <w:r w:rsidRPr="001D7970">
        <w:rPr>
          <w:rFonts w:ascii="Arial" w:hAnsi="Arial" w:cs="Arial"/>
          <w:sz w:val="22"/>
        </w:rPr>
        <w:t xml:space="preserve"> Directorate, Civic Offices, Holton Road, Barry, CF63 4RU.</w:t>
      </w:r>
    </w:p>
    <w:p w:rsidR="001E2079" w:rsidP="00696811" w:rsidRDefault="001E2079" w14:paraId="6BA904E2" w14:textId="4D351D8E">
      <w:pPr>
        <w:jc w:val="both"/>
        <w:rPr>
          <w:rFonts w:cs="Arial"/>
        </w:rPr>
      </w:pPr>
    </w:p>
    <w:p w:rsidR="003F0481" w:rsidP="00696811" w:rsidRDefault="003F0481" w14:paraId="09BBB97D" w14:textId="4EBEB07D">
      <w:pPr>
        <w:jc w:val="both"/>
        <w:rPr>
          <w:rFonts w:cs="Arial"/>
        </w:rPr>
      </w:pPr>
    </w:p>
    <w:p w:rsidRPr="004E1FF5" w:rsidR="003F0481" w:rsidP="00696811" w:rsidRDefault="003F0481" w14:paraId="6B949E9E" w14:textId="77777777">
      <w:pPr>
        <w:jc w:val="both"/>
        <w:rPr>
          <w:rFonts w:cs="Arial"/>
        </w:rPr>
      </w:pPr>
    </w:p>
    <w:bookmarkEnd w:id="2"/>
    <w:p w:rsidR="00701AFD" w:rsidP="002C6260" w:rsidRDefault="00701AFD" w14:paraId="6666F749" w14:textId="77777777">
      <w:pPr>
        <w:jc w:val="both"/>
        <w:rPr>
          <w:rFonts w:cs="Arial"/>
          <w:highlight w:val="yellow"/>
        </w:rPr>
      </w:pPr>
    </w:p>
    <w:p w:rsidRPr="001E6330" w:rsidR="00200CA1" w:rsidP="000746B4" w:rsidRDefault="00200CA1" w14:paraId="210A27D7" w14:textId="50573051">
      <w:pPr>
        <w:pStyle w:val="Heading1"/>
      </w:pPr>
      <w:bookmarkStart w:name="_Toc485903697" w:id="6"/>
      <w:bookmarkStart w:name="_Toc158193761" w:id="7"/>
      <w:r w:rsidRPr="001E6330">
        <w:lastRenderedPageBreak/>
        <w:t xml:space="preserve">Statement of Responsibilities for the Statement of Accounts for </w:t>
      </w:r>
      <w:r w:rsidRPr="003C4DCD" w:rsidR="003C4DCD">
        <w:t xml:space="preserve">VVC Adoption </w:t>
      </w:r>
      <w:bookmarkEnd w:id="6"/>
      <w:r w:rsidR="001E2079">
        <w:t>Collaborative</w:t>
      </w:r>
      <w:bookmarkEnd w:id="7"/>
    </w:p>
    <w:p w:rsidRPr="001E6330" w:rsidR="00200CA1" w:rsidP="00CE3CBF" w:rsidRDefault="00D22302" w14:paraId="1DA73455" w14:textId="77777777">
      <w:pPr>
        <w:pStyle w:val="Heading3"/>
      </w:pPr>
      <w:r w:rsidRPr="001E6330">
        <w:t>The Vale of Glamorgan Council (as Host)</w:t>
      </w:r>
      <w:r w:rsidRPr="001E6330" w:rsidR="00200CA1">
        <w:t xml:space="preserve"> Responsibilities</w:t>
      </w:r>
    </w:p>
    <w:p w:rsidRPr="000B1133" w:rsidR="00200CA1" w:rsidP="002C6260" w:rsidRDefault="00200CA1" w14:paraId="328F5076" w14:textId="77777777">
      <w:pPr>
        <w:jc w:val="both"/>
        <w:rPr>
          <w:rFonts w:cs="Arial"/>
        </w:rPr>
      </w:pPr>
      <w:r w:rsidRPr="001E6330">
        <w:rPr>
          <w:rFonts w:cs="Arial"/>
        </w:rPr>
        <w:t xml:space="preserve">The Council is </w:t>
      </w:r>
      <w:r w:rsidRPr="000B1133">
        <w:rPr>
          <w:rFonts w:cs="Arial"/>
        </w:rPr>
        <w:t>required:</w:t>
      </w:r>
    </w:p>
    <w:p w:rsidRPr="000B1133" w:rsidR="00200CA1" w:rsidP="00200CA1" w:rsidRDefault="00200CA1" w14:paraId="3F0E7F75" w14:textId="77777777">
      <w:pPr>
        <w:pStyle w:val="ListParagraph"/>
        <w:numPr>
          <w:ilvl w:val="0"/>
          <w:numId w:val="1"/>
        </w:numPr>
        <w:jc w:val="both"/>
        <w:rPr>
          <w:rFonts w:cs="Arial"/>
        </w:rPr>
      </w:pPr>
      <w:r w:rsidRPr="000B1133">
        <w:rPr>
          <w:rFonts w:cs="Arial"/>
        </w:rPr>
        <w:t xml:space="preserve">To </w:t>
      </w:r>
      <w:proofErr w:type="gramStart"/>
      <w:r w:rsidRPr="000B1133">
        <w:rPr>
          <w:rFonts w:cs="Arial"/>
        </w:rPr>
        <w:t>make arrangements</w:t>
      </w:r>
      <w:proofErr w:type="gramEnd"/>
      <w:r w:rsidRPr="000B1133">
        <w:rPr>
          <w:rFonts w:cs="Arial"/>
        </w:rPr>
        <w:t xml:space="preserve"> for the proper administration of its financial affairs and secure that </w:t>
      </w:r>
      <w:r w:rsidRPr="000B1133" w:rsidR="00F4686E">
        <w:rPr>
          <w:rFonts w:cs="Arial"/>
        </w:rPr>
        <w:t xml:space="preserve">one </w:t>
      </w:r>
      <w:r w:rsidRPr="000B1133">
        <w:rPr>
          <w:rFonts w:cs="Arial"/>
        </w:rPr>
        <w:t>of its officers has the responsibility for the administration of those affairs.  In this Council, that</w:t>
      </w:r>
      <w:r w:rsidRPr="000B1133" w:rsidR="00F4686E">
        <w:rPr>
          <w:rFonts w:cs="Arial"/>
        </w:rPr>
        <w:t xml:space="preserve"> officer is the Head of Finance; and</w:t>
      </w:r>
    </w:p>
    <w:p w:rsidRPr="000B1133" w:rsidR="00200CA1" w:rsidP="00200CA1" w:rsidRDefault="00200CA1" w14:paraId="2A3C7503" w14:textId="77777777">
      <w:pPr>
        <w:pStyle w:val="ListParagraph"/>
        <w:numPr>
          <w:ilvl w:val="0"/>
          <w:numId w:val="1"/>
        </w:numPr>
        <w:jc w:val="both"/>
        <w:rPr>
          <w:rFonts w:cs="Arial"/>
        </w:rPr>
      </w:pPr>
      <w:r w:rsidRPr="000B1133">
        <w:rPr>
          <w:rFonts w:cs="Arial"/>
        </w:rPr>
        <w:t>To manage its affairs to ensure economic, efficient and effective use of resources and safeguard its assets</w:t>
      </w:r>
      <w:r w:rsidRPr="000B1133" w:rsidR="009E77CA">
        <w:rPr>
          <w:rFonts w:cs="Arial"/>
        </w:rPr>
        <w:t>.</w:t>
      </w:r>
    </w:p>
    <w:p w:rsidRPr="000B1133" w:rsidR="00200CA1" w:rsidP="002C6260" w:rsidRDefault="00200CA1" w14:paraId="6C61AED5" w14:textId="77777777">
      <w:pPr>
        <w:jc w:val="both"/>
        <w:rPr>
          <w:rFonts w:cs="Arial"/>
        </w:rPr>
      </w:pPr>
      <w:r w:rsidRPr="000B1133">
        <w:rPr>
          <w:rFonts w:cs="Arial"/>
        </w:rPr>
        <w:t>The Joint Committee’s Responsibilities</w:t>
      </w:r>
    </w:p>
    <w:p w:rsidRPr="000B1133" w:rsidR="00200CA1" w:rsidP="00200CA1" w:rsidRDefault="00200CA1" w14:paraId="7A7D0ACD" w14:textId="77777777">
      <w:pPr>
        <w:pStyle w:val="ListParagraph"/>
        <w:numPr>
          <w:ilvl w:val="0"/>
          <w:numId w:val="1"/>
        </w:numPr>
        <w:jc w:val="both"/>
        <w:rPr>
          <w:rFonts w:cs="Arial"/>
        </w:rPr>
      </w:pPr>
      <w:r w:rsidRPr="000B1133">
        <w:rPr>
          <w:rFonts w:cs="Arial"/>
        </w:rPr>
        <w:t>To approve the</w:t>
      </w:r>
      <w:r w:rsidRPr="000B1133" w:rsidR="00A61C6D">
        <w:rPr>
          <w:rFonts w:cs="Arial"/>
        </w:rPr>
        <w:t xml:space="preserve"> Statement of A</w:t>
      </w:r>
      <w:r w:rsidRPr="000B1133">
        <w:rPr>
          <w:rFonts w:cs="Arial"/>
        </w:rPr>
        <w:t>ccounts</w:t>
      </w:r>
      <w:r w:rsidRPr="000B1133" w:rsidR="009E77CA">
        <w:rPr>
          <w:rFonts w:cs="Arial"/>
        </w:rPr>
        <w:t>.</w:t>
      </w:r>
    </w:p>
    <w:p w:rsidRPr="000B1133" w:rsidR="00200CA1" w:rsidP="00200CA1" w:rsidRDefault="00200CA1" w14:paraId="676F0D0B" w14:textId="77777777">
      <w:pPr>
        <w:jc w:val="both"/>
        <w:rPr>
          <w:rFonts w:cs="Arial"/>
        </w:rPr>
      </w:pPr>
      <w:r w:rsidRPr="000B1133">
        <w:rPr>
          <w:rFonts w:cs="Arial"/>
        </w:rPr>
        <w:t>Signature</w:t>
      </w:r>
      <w:r w:rsidRPr="000B1133" w:rsidR="00876E07">
        <w:rPr>
          <w:rFonts w:cs="Arial"/>
        </w:rPr>
        <w:t>:</w:t>
      </w:r>
    </w:p>
    <w:p w:rsidR="00200CA1" w:rsidP="00200CA1" w:rsidRDefault="00BB1618" w14:paraId="00B2A644" w14:textId="20F5D6CD">
      <w:pPr>
        <w:jc w:val="both"/>
        <w:rPr>
          <w:noProof/>
          <w:lang w:eastAsia="en-GB"/>
        </w:rPr>
      </w:pPr>
      <w:r>
        <w:rPr>
          <w:noProof/>
          <w:lang w:eastAsia="en-GB"/>
        </w:rPr>
        <w:drawing>
          <wp:inline distT="0" distB="0" distL="0" distR="0" wp14:anchorId="123E429A" wp14:editId="150A25C3">
            <wp:extent cx="2059377" cy="641350"/>
            <wp:effectExtent l="0" t="0" r="0" b="6350"/>
            <wp:docPr id="2" name="Picture 2" descr="C:\Users\abobbett.VALEOFGLAMORGAN\AppData\Local\Microsoft\Windows\Temporary Internet Files\Content.Outlook\1809GYX0\Ed William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bbett.VALEOFGLAMORGAN\AppData\Local\Microsoft\Windows\Temporary Internet Files\Content.Outlook\1809GYX0\Ed Williams Signatur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1942" cy="642149"/>
                    </a:xfrm>
                    <a:prstGeom prst="rect">
                      <a:avLst/>
                    </a:prstGeom>
                    <a:noFill/>
                    <a:ln>
                      <a:noFill/>
                    </a:ln>
                  </pic:spPr>
                </pic:pic>
              </a:graphicData>
            </a:graphic>
          </wp:inline>
        </w:drawing>
      </w:r>
    </w:p>
    <w:p w:rsidR="003C5888" w:rsidP="00200CA1" w:rsidRDefault="003C5888" w14:paraId="1D6319E1" w14:textId="75508776">
      <w:pPr>
        <w:jc w:val="both"/>
        <w:rPr>
          <w:noProof/>
          <w:lang w:eastAsia="en-GB"/>
        </w:rPr>
      </w:pPr>
    </w:p>
    <w:p w:rsidR="003C5888" w:rsidP="00200CA1" w:rsidRDefault="003C5888" w14:paraId="2D69BDE4" w14:textId="4CA6AFC4">
      <w:pPr>
        <w:jc w:val="both"/>
        <w:rPr>
          <w:noProof/>
          <w:lang w:eastAsia="en-GB"/>
        </w:rPr>
      </w:pPr>
    </w:p>
    <w:p w:rsidRPr="000B1133" w:rsidR="003C5888" w:rsidP="00200CA1" w:rsidRDefault="003C5888" w14:paraId="31B1C72C" w14:textId="77777777">
      <w:pPr>
        <w:jc w:val="both"/>
        <w:rPr>
          <w:rFonts w:cs="Arial"/>
        </w:rPr>
      </w:pPr>
    </w:p>
    <w:p w:rsidRPr="000B1133" w:rsidR="00200CA1" w:rsidP="00200CA1" w:rsidRDefault="00200CA1" w14:paraId="60A12BF5" w14:textId="76A7B986">
      <w:pPr>
        <w:jc w:val="both"/>
        <w:rPr>
          <w:rFonts w:cs="Arial"/>
        </w:rPr>
      </w:pPr>
      <w:r w:rsidRPr="000B1133">
        <w:rPr>
          <w:rFonts w:cs="Arial"/>
        </w:rPr>
        <w:t>Date</w:t>
      </w:r>
      <w:r w:rsidRPr="000B1133" w:rsidR="00876E07">
        <w:rPr>
          <w:rFonts w:cs="Arial"/>
        </w:rPr>
        <w:t>:</w:t>
      </w:r>
      <w:r w:rsidR="00BB1618">
        <w:rPr>
          <w:rFonts w:cs="Arial"/>
        </w:rPr>
        <w:t xml:space="preserve"> </w:t>
      </w:r>
      <w:r w:rsidR="00091A89">
        <w:rPr>
          <w:rFonts w:cs="Arial"/>
        </w:rPr>
        <w:t>5</w:t>
      </w:r>
      <w:r w:rsidRPr="000B1133" w:rsidR="006E2C6B">
        <w:rPr>
          <w:rFonts w:cs="Arial"/>
          <w:vertAlign w:val="superscript"/>
        </w:rPr>
        <w:t>th</w:t>
      </w:r>
      <w:r w:rsidRPr="000B1133" w:rsidR="00CD4B6F">
        <w:rPr>
          <w:rFonts w:cs="Arial"/>
        </w:rPr>
        <w:t xml:space="preserve"> </w:t>
      </w:r>
      <w:r w:rsidR="003C5888">
        <w:rPr>
          <w:rFonts w:cs="Arial"/>
        </w:rPr>
        <w:t>February</w:t>
      </w:r>
      <w:r w:rsidRPr="000B1133" w:rsidR="00E93ADE">
        <w:rPr>
          <w:rFonts w:cs="Arial"/>
        </w:rPr>
        <w:t xml:space="preserve"> 202</w:t>
      </w:r>
      <w:r w:rsidR="003C5888">
        <w:rPr>
          <w:rFonts w:cs="Arial"/>
        </w:rPr>
        <w:t>4</w:t>
      </w:r>
    </w:p>
    <w:p w:rsidRPr="001E6330" w:rsidR="00200CA1" w:rsidP="001B49FC" w:rsidRDefault="00200CA1" w14:paraId="22204B1F" w14:textId="654A07C3">
      <w:pPr>
        <w:pStyle w:val="NoSpacing"/>
        <w:rPr>
          <w:rFonts w:ascii="Arial" w:hAnsi="Arial" w:cs="Arial"/>
        </w:rPr>
      </w:pPr>
      <w:r w:rsidRPr="001E6330">
        <w:rPr>
          <w:rFonts w:ascii="Arial" w:hAnsi="Arial" w:cs="Arial"/>
        </w:rPr>
        <w:t xml:space="preserve">Chair of </w:t>
      </w:r>
      <w:r w:rsidR="00A2163C">
        <w:rPr>
          <w:rFonts w:ascii="Arial" w:hAnsi="Arial" w:cs="Arial"/>
        </w:rPr>
        <w:t>VVC</w:t>
      </w:r>
      <w:r w:rsidRPr="001E6330">
        <w:rPr>
          <w:rFonts w:ascii="Arial" w:hAnsi="Arial" w:cs="Arial"/>
        </w:rPr>
        <w:t xml:space="preserve"> Joint Committee</w:t>
      </w:r>
    </w:p>
    <w:p w:rsidRPr="001E6330" w:rsidR="00E728B8" w:rsidP="001B49FC" w:rsidRDefault="00200CA1" w14:paraId="4BEE9F88" w14:textId="77777777">
      <w:pPr>
        <w:pStyle w:val="NoSpacing"/>
        <w:rPr>
          <w:rFonts w:ascii="Arial" w:hAnsi="Arial" w:cs="Arial"/>
        </w:rPr>
      </w:pPr>
      <w:r w:rsidRPr="001E6330">
        <w:rPr>
          <w:rFonts w:ascii="Arial" w:hAnsi="Arial" w:cs="Arial"/>
        </w:rPr>
        <w:t xml:space="preserve">Vale of Glamorgan Council </w:t>
      </w:r>
    </w:p>
    <w:p w:rsidRPr="001E6330" w:rsidR="00200CA1" w:rsidP="001B49FC" w:rsidRDefault="00200CA1" w14:paraId="1C6AF1E2" w14:textId="77777777">
      <w:pPr>
        <w:pStyle w:val="NoSpacing"/>
        <w:rPr>
          <w:rFonts w:ascii="Arial" w:hAnsi="Arial" w:cs="Arial"/>
        </w:rPr>
      </w:pPr>
      <w:r w:rsidRPr="001E6330">
        <w:rPr>
          <w:rFonts w:ascii="Arial" w:hAnsi="Arial" w:cs="Arial"/>
        </w:rPr>
        <w:t>Civic Offices</w:t>
      </w:r>
    </w:p>
    <w:p w:rsidRPr="001E6330" w:rsidR="00200CA1" w:rsidP="001B49FC" w:rsidRDefault="00200CA1" w14:paraId="4DCE3DE6" w14:textId="77777777">
      <w:pPr>
        <w:pStyle w:val="NoSpacing"/>
        <w:rPr>
          <w:rFonts w:ascii="Arial" w:hAnsi="Arial" w:cs="Arial"/>
        </w:rPr>
      </w:pPr>
      <w:r w:rsidRPr="001E6330">
        <w:rPr>
          <w:rFonts w:ascii="Arial" w:hAnsi="Arial" w:cs="Arial"/>
        </w:rPr>
        <w:t>Holton Road</w:t>
      </w:r>
    </w:p>
    <w:p w:rsidRPr="001E6330" w:rsidR="00200CA1" w:rsidP="001B49FC" w:rsidRDefault="00200CA1" w14:paraId="7C296F60" w14:textId="77777777">
      <w:pPr>
        <w:pStyle w:val="NoSpacing"/>
        <w:rPr>
          <w:rFonts w:ascii="Arial" w:hAnsi="Arial" w:cs="Arial"/>
        </w:rPr>
      </w:pPr>
      <w:r w:rsidRPr="001E6330">
        <w:rPr>
          <w:rFonts w:ascii="Arial" w:hAnsi="Arial" w:cs="Arial"/>
        </w:rPr>
        <w:t>Barry</w:t>
      </w:r>
    </w:p>
    <w:p w:rsidRPr="001E6330" w:rsidR="00200CA1" w:rsidP="001B49FC" w:rsidRDefault="00200CA1" w14:paraId="5CA2B95F" w14:textId="77777777">
      <w:pPr>
        <w:pStyle w:val="NoSpacing"/>
        <w:rPr>
          <w:rFonts w:ascii="Arial" w:hAnsi="Arial" w:cs="Arial"/>
        </w:rPr>
      </w:pPr>
      <w:r w:rsidRPr="001E6330">
        <w:rPr>
          <w:rFonts w:ascii="Arial" w:hAnsi="Arial" w:cs="Arial"/>
        </w:rPr>
        <w:t>CF63 4RU</w:t>
      </w:r>
    </w:p>
    <w:p w:rsidRPr="00614894" w:rsidR="00200CA1" w:rsidP="002C6260" w:rsidRDefault="00200CA1" w14:paraId="69AE6952" w14:textId="77777777">
      <w:pPr>
        <w:jc w:val="both"/>
        <w:rPr>
          <w:rFonts w:cs="Arial"/>
          <w:highlight w:val="yellow"/>
        </w:rPr>
      </w:pPr>
    </w:p>
    <w:p w:rsidRPr="00614894" w:rsidR="00200CA1" w:rsidP="002C6260" w:rsidRDefault="00200CA1" w14:paraId="630B59A3" w14:textId="77777777">
      <w:pPr>
        <w:jc w:val="both"/>
        <w:rPr>
          <w:rFonts w:cs="Arial"/>
          <w:highlight w:val="yellow"/>
        </w:rPr>
      </w:pPr>
    </w:p>
    <w:p w:rsidRPr="00614894" w:rsidR="0084170A" w:rsidP="002C6260" w:rsidRDefault="0084170A" w14:paraId="457A9CCE" w14:textId="77777777">
      <w:pPr>
        <w:jc w:val="both"/>
        <w:rPr>
          <w:rFonts w:cs="Arial"/>
          <w:highlight w:val="yellow"/>
        </w:rPr>
      </w:pPr>
    </w:p>
    <w:p w:rsidRPr="00614894" w:rsidR="001B49FC" w:rsidP="002C6260" w:rsidRDefault="001B49FC" w14:paraId="0BDE5578" w14:textId="77777777">
      <w:pPr>
        <w:jc w:val="both"/>
        <w:rPr>
          <w:rFonts w:cs="Arial"/>
          <w:highlight w:val="yellow"/>
        </w:rPr>
      </w:pPr>
    </w:p>
    <w:p w:rsidRPr="00614894" w:rsidR="001B49FC" w:rsidP="002C6260" w:rsidRDefault="001B49FC" w14:paraId="6B818CC5" w14:textId="77777777">
      <w:pPr>
        <w:jc w:val="both"/>
        <w:rPr>
          <w:rFonts w:cs="Arial"/>
          <w:highlight w:val="yellow"/>
        </w:rPr>
      </w:pPr>
    </w:p>
    <w:p w:rsidRPr="00614894" w:rsidR="0084170A" w:rsidP="002C6260" w:rsidRDefault="0084170A" w14:paraId="640259E6" w14:textId="77777777">
      <w:pPr>
        <w:jc w:val="both"/>
        <w:rPr>
          <w:rFonts w:cs="Arial"/>
          <w:highlight w:val="yellow"/>
        </w:rPr>
      </w:pPr>
    </w:p>
    <w:p w:rsidRPr="00614894" w:rsidR="0084170A" w:rsidP="002C6260" w:rsidRDefault="0084170A" w14:paraId="493FC1F8" w14:textId="77777777">
      <w:pPr>
        <w:jc w:val="both"/>
        <w:rPr>
          <w:rFonts w:cs="Arial"/>
          <w:highlight w:val="yellow"/>
        </w:rPr>
      </w:pPr>
    </w:p>
    <w:p w:rsidRPr="00614894" w:rsidR="001B49FC" w:rsidP="002C6260" w:rsidRDefault="001B49FC" w14:paraId="7A39FAEF" w14:textId="05CD9738">
      <w:pPr>
        <w:jc w:val="both"/>
        <w:rPr>
          <w:rFonts w:cs="Arial"/>
          <w:highlight w:val="yellow"/>
        </w:rPr>
      </w:pPr>
    </w:p>
    <w:p w:rsidRPr="00614894" w:rsidR="00846C82" w:rsidP="002C6260" w:rsidRDefault="00846C82" w14:paraId="3B2EF72A" w14:textId="77777777">
      <w:pPr>
        <w:jc w:val="both"/>
        <w:rPr>
          <w:rFonts w:cs="Arial"/>
          <w:highlight w:val="yellow"/>
        </w:rPr>
      </w:pPr>
    </w:p>
    <w:p w:rsidRPr="00614894" w:rsidR="0084170A" w:rsidP="002C6260" w:rsidRDefault="0084170A" w14:paraId="1D5CAE31" w14:textId="77777777">
      <w:pPr>
        <w:jc w:val="both"/>
        <w:rPr>
          <w:rFonts w:cs="Arial"/>
          <w:highlight w:val="yellow"/>
        </w:rPr>
      </w:pPr>
    </w:p>
    <w:p w:rsidRPr="00614894" w:rsidR="00200CA1" w:rsidP="002C6260" w:rsidRDefault="00200CA1" w14:paraId="079361F3" w14:textId="77777777">
      <w:pPr>
        <w:jc w:val="both"/>
        <w:rPr>
          <w:rFonts w:cs="Arial"/>
          <w:highlight w:val="yellow"/>
        </w:rPr>
      </w:pPr>
    </w:p>
    <w:p w:rsidRPr="001E6330" w:rsidR="00B555DB" w:rsidP="00CE3CBF" w:rsidRDefault="006F3AEF" w14:paraId="3C215A14" w14:textId="77777777">
      <w:pPr>
        <w:pStyle w:val="Heading3"/>
      </w:pPr>
      <w:r w:rsidRPr="001E6330">
        <w:t>Responsibilities of t</w:t>
      </w:r>
      <w:r w:rsidRPr="001E6330" w:rsidR="00B555DB">
        <w:t>he Head of Finance as Treasurer of the Joint Committee</w:t>
      </w:r>
    </w:p>
    <w:p w:rsidRPr="001E6330" w:rsidR="00B555DB" w:rsidP="002C6260" w:rsidRDefault="00B555DB" w14:paraId="668990F2" w14:textId="77777777">
      <w:pPr>
        <w:jc w:val="both"/>
        <w:rPr>
          <w:rFonts w:cs="Arial"/>
        </w:rPr>
      </w:pPr>
      <w:r w:rsidRPr="001E6330">
        <w:rPr>
          <w:rFonts w:cs="Arial"/>
        </w:rPr>
        <w:t>The Head of Finance is responsible for the pre</w:t>
      </w:r>
      <w:r w:rsidRPr="001E6330" w:rsidR="008D394F">
        <w:rPr>
          <w:rFonts w:cs="Arial"/>
        </w:rPr>
        <w:t>paration</w:t>
      </w:r>
      <w:r w:rsidRPr="001E6330">
        <w:rPr>
          <w:rFonts w:cs="Arial"/>
        </w:rPr>
        <w:t xml:space="preserve"> of the Statement of Accounts.  In </w:t>
      </w:r>
      <w:r w:rsidRPr="001E6330" w:rsidR="008D394F">
        <w:t>accordance with proper practices as set out in the CIPFA/LASAAC Code of Practice on Local Authority Accounting in the United Kingdom (the Code).</w:t>
      </w:r>
    </w:p>
    <w:p w:rsidRPr="001E6330" w:rsidR="00B555DB" w:rsidP="00B555DB" w:rsidRDefault="00B555DB" w14:paraId="468A9265" w14:textId="77777777">
      <w:pPr>
        <w:pStyle w:val="ListParagraph"/>
        <w:numPr>
          <w:ilvl w:val="0"/>
          <w:numId w:val="2"/>
        </w:numPr>
        <w:jc w:val="both"/>
        <w:rPr>
          <w:rFonts w:cs="Arial"/>
          <w:b/>
        </w:rPr>
      </w:pPr>
      <w:r w:rsidRPr="001E6330">
        <w:rPr>
          <w:rFonts w:cs="Arial"/>
          <w:b/>
        </w:rPr>
        <w:t>In preparing the Statement of Accounts, the Head of Finance has:</w:t>
      </w:r>
    </w:p>
    <w:p w:rsidRPr="001E6330" w:rsidR="00B555DB" w:rsidP="00B555DB" w:rsidRDefault="00B555DB" w14:paraId="4D1EF78B" w14:textId="77777777">
      <w:pPr>
        <w:pStyle w:val="ListParagraph"/>
        <w:numPr>
          <w:ilvl w:val="0"/>
          <w:numId w:val="1"/>
        </w:numPr>
        <w:jc w:val="both"/>
        <w:rPr>
          <w:rFonts w:cs="Arial"/>
        </w:rPr>
      </w:pPr>
      <w:r w:rsidRPr="001E6330">
        <w:rPr>
          <w:rFonts w:cs="Arial"/>
        </w:rPr>
        <w:t>Selected suitable accounting policies and then applied them consistently.</w:t>
      </w:r>
    </w:p>
    <w:p w:rsidRPr="001E6330" w:rsidR="00B555DB" w:rsidP="00B555DB" w:rsidRDefault="00B555DB" w14:paraId="380B7AF2" w14:textId="77777777">
      <w:pPr>
        <w:pStyle w:val="ListParagraph"/>
        <w:numPr>
          <w:ilvl w:val="0"/>
          <w:numId w:val="1"/>
        </w:numPr>
        <w:jc w:val="both"/>
        <w:rPr>
          <w:rFonts w:cs="Arial"/>
        </w:rPr>
      </w:pPr>
      <w:r w:rsidRPr="001E6330">
        <w:rPr>
          <w:rFonts w:cs="Arial"/>
        </w:rPr>
        <w:t>Made judgements and estimates that were reasonable and prudent.</w:t>
      </w:r>
    </w:p>
    <w:p w:rsidRPr="001E6330" w:rsidR="00B555DB" w:rsidP="00B555DB" w:rsidRDefault="00B555DB" w14:paraId="2B785B86" w14:textId="77777777">
      <w:pPr>
        <w:pStyle w:val="ListParagraph"/>
        <w:numPr>
          <w:ilvl w:val="0"/>
          <w:numId w:val="1"/>
        </w:numPr>
        <w:jc w:val="both"/>
        <w:rPr>
          <w:rFonts w:cs="Arial"/>
        </w:rPr>
      </w:pPr>
      <w:r w:rsidRPr="001E6330">
        <w:rPr>
          <w:rFonts w:cs="Arial"/>
        </w:rPr>
        <w:t xml:space="preserve">Complied with the </w:t>
      </w:r>
      <w:r w:rsidRPr="001E6330" w:rsidR="008D394F">
        <w:rPr>
          <w:rFonts w:cs="Arial"/>
        </w:rPr>
        <w:t xml:space="preserve">local authority </w:t>
      </w:r>
      <w:r w:rsidRPr="001E6330">
        <w:rPr>
          <w:rFonts w:cs="Arial"/>
        </w:rPr>
        <w:t>Code.</w:t>
      </w:r>
    </w:p>
    <w:p w:rsidRPr="001E6330" w:rsidR="00B555DB" w:rsidP="00B555DB" w:rsidRDefault="00B555DB" w14:paraId="435BF3B4" w14:textId="77777777">
      <w:pPr>
        <w:pStyle w:val="ListParagraph"/>
        <w:jc w:val="both"/>
        <w:rPr>
          <w:rFonts w:cs="Arial"/>
        </w:rPr>
      </w:pPr>
    </w:p>
    <w:p w:rsidRPr="001E6330" w:rsidR="00B555DB" w:rsidP="00B555DB" w:rsidRDefault="00B555DB" w14:paraId="39A119EE" w14:textId="77777777">
      <w:pPr>
        <w:pStyle w:val="ListParagraph"/>
        <w:numPr>
          <w:ilvl w:val="0"/>
          <w:numId w:val="2"/>
        </w:numPr>
        <w:jc w:val="both"/>
        <w:rPr>
          <w:rFonts w:cs="Arial"/>
          <w:b/>
        </w:rPr>
      </w:pPr>
      <w:r w:rsidRPr="001E6330">
        <w:rPr>
          <w:rFonts w:cs="Arial"/>
          <w:b/>
        </w:rPr>
        <w:t>The Head of Finance has also throughout the financial year:</w:t>
      </w:r>
    </w:p>
    <w:p w:rsidRPr="001E6330" w:rsidR="006F3AEF" w:rsidP="00B555DB" w:rsidRDefault="006F3AEF" w14:paraId="746C9B9F" w14:textId="77777777">
      <w:pPr>
        <w:pStyle w:val="ListParagraph"/>
        <w:numPr>
          <w:ilvl w:val="0"/>
          <w:numId w:val="1"/>
        </w:numPr>
        <w:jc w:val="both"/>
        <w:rPr>
          <w:rFonts w:cs="Arial"/>
        </w:rPr>
      </w:pPr>
      <w:r w:rsidRPr="001E6330">
        <w:rPr>
          <w:rFonts w:cs="Arial"/>
        </w:rPr>
        <w:t>Maintained proper accounting records that were kept up to date.</w:t>
      </w:r>
    </w:p>
    <w:p w:rsidRPr="001E6330" w:rsidR="00B555DB" w:rsidP="00B555DB" w:rsidRDefault="00B555DB" w14:paraId="059B0CA4" w14:textId="77777777">
      <w:pPr>
        <w:pStyle w:val="ListParagraph"/>
        <w:numPr>
          <w:ilvl w:val="0"/>
          <w:numId w:val="1"/>
        </w:numPr>
        <w:jc w:val="both"/>
        <w:rPr>
          <w:rFonts w:cs="Arial"/>
        </w:rPr>
      </w:pPr>
      <w:r w:rsidRPr="001E6330">
        <w:rPr>
          <w:rFonts w:cs="Arial"/>
        </w:rPr>
        <w:t>Taken reasonable steps for the prevention and detection of fraud and other irregularities.</w:t>
      </w:r>
    </w:p>
    <w:p w:rsidRPr="00614894" w:rsidR="00962BB9" w:rsidP="00962BB9" w:rsidRDefault="00962BB9" w14:paraId="28409605" w14:textId="77777777">
      <w:pPr>
        <w:pStyle w:val="ListParagraph"/>
        <w:jc w:val="both"/>
        <w:rPr>
          <w:rFonts w:cs="Arial"/>
          <w:highlight w:val="yellow"/>
        </w:rPr>
      </w:pPr>
    </w:p>
    <w:p w:rsidRPr="001E6330" w:rsidR="00B555DB" w:rsidP="00962BB9" w:rsidRDefault="00962BB9" w14:paraId="50C7F843" w14:textId="77777777">
      <w:pPr>
        <w:pStyle w:val="ListParagraph"/>
        <w:numPr>
          <w:ilvl w:val="0"/>
          <w:numId w:val="2"/>
        </w:numPr>
        <w:jc w:val="both"/>
        <w:rPr>
          <w:rFonts w:cs="Arial"/>
          <w:b/>
        </w:rPr>
      </w:pPr>
      <w:r w:rsidRPr="001E6330">
        <w:rPr>
          <w:rFonts w:cs="Arial"/>
          <w:b/>
        </w:rPr>
        <w:t>Certificate of the Head of Finance as Treasurer of the Joint Committee</w:t>
      </w:r>
    </w:p>
    <w:p w:rsidRPr="001E6330" w:rsidR="00F75A6B" w:rsidP="00F75A6B" w:rsidRDefault="00F75A6B" w14:paraId="228BEFE5" w14:textId="193FFDED">
      <w:pPr>
        <w:jc w:val="both"/>
        <w:rPr>
          <w:rFonts w:cs="Arial"/>
        </w:rPr>
      </w:pPr>
      <w:r w:rsidRPr="001E6330">
        <w:rPr>
          <w:rFonts w:cs="Arial"/>
        </w:rPr>
        <w:t xml:space="preserve">I certify </w:t>
      </w:r>
      <w:r w:rsidRPr="001E6330" w:rsidR="008D394F">
        <w:rPr>
          <w:rFonts w:cs="Arial"/>
        </w:rPr>
        <w:t>the Statement of Accounts give</w:t>
      </w:r>
      <w:r w:rsidRPr="001E6330">
        <w:rPr>
          <w:rFonts w:cs="Arial"/>
        </w:rPr>
        <w:t xml:space="preserve"> a true and fair view of the financial position of the Joint Committee as </w:t>
      </w:r>
      <w:proofErr w:type="gramStart"/>
      <w:r w:rsidRPr="001E6330">
        <w:rPr>
          <w:rFonts w:cs="Arial"/>
        </w:rPr>
        <w:t>at</w:t>
      </w:r>
      <w:proofErr w:type="gramEnd"/>
      <w:r w:rsidRPr="001E6330">
        <w:rPr>
          <w:rFonts w:cs="Arial"/>
        </w:rPr>
        <w:t xml:space="preserve"> 31</w:t>
      </w:r>
      <w:r w:rsidRPr="001E6330">
        <w:rPr>
          <w:rFonts w:cs="Arial"/>
          <w:vertAlign w:val="superscript"/>
        </w:rPr>
        <w:t>st</w:t>
      </w:r>
      <w:r w:rsidRPr="001E6330" w:rsidR="006D2398">
        <w:rPr>
          <w:rFonts w:cs="Arial"/>
        </w:rPr>
        <w:t xml:space="preserve"> March 20</w:t>
      </w:r>
      <w:r w:rsidRPr="001E6330" w:rsidR="00E93ADE">
        <w:rPr>
          <w:rFonts w:cs="Arial"/>
        </w:rPr>
        <w:t>2</w:t>
      </w:r>
      <w:r w:rsidRPr="001E6330" w:rsidR="002D1DEE">
        <w:rPr>
          <w:rFonts w:cs="Arial"/>
        </w:rPr>
        <w:t>3</w:t>
      </w:r>
      <w:r w:rsidRPr="001E6330">
        <w:rPr>
          <w:rFonts w:cs="Arial"/>
        </w:rPr>
        <w:t>, and its income and expenditure for the period then ended.</w:t>
      </w:r>
    </w:p>
    <w:p w:rsidRPr="001E6330" w:rsidR="00F75A6B" w:rsidP="00F75A6B" w:rsidRDefault="00F75A6B" w14:paraId="6D7ED797" w14:textId="77777777">
      <w:pPr>
        <w:jc w:val="both"/>
        <w:rPr>
          <w:rFonts w:cs="Arial"/>
          <w:b/>
        </w:rPr>
      </w:pPr>
      <w:r w:rsidRPr="001E6330">
        <w:rPr>
          <w:rFonts w:cs="Arial"/>
          <w:b/>
        </w:rPr>
        <w:t>Signature:</w:t>
      </w:r>
    </w:p>
    <w:p w:rsidRPr="00614894" w:rsidR="007C6C6C" w:rsidP="00F75A6B" w:rsidRDefault="00091A89" w14:paraId="3621ACEC" w14:textId="54502239">
      <w:pPr>
        <w:jc w:val="both"/>
        <w:rPr>
          <w:rFonts w:cs="Arial"/>
          <w:b/>
          <w:highlight w:val="yellow"/>
        </w:rPr>
      </w:pPr>
      <w:r>
        <w:rPr>
          <w:noProof/>
          <w:position w:val="-7"/>
        </w:rPr>
        <w:drawing>
          <wp:inline distT="0" distB="0" distL="0" distR="0" wp14:anchorId="213DCA2A" wp14:editId="1ACD1D30">
            <wp:extent cx="1880393" cy="289560"/>
            <wp:effectExtent l="0" t="0" r="5715" b="0"/>
            <wp:docPr id="4" name="image2.png" descr="A black line drawing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descr="A black line drawing of a triangle&#10;&#10;Description automatically generated with medium confidence"/>
                    <pic:cNvPicPr/>
                  </pic:nvPicPr>
                  <pic:blipFill>
                    <a:blip r:embed="rId22" cstate="print"/>
                    <a:stretch>
                      <a:fillRect/>
                    </a:stretch>
                  </pic:blipFill>
                  <pic:spPr>
                    <a:xfrm>
                      <a:off x="0" y="0"/>
                      <a:ext cx="1886920" cy="290565"/>
                    </a:xfrm>
                    <a:prstGeom prst="rect">
                      <a:avLst/>
                    </a:prstGeom>
                  </pic:spPr>
                </pic:pic>
              </a:graphicData>
            </a:graphic>
          </wp:inline>
        </w:drawing>
      </w:r>
    </w:p>
    <w:p w:rsidRPr="00614894" w:rsidR="00975D45" w:rsidP="00F75A6B" w:rsidRDefault="00975D45" w14:paraId="3B2BB0D6" w14:textId="6505902F">
      <w:pPr>
        <w:jc w:val="both"/>
        <w:rPr>
          <w:rFonts w:cs="Arial"/>
          <w:b/>
          <w:highlight w:val="yellow"/>
        </w:rPr>
      </w:pPr>
    </w:p>
    <w:p w:rsidRPr="000B1133" w:rsidR="00F75A6B" w:rsidP="00F75A6B" w:rsidRDefault="00F75A6B" w14:paraId="44F3B752" w14:textId="77777777">
      <w:pPr>
        <w:jc w:val="both"/>
        <w:rPr>
          <w:rFonts w:cs="Arial"/>
          <w:b/>
        </w:rPr>
      </w:pPr>
    </w:p>
    <w:p w:rsidRPr="000B1133" w:rsidR="00F75A6B" w:rsidP="00F75A6B" w:rsidRDefault="00F75A6B" w14:paraId="54CC999B" w14:textId="3FB9CE4D">
      <w:pPr>
        <w:jc w:val="both"/>
        <w:rPr>
          <w:rFonts w:cs="Arial"/>
        </w:rPr>
      </w:pPr>
      <w:r w:rsidRPr="000B1133">
        <w:rPr>
          <w:rFonts w:cs="Arial"/>
          <w:b/>
        </w:rPr>
        <w:t>Date</w:t>
      </w:r>
      <w:r w:rsidRPr="000B1133">
        <w:rPr>
          <w:rFonts w:cs="Arial"/>
        </w:rPr>
        <w:t>:</w:t>
      </w:r>
      <w:r w:rsidRPr="000B1133" w:rsidR="004C44B7">
        <w:rPr>
          <w:rFonts w:cs="Arial"/>
        </w:rPr>
        <w:t xml:space="preserve"> </w:t>
      </w:r>
      <w:r w:rsidR="0054188A">
        <w:rPr>
          <w:rFonts w:cs="Arial"/>
        </w:rPr>
        <w:t>5</w:t>
      </w:r>
      <w:r w:rsidRPr="000B1133" w:rsidR="006E2C6B">
        <w:rPr>
          <w:rFonts w:cs="Arial"/>
          <w:vertAlign w:val="superscript"/>
        </w:rPr>
        <w:t>th</w:t>
      </w:r>
      <w:r w:rsidRPr="000B1133" w:rsidR="00CD4B6F">
        <w:rPr>
          <w:rFonts w:cs="Arial"/>
        </w:rPr>
        <w:t xml:space="preserve"> </w:t>
      </w:r>
      <w:r w:rsidR="003C5888">
        <w:rPr>
          <w:rFonts w:cs="Arial"/>
        </w:rPr>
        <w:t>February</w:t>
      </w:r>
      <w:r w:rsidRPr="000B1133" w:rsidR="00E93ADE">
        <w:rPr>
          <w:rFonts w:cs="Arial"/>
        </w:rPr>
        <w:t xml:space="preserve"> 202</w:t>
      </w:r>
      <w:r w:rsidR="003C5888">
        <w:rPr>
          <w:rFonts w:cs="Arial"/>
        </w:rPr>
        <w:t>4</w:t>
      </w:r>
    </w:p>
    <w:p w:rsidRPr="001E6330" w:rsidR="001B49FC" w:rsidP="001B49FC" w:rsidRDefault="00266FA3" w14:paraId="482DC0D3" w14:textId="4453B1E0">
      <w:pPr>
        <w:pStyle w:val="NoSpacing"/>
        <w:rPr>
          <w:rFonts w:ascii="Arial" w:hAnsi="Arial" w:cs="Arial"/>
        </w:rPr>
      </w:pPr>
      <w:r w:rsidRPr="001E6330">
        <w:rPr>
          <w:rFonts w:ascii="Arial" w:hAnsi="Arial" w:cs="Arial"/>
        </w:rPr>
        <w:t>Matt Bowmer</w:t>
      </w:r>
    </w:p>
    <w:p w:rsidRPr="001E6330" w:rsidR="00F75A6B" w:rsidP="001B49FC" w:rsidRDefault="00F75A6B" w14:paraId="1E4B3F9D" w14:textId="77777777">
      <w:pPr>
        <w:pStyle w:val="NoSpacing"/>
        <w:rPr>
          <w:rFonts w:ascii="Arial" w:hAnsi="Arial" w:cs="Arial"/>
        </w:rPr>
      </w:pPr>
      <w:r w:rsidRPr="001E6330">
        <w:rPr>
          <w:rFonts w:ascii="Arial" w:hAnsi="Arial" w:cs="Arial"/>
        </w:rPr>
        <w:t>Head</w:t>
      </w:r>
      <w:r w:rsidRPr="001E6330" w:rsidR="00BD27A5">
        <w:rPr>
          <w:rFonts w:ascii="Arial" w:hAnsi="Arial" w:cs="Arial"/>
        </w:rPr>
        <w:t xml:space="preserve"> of Finance/Section 151 Officer</w:t>
      </w:r>
    </w:p>
    <w:p w:rsidRPr="001E6330" w:rsidR="00F75A6B" w:rsidP="001B49FC" w:rsidRDefault="00F75A6B" w14:paraId="47D41F29" w14:textId="77777777">
      <w:pPr>
        <w:pStyle w:val="NoSpacing"/>
        <w:rPr>
          <w:rFonts w:ascii="Arial" w:hAnsi="Arial" w:cs="Arial"/>
        </w:rPr>
      </w:pPr>
      <w:r w:rsidRPr="001E6330">
        <w:rPr>
          <w:rFonts w:ascii="Arial" w:hAnsi="Arial" w:cs="Arial"/>
        </w:rPr>
        <w:t>Vale of Glamorgan Council</w:t>
      </w:r>
    </w:p>
    <w:p w:rsidRPr="001E6330" w:rsidR="00F75A6B" w:rsidP="001B49FC" w:rsidRDefault="00F75A6B" w14:paraId="2FBC396B" w14:textId="77777777">
      <w:pPr>
        <w:pStyle w:val="NoSpacing"/>
        <w:rPr>
          <w:rFonts w:ascii="Arial" w:hAnsi="Arial" w:cs="Arial"/>
        </w:rPr>
      </w:pPr>
      <w:r w:rsidRPr="001E6330">
        <w:rPr>
          <w:rFonts w:ascii="Arial" w:hAnsi="Arial" w:cs="Arial"/>
        </w:rPr>
        <w:t>Civic Offices</w:t>
      </w:r>
    </w:p>
    <w:p w:rsidRPr="001E6330" w:rsidR="00F75A6B" w:rsidP="001B49FC" w:rsidRDefault="00F75A6B" w14:paraId="62F38952" w14:textId="77777777">
      <w:pPr>
        <w:pStyle w:val="NoSpacing"/>
        <w:rPr>
          <w:rFonts w:ascii="Arial" w:hAnsi="Arial" w:cs="Arial"/>
        </w:rPr>
      </w:pPr>
      <w:r w:rsidRPr="001E6330">
        <w:rPr>
          <w:rFonts w:ascii="Arial" w:hAnsi="Arial" w:cs="Arial"/>
        </w:rPr>
        <w:t>Holton Road</w:t>
      </w:r>
    </w:p>
    <w:p w:rsidRPr="001E6330" w:rsidR="00F75A6B" w:rsidP="001B49FC" w:rsidRDefault="00F75A6B" w14:paraId="33E80B9F" w14:textId="77777777">
      <w:pPr>
        <w:pStyle w:val="NoSpacing"/>
        <w:rPr>
          <w:rFonts w:ascii="Arial" w:hAnsi="Arial" w:cs="Arial"/>
        </w:rPr>
      </w:pPr>
      <w:r w:rsidRPr="001E6330">
        <w:rPr>
          <w:rFonts w:ascii="Arial" w:hAnsi="Arial" w:cs="Arial"/>
        </w:rPr>
        <w:t>Barry</w:t>
      </w:r>
    </w:p>
    <w:p w:rsidRPr="001E6330" w:rsidR="00CE0831" w:rsidP="00927A67" w:rsidRDefault="00F75A6B" w14:paraId="68129DC3" w14:textId="77777777">
      <w:pPr>
        <w:rPr>
          <w:rFonts w:cs="Arial"/>
        </w:rPr>
      </w:pPr>
      <w:r w:rsidRPr="001E6330">
        <w:rPr>
          <w:rFonts w:cs="Arial"/>
        </w:rPr>
        <w:t>C</w:t>
      </w:r>
      <w:r w:rsidRPr="001E6330" w:rsidR="00FE3582">
        <w:rPr>
          <w:rFonts w:cs="Arial"/>
        </w:rPr>
        <w:t>F63 4RU</w:t>
      </w:r>
    </w:p>
    <w:p w:rsidRPr="00614894" w:rsidR="004B7BBC" w:rsidRDefault="004B7BBC" w14:paraId="2D3B3B3A" w14:textId="77777777">
      <w:pPr>
        <w:rPr>
          <w:rFonts w:cs="Arial"/>
          <w:highlight w:val="yellow"/>
        </w:rPr>
      </w:pPr>
    </w:p>
    <w:p w:rsidRPr="00614894" w:rsidR="00A86AEB" w:rsidRDefault="00A86AEB" w14:paraId="545BDD70" w14:textId="77777777">
      <w:pPr>
        <w:rPr>
          <w:rFonts w:cs="Arial"/>
          <w:highlight w:val="yellow"/>
        </w:rPr>
      </w:pPr>
      <w:r w:rsidRPr="00614894">
        <w:rPr>
          <w:rFonts w:cs="Arial"/>
          <w:highlight w:val="yellow"/>
        </w:rPr>
        <w:br w:type="page"/>
      </w:r>
    </w:p>
    <w:p w:rsidRPr="00614894" w:rsidR="00C61794" w:rsidRDefault="00C61794" w14:paraId="634AE275" w14:textId="77777777">
      <w:pPr>
        <w:rPr>
          <w:rFonts w:cs="Arial"/>
          <w:highlight w:val="yellow"/>
        </w:rPr>
        <w:sectPr w:rsidRPr="00614894" w:rsidR="00C61794" w:rsidSect="002D6575">
          <w:footerReference w:type="default" r:id="rId23"/>
          <w:footerReference w:type="first" r:id="rId24"/>
          <w:pgSz w:w="11906" w:h="16838" w:code="9"/>
          <w:pgMar w:top="1440" w:right="1440" w:bottom="1440" w:left="1440" w:header="709" w:footer="709" w:gutter="0"/>
          <w:pgNumType w:start="1"/>
          <w:cols w:space="708"/>
          <w:docGrid w:linePitch="360"/>
        </w:sectPr>
      </w:pPr>
    </w:p>
    <w:p w:rsidRPr="003A7B6A" w:rsidR="00F063E3" w:rsidP="003A7B6A" w:rsidRDefault="0054188A" w14:paraId="0F9C1D44" w14:textId="0F492468">
      <w:pPr>
        <w:pStyle w:val="Heading1"/>
        <w:rPr>
          <w:b w:val="0"/>
          <w:sz w:val="24"/>
          <w:szCs w:val="24"/>
        </w:rPr>
      </w:pPr>
      <w:bookmarkStart w:name="_Toc158193762" w:id="8"/>
      <w:bookmarkStart w:name="_Toc485903698" w:id="9"/>
      <w:r>
        <w:lastRenderedPageBreak/>
        <w:t xml:space="preserve">The report of the Auditor General for Wales to </w:t>
      </w:r>
      <w:r w:rsidR="003A7B6A">
        <w:t xml:space="preserve">the members of the Vale, </w:t>
      </w:r>
      <w:proofErr w:type="gramStart"/>
      <w:r w:rsidR="003A7B6A">
        <w:t>Valleys</w:t>
      </w:r>
      <w:proofErr w:type="gramEnd"/>
      <w:r w:rsidR="003A7B6A">
        <w:t xml:space="preserve"> and Cardiff Adoption Collaborative Joint Committee.</w:t>
      </w:r>
      <w:bookmarkEnd w:id="8"/>
    </w:p>
    <w:p w:rsidRPr="0054188A" w:rsidR="0054188A" w:rsidP="0054188A" w:rsidRDefault="0054188A" w14:paraId="09327244"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Opinion on financial statements</w:t>
      </w:r>
    </w:p>
    <w:p w:rsidRPr="0054188A" w:rsidR="0054188A" w:rsidP="0054188A" w:rsidRDefault="0054188A" w14:paraId="6F56524C" w14:textId="77777777">
      <w:pPr>
        <w:spacing w:before="60" w:after="60" w:line="280" w:lineRule="atLeast"/>
        <w:rPr>
          <w:color w:val="515254"/>
        </w:rPr>
      </w:pPr>
      <w:r w:rsidRPr="0054188A">
        <w:rPr>
          <w:color w:val="515254"/>
        </w:rPr>
        <w:t>I have audited the financial statements of Vale, Valleys and Cardiff Adoption Collaborative Joint Committee for the year ended 31 March 2023 under the Public Audit (Wales) Act 2004.</w:t>
      </w:r>
    </w:p>
    <w:p w:rsidRPr="0054188A" w:rsidR="0054188A" w:rsidP="0054188A" w:rsidRDefault="0054188A" w14:paraId="5DA02545" w14:textId="44C18339">
      <w:pPr>
        <w:spacing w:before="60" w:after="60" w:line="280" w:lineRule="atLeast"/>
        <w:rPr>
          <w:color w:val="515254"/>
        </w:rPr>
      </w:pPr>
      <w:r w:rsidRPr="0054188A">
        <w:rPr>
          <w:color w:val="515254"/>
        </w:rPr>
        <w:t xml:space="preserve">The Vale, Valleys and Cardiff Adoption Collaborative Joint Committee financial statements for the year ended 31 March </w:t>
      </w:r>
      <w:r w:rsidR="000F0B39">
        <w:rPr>
          <w:color w:val="515254"/>
        </w:rPr>
        <w:t xml:space="preserve">2023 </w:t>
      </w:r>
      <w:r w:rsidRPr="0054188A">
        <w:rPr>
          <w:color w:val="515254"/>
        </w:rPr>
        <w:t>comprise the Expenditure and Funding Analysis, Movement in Reserves Statement, the Comprehensive Income and Expenditure Statement, the Balance Sheet, the Cash Flow Statement and the related notes, including a summary of significant accounting policies.</w:t>
      </w:r>
    </w:p>
    <w:p w:rsidRPr="0054188A" w:rsidR="0054188A" w:rsidP="0054188A" w:rsidRDefault="0054188A" w14:paraId="63C2A50D" w14:textId="77777777">
      <w:pPr>
        <w:spacing w:before="60" w:after="60" w:line="280" w:lineRule="atLeast"/>
        <w:rPr>
          <w:color w:val="515254"/>
        </w:rPr>
      </w:pPr>
      <w:r w:rsidRPr="0054188A">
        <w:rPr>
          <w:color w:val="515254"/>
        </w:rPr>
        <w:t>The financial reporting framework that has been applied in their preparation is applicable law and UK adopted international accounting standards as interpreted and adapted by the Code of Practice on Local Authority Accounting in the United Kingdom 2023.</w:t>
      </w:r>
    </w:p>
    <w:p w:rsidRPr="003A7B6A" w:rsidR="0054188A" w:rsidP="0054188A" w:rsidRDefault="0054188A" w14:paraId="3D42CD86" w14:textId="040661FB">
      <w:pPr>
        <w:spacing w:before="60" w:after="60" w:line="280" w:lineRule="atLeast"/>
        <w:rPr>
          <w:color w:val="515254"/>
        </w:rPr>
      </w:pPr>
      <w:r w:rsidRPr="0054188A">
        <w:rPr>
          <w:color w:val="515254"/>
        </w:rPr>
        <w:t>In my opinion, in all material respects, the financial statements:</w:t>
      </w:r>
    </w:p>
    <w:p w:rsidRPr="0054188A" w:rsidR="003A7B6A" w:rsidP="0054188A" w:rsidRDefault="003A7B6A" w14:paraId="03E99681" w14:textId="77777777">
      <w:pPr>
        <w:spacing w:before="60" w:after="60" w:line="280" w:lineRule="atLeast"/>
        <w:rPr>
          <w:color w:val="515254"/>
        </w:rPr>
      </w:pPr>
    </w:p>
    <w:p w:rsidRPr="0054188A" w:rsidR="0054188A" w:rsidP="0054188A" w:rsidRDefault="0054188A" w14:paraId="46D35370"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 xml:space="preserve">give a true and fair view of the financial position of the Vale, Valleys and Cardiff Adoption Collaborative Joint Committee as </w:t>
      </w:r>
      <w:proofErr w:type="gramStart"/>
      <w:r w:rsidRPr="0054188A">
        <w:rPr>
          <w:rFonts w:eastAsia="Calibri" w:cs="Times New Roman"/>
          <w:color w:val="515254"/>
        </w:rPr>
        <w:t>at</w:t>
      </w:r>
      <w:proofErr w:type="gramEnd"/>
      <w:r w:rsidRPr="0054188A">
        <w:rPr>
          <w:rFonts w:eastAsia="Calibri" w:cs="Times New Roman"/>
          <w:color w:val="515254"/>
        </w:rPr>
        <w:t xml:space="preserve"> 31 March 2023 and of its income and expenditure for the year then ended; and</w:t>
      </w:r>
    </w:p>
    <w:p w:rsidRPr="0054188A" w:rsidR="0054188A" w:rsidP="0054188A" w:rsidRDefault="0054188A" w14:paraId="3434CDA6"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have been properly prepared in accordance with legislative requirements and UK adopted international accounting standards as interpreted and adapted by the Code of Practice on Local Authority Accounting in the United Kingdom 2023.</w:t>
      </w:r>
    </w:p>
    <w:p w:rsidRPr="0054188A" w:rsidR="0054188A" w:rsidP="0054188A" w:rsidRDefault="0054188A" w14:paraId="68C22A9A"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Basis of opinion</w:t>
      </w:r>
    </w:p>
    <w:p w:rsidRPr="0054188A" w:rsidR="0054188A" w:rsidP="0054188A" w:rsidRDefault="0054188A" w14:paraId="7BE932DA" w14:textId="77777777">
      <w:pPr>
        <w:spacing w:before="60" w:after="60" w:line="280" w:lineRule="atLeast"/>
        <w:rPr>
          <w:color w:val="515254"/>
        </w:rPr>
      </w:pPr>
      <w:r w:rsidRPr="0054188A">
        <w:rPr>
          <w:color w:val="515254"/>
        </w:rPr>
        <w:t>I conducted my audit in accordance with applicable law and International Standards on Auditing in the UK (ISAs (UK)) and Practice Note 10 ‘Audit of Financial Statements of Public Sector Entities in the United Kingdom’. My responsibilities under those standards are further described in the auditor’s responsibilities for the audit of the financial statements section of my report.</w:t>
      </w:r>
    </w:p>
    <w:p w:rsidRPr="0054188A" w:rsidR="0054188A" w:rsidP="0054188A" w:rsidRDefault="0054188A" w14:paraId="44F6EAB6" w14:textId="34FD762B">
      <w:pPr>
        <w:spacing w:before="60" w:after="60" w:line="280" w:lineRule="atLeast"/>
        <w:rPr>
          <w:color w:val="515254"/>
        </w:rPr>
      </w:pPr>
      <w:r w:rsidRPr="0054188A">
        <w:rPr>
          <w:color w:val="515254"/>
        </w:rPr>
        <w:t>My staff and I are independent of the Vale, Valleys and Cardiff Adoption Collaborative Joint Committee in accordance with the ethical requirements that are relevant to my audit of the financial statements in the UK including the Financial Reporting Council’s Ethical Standard, and I have fulfilled my other ethical responsibilities in accordance with these requirements. I believe that the audit evidence I have obtained is sufficient and appropriate to provide a basis for my opinion.</w:t>
      </w:r>
    </w:p>
    <w:p w:rsidRPr="0054188A" w:rsidR="0054188A" w:rsidP="0054188A" w:rsidRDefault="0054188A" w14:paraId="4F9718D0"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 xml:space="preserve">Conclusions relating to going </w:t>
      </w:r>
      <w:proofErr w:type="gramStart"/>
      <w:r w:rsidRPr="0054188A">
        <w:rPr>
          <w:rFonts w:eastAsia="Calibri" w:cs="Times New Roman"/>
          <w:b/>
          <w:color w:val="515254"/>
          <w:sz w:val="24"/>
          <w:szCs w:val="20"/>
        </w:rPr>
        <w:t>concern</w:t>
      </w:r>
      <w:proofErr w:type="gramEnd"/>
    </w:p>
    <w:p w:rsidRPr="0054188A" w:rsidR="0054188A" w:rsidP="0054188A" w:rsidRDefault="0054188A" w14:paraId="729FD573" w14:textId="77777777">
      <w:pPr>
        <w:spacing w:before="60" w:after="60" w:line="280" w:lineRule="atLeast"/>
        <w:rPr>
          <w:color w:val="515254"/>
        </w:rPr>
      </w:pPr>
      <w:r w:rsidRPr="0054188A">
        <w:rPr>
          <w:color w:val="515254"/>
        </w:rPr>
        <w:t>In auditing the financial statements, I have concluded that the use of the going concern basis of accounting in the preparation of the financial statements is appropriate.</w:t>
      </w:r>
    </w:p>
    <w:p w:rsidRPr="0054188A" w:rsidR="0054188A" w:rsidP="0054188A" w:rsidRDefault="0054188A" w14:paraId="78CCA093" w14:textId="77777777">
      <w:pPr>
        <w:spacing w:before="60" w:after="60" w:line="280" w:lineRule="atLeast"/>
        <w:rPr>
          <w:color w:val="515254"/>
        </w:rPr>
      </w:pPr>
      <w:r w:rsidRPr="0054188A">
        <w:rPr>
          <w:color w:val="515254"/>
        </w:rPr>
        <w:t xml:space="preserve">Based on the work I have performed, I have not identified any material uncertainties relating to events or conditions that, individually or collectively, may cast significant doubt on the </w:t>
      </w:r>
      <w:bookmarkStart w:name="_Hlk150853492" w:id="10"/>
      <w:r w:rsidRPr="0054188A">
        <w:rPr>
          <w:color w:val="515254"/>
        </w:rPr>
        <w:t xml:space="preserve">Vale, Valleys and Cardiff Adoption Collaborative Joint Committee’s </w:t>
      </w:r>
      <w:bookmarkEnd w:id="10"/>
      <w:r w:rsidRPr="0054188A">
        <w:rPr>
          <w:color w:val="515254"/>
        </w:rPr>
        <w:t>ability to continue to adopt the going concern basis of accounting for a period of at least twelve months from when the financial statements are authorised for issue.</w:t>
      </w:r>
    </w:p>
    <w:p w:rsidRPr="0054188A" w:rsidR="0054188A" w:rsidP="0054188A" w:rsidRDefault="0054188A" w14:paraId="5D3914B9" w14:textId="77777777">
      <w:pPr>
        <w:spacing w:before="60" w:after="60" w:line="280" w:lineRule="atLeast"/>
        <w:rPr>
          <w:color w:val="515254"/>
        </w:rPr>
      </w:pPr>
      <w:r w:rsidRPr="0054188A">
        <w:rPr>
          <w:color w:val="515254"/>
        </w:rPr>
        <w:lastRenderedPageBreak/>
        <w:t>My responsibilities and the responsibilities of the responsible financial officer with respect to going concern are described in the relevant sections of this report.</w:t>
      </w:r>
    </w:p>
    <w:p w:rsidRPr="0054188A" w:rsidR="0054188A" w:rsidP="0054188A" w:rsidRDefault="0054188A" w14:paraId="71DCD7A5"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Other Information</w:t>
      </w:r>
    </w:p>
    <w:p w:rsidRPr="0054188A" w:rsidR="0054188A" w:rsidP="0054188A" w:rsidRDefault="0054188A" w14:paraId="4049B7FF" w14:textId="77777777">
      <w:pPr>
        <w:spacing w:before="60" w:after="60" w:line="280" w:lineRule="atLeast"/>
        <w:rPr>
          <w:color w:val="515254"/>
        </w:rPr>
      </w:pPr>
      <w:r w:rsidRPr="0054188A">
        <w:rPr>
          <w:color w:val="515254"/>
        </w:rPr>
        <w:t>The other information comprises the information included in the annual report other than the financial statements and my auditor’s report thereon. The Responsible Financial Officer is responsible for the other information contained within the annual report. My opinion on the financial statements does not cover the other information and, except to the extent otherwise explicitly stated in my report, I do not express any form of assurance conclusion thereon.</w:t>
      </w:r>
    </w:p>
    <w:p w:rsidRPr="0054188A" w:rsidR="0054188A" w:rsidP="0054188A" w:rsidRDefault="0054188A" w14:paraId="67249092" w14:textId="77777777">
      <w:pPr>
        <w:spacing w:before="60" w:after="60" w:line="280" w:lineRule="atLeast"/>
        <w:rPr>
          <w:color w:val="515254"/>
        </w:rPr>
      </w:pPr>
      <w:r w:rsidRPr="0054188A">
        <w:rPr>
          <w:color w:val="515254"/>
        </w:rPr>
        <w:t>My responsibility is to read the other information and, in doing so, consider whether the other information is materially inconsistent with the financial statements or knowledge obtained in the course of the audit, or otherwise appears to be materially misstated. If I identify such material inconsistencies or apparent material misstatements, I am required to determine whether this gives rise to a material misstatement in the financial statements themselves. If, based on the work I have performed, I conclude that there is a material misstatement of this other information, I am required to report that fact.</w:t>
      </w:r>
    </w:p>
    <w:p w:rsidRPr="0054188A" w:rsidR="0054188A" w:rsidP="0054188A" w:rsidRDefault="0054188A" w14:paraId="00CB1034" w14:textId="77777777">
      <w:pPr>
        <w:spacing w:before="60" w:after="60" w:line="280" w:lineRule="atLeast"/>
        <w:rPr>
          <w:color w:val="515254"/>
        </w:rPr>
      </w:pPr>
      <w:r w:rsidRPr="0054188A">
        <w:rPr>
          <w:color w:val="515254"/>
        </w:rPr>
        <w:t>I have nothing to report in this regard.</w:t>
      </w:r>
    </w:p>
    <w:p w:rsidRPr="0054188A" w:rsidR="0054188A" w:rsidP="0054188A" w:rsidRDefault="0054188A" w14:paraId="0939423B"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Opinion on other matters</w:t>
      </w:r>
    </w:p>
    <w:p w:rsidRPr="0054188A" w:rsidR="0054188A" w:rsidP="0054188A" w:rsidRDefault="0054188A" w14:paraId="74AE92C5" w14:textId="77777777">
      <w:pPr>
        <w:spacing w:before="60" w:after="60" w:line="280" w:lineRule="atLeast"/>
        <w:rPr>
          <w:color w:val="515254"/>
        </w:rPr>
      </w:pPr>
      <w:r w:rsidRPr="0054188A">
        <w:rPr>
          <w:color w:val="515254"/>
        </w:rPr>
        <w:t>In my opinion, based on the work undertaken in the course of my audit:</w:t>
      </w:r>
    </w:p>
    <w:p w:rsidRPr="0054188A" w:rsidR="0054188A" w:rsidP="0054188A" w:rsidRDefault="0054188A" w14:paraId="684183E4"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 xml:space="preserve">the information contained in the Narrative Report for the financial year for which the financial statements are prepared is consistent with the financial statements and is in accordance with the Code of Practice on Local Authority Accounting in the United Kingdom </w:t>
      </w:r>
      <w:proofErr w:type="gramStart"/>
      <w:r w:rsidRPr="0054188A">
        <w:rPr>
          <w:rFonts w:eastAsia="Calibri" w:cs="Times New Roman"/>
          <w:color w:val="515254"/>
        </w:rPr>
        <w:t>2023;</w:t>
      </w:r>
      <w:proofErr w:type="gramEnd"/>
    </w:p>
    <w:p w:rsidRPr="0054188A" w:rsidR="0054188A" w:rsidP="003A7B6A" w:rsidRDefault="0054188A" w14:paraId="2DCFE926" w14:textId="7978E6C1">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The information given in the Annual Governance Statement for the financial year for which the financial statements are prepared is consistent with the financial statements and is in accordance with guidance.</w:t>
      </w:r>
    </w:p>
    <w:p w:rsidRPr="0054188A" w:rsidR="0054188A" w:rsidP="0054188A" w:rsidRDefault="0054188A" w14:paraId="1C3011ED"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 xml:space="preserve">Matters on which I report by </w:t>
      </w:r>
      <w:proofErr w:type="gramStart"/>
      <w:r w:rsidRPr="0054188A">
        <w:rPr>
          <w:rFonts w:eastAsia="Calibri" w:cs="Times New Roman"/>
          <w:b/>
          <w:color w:val="515254"/>
          <w:sz w:val="24"/>
          <w:szCs w:val="20"/>
        </w:rPr>
        <w:t>exception</w:t>
      </w:r>
      <w:proofErr w:type="gramEnd"/>
    </w:p>
    <w:p w:rsidRPr="0054188A" w:rsidR="0054188A" w:rsidP="0054188A" w:rsidRDefault="0054188A" w14:paraId="7B2C70A2" w14:textId="77777777">
      <w:pPr>
        <w:spacing w:before="60" w:after="60" w:line="280" w:lineRule="atLeast"/>
        <w:rPr>
          <w:color w:val="515254"/>
        </w:rPr>
      </w:pPr>
      <w:r w:rsidRPr="0054188A">
        <w:rPr>
          <w:color w:val="515254"/>
        </w:rPr>
        <w:t>In the light of the knowledge and understanding of the Vale, Valleys and Cardiff Adoption Collaborative Joint Committee and its environment obtained in the course of the audit, I have not identified material misstatements in the Narrative Report or the Annual Governance Statement.</w:t>
      </w:r>
    </w:p>
    <w:p w:rsidRPr="0054188A" w:rsidR="0054188A" w:rsidP="0054188A" w:rsidRDefault="0054188A" w14:paraId="72E9F840" w14:textId="77777777">
      <w:pPr>
        <w:spacing w:before="60" w:after="60" w:line="280" w:lineRule="atLeast"/>
        <w:rPr>
          <w:color w:val="515254"/>
        </w:rPr>
      </w:pPr>
      <w:r w:rsidRPr="0054188A">
        <w:rPr>
          <w:color w:val="515254"/>
        </w:rPr>
        <w:t>I have nothing to report in respect of the following matters, which I report to you, if, in my opinion:</w:t>
      </w:r>
    </w:p>
    <w:p w:rsidRPr="0054188A" w:rsidR="0054188A" w:rsidP="0054188A" w:rsidRDefault="0054188A" w14:paraId="14E5A3C4"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 xml:space="preserve">I have not received all the information and explanations I require for my </w:t>
      </w:r>
      <w:proofErr w:type="gramStart"/>
      <w:r w:rsidRPr="0054188A">
        <w:rPr>
          <w:rFonts w:eastAsia="Calibri" w:cs="Times New Roman"/>
          <w:color w:val="515254"/>
        </w:rPr>
        <w:t>audit;</w:t>
      </w:r>
      <w:proofErr w:type="gramEnd"/>
    </w:p>
    <w:p w:rsidRPr="0054188A" w:rsidR="0054188A" w:rsidP="0054188A" w:rsidRDefault="0054188A" w14:paraId="48C85B10"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adequate accounting records have not been kept, or returns adequate for my audit have not been received from branches not visited by my team; or</w:t>
      </w:r>
    </w:p>
    <w:p w:rsidRPr="0054188A" w:rsidR="003A7B6A" w:rsidP="003A7B6A" w:rsidRDefault="0054188A" w14:paraId="06D25222" w14:textId="01EA702F">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the financial statements are not in agreement with the accounting records and returns.</w:t>
      </w:r>
    </w:p>
    <w:p w:rsidRPr="0054188A" w:rsidR="0054188A" w:rsidP="0054188A" w:rsidRDefault="0054188A" w14:paraId="281DD320"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Responsibilities of the responsible financial officer for the financial statements</w:t>
      </w:r>
    </w:p>
    <w:p w:rsidRPr="0054188A" w:rsidR="0054188A" w:rsidP="0054188A" w:rsidRDefault="0054188A" w14:paraId="1B394B0B" w14:textId="77777777">
      <w:pPr>
        <w:spacing w:before="60" w:after="60" w:line="280" w:lineRule="atLeast"/>
        <w:rPr>
          <w:color w:val="515254"/>
        </w:rPr>
      </w:pPr>
      <w:r w:rsidRPr="0054188A">
        <w:rPr>
          <w:color w:val="515254"/>
        </w:rPr>
        <w:t>As explained more fully in the Statement of Responsibilities for the Statement of Accounts, the responsible financial officer is responsible for:</w:t>
      </w:r>
    </w:p>
    <w:p w:rsidRPr="0054188A" w:rsidR="0054188A" w:rsidP="0054188A" w:rsidRDefault="0054188A" w14:paraId="0000A55D"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lastRenderedPageBreak/>
        <w:t xml:space="preserve">the preparation of the statement of accounts which give a true and fair view and comply with proper </w:t>
      </w:r>
      <w:proofErr w:type="gramStart"/>
      <w:r w:rsidRPr="0054188A">
        <w:rPr>
          <w:rFonts w:eastAsia="Calibri" w:cs="Times New Roman"/>
          <w:color w:val="515254"/>
        </w:rPr>
        <w:t>practices;</w:t>
      </w:r>
      <w:proofErr w:type="gramEnd"/>
    </w:p>
    <w:p w:rsidRPr="0054188A" w:rsidR="0054188A" w:rsidP="0054188A" w:rsidRDefault="0054188A" w14:paraId="33D49563"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 xml:space="preserve">maintaining proper accounting </w:t>
      </w:r>
      <w:proofErr w:type="gramStart"/>
      <w:r w:rsidRPr="0054188A">
        <w:rPr>
          <w:rFonts w:eastAsia="Calibri" w:cs="Times New Roman"/>
          <w:color w:val="515254"/>
        </w:rPr>
        <w:t>records;</w:t>
      </w:r>
      <w:proofErr w:type="gramEnd"/>
    </w:p>
    <w:p w:rsidRPr="0054188A" w:rsidR="0054188A" w:rsidP="0054188A" w:rsidRDefault="0054188A" w14:paraId="7D73BE12"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internal controls as the responsible financial officer determines is necessary to enable the preparation of statements of accounts that are free from material misstatement, whether due to fraud or error; and</w:t>
      </w:r>
    </w:p>
    <w:p w:rsidRPr="0054188A" w:rsidR="0054188A" w:rsidP="0054188A" w:rsidRDefault="0054188A" w14:paraId="5C4FAEA0"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assessing the Vale, Valleys and Cardiff Adoption Collaborative Joint Committee’s ability to continue as a going concern, disclosing as applicable, matters related to going concern and using the going concern basis of accounting unless the responsible financial officer anticipates that the services provided by the Vale, Valleys and Cardiff Adoption Collaborative Joint Committee will not continue to be provided in the future.</w:t>
      </w:r>
    </w:p>
    <w:p w:rsidRPr="0054188A" w:rsidR="0054188A" w:rsidP="0054188A" w:rsidRDefault="0054188A" w14:paraId="77EB1427"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Auditor’s responsibilities for the audit of the financial statements</w:t>
      </w:r>
    </w:p>
    <w:p w:rsidRPr="0054188A" w:rsidR="0054188A" w:rsidP="0054188A" w:rsidRDefault="0054188A" w14:paraId="107108D1" w14:textId="77777777">
      <w:pPr>
        <w:spacing w:before="60" w:after="60" w:line="280" w:lineRule="atLeast"/>
        <w:rPr>
          <w:color w:val="515254"/>
        </w:rPr>
      </w:pPr>
      <w:r w:rsidRPr="0054188A">
        <w:rPr>
          <w:color w:val="515254"/>
        </w:rPr>
        <w:t>My responsibility is to audit the financial statements in accordance with the Public Audit (Wales) Act 2004.</w:t>
      </w:r>
    </w:p>
    <w:p w:rsidRPr="0054188A" w:rsidR="0054188A" w:rsidP="0054188A" w:rsidRDefault="0054188A" w14:paraId="5B6BFC16" w14:textId="77777777">
      <w:pPr>
        <w:spacing w:before="60" w:after="60" w:line="280" w:lineRule="atLeast"/>
        <w:rPr>
          <w:color w:val="515254"/>
        </w:rPr>
      </w:pPr>
      <w:r w:rsidRPr="0054188A">
        <w:rPr>
          <w:color w:val="515254"/>
        </w:rPr>
        <w:t>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on the basis of these financial statements.</w:t>
      </w:r>
    </w:p>
    <w:p w:rsidRPr="0054188A" w:rsidR="0054188A" w:rsidP="0054188A" w:rsidRDefault="0054188A" w14:paraId="58B2C0BE" w14:textId="77777777">
      <w:pPr>
        <w:spacing w:before="60" w:after="60" w:line="280" w:lineRule="atLeast"/>
        <w:rPr>
          <w:color w:val="515254"/>
        </w:rPr>
      </w:pPr>
      <w:r w:rsidRPr="0054188A">
        <w:rPr>
          <w:color w:val="515254"/>
        </w:rPr>
        <w:t>Irregularities, including fraud, are instances of non-compliance with laws and regulations. I design procedures in line with my responsibilities, outlined above, to detect material misstatements in respect of irregularities, including fraud.</w:t>
      </w:r>
    </w:p>
    <w:p w:rsidRPr="0054188A" w:rsidR="0054188A" w:rsidP="0054188A" w:rsidRDefault="0054188A" w14:paraId="5C991050" w14:textId="77777777">
      <w:pPr>
        <w:spacing w:before="60" w:after="60" w:line="280" w:lineRule="atLeast"/>
        <w:rPr>
          <w:color w:val="515254"/>
        </w:rPr>
      </w:pPr>
      <w:r w:rsidRPr="0054188A">
        <w:rPr>
          <w:color w:val="515254"/>
        </w:rPr>
        <w:t>My procedures included the following:</w:t>
      </w:r>
    </w:p>
    <w:p w:rsidRPr="0054188A" w:rsidR="0054188A" w:rsidP="0054188A" w:rsidRDefault="0054188A" w14:paraId="7713BE5A"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Enquiring of management, internal audit and those charged with governance, including obtaining and reviewing supporting documentation relating to Vale, Valleys and Cardiff Adoption Collaborative Joint Committee policies and procedures concerned with:</w:t>
      </w:r>
    </w:p>
    <w:p w:rsidRPr="0054188A" w:rsidR="0054188A" w:rsidP="0054188A" w:rsidRDefault="0054188A" w14:paraId="4B7A751C" w14:textId="77777777">
      <w:pPr>
        <w:numPr>
          <w:ilvl w:val="0"/>
          <w:numId w:val="39"/>
        </w:numPr>
        <w:tabs>
          <w:tab w:val="left" w:pos="1701"/>
        </w:tabs>
        <w:spacing w:before="60" w:after="160" w:line="256" w:lineRule="auto"/>
        <w:rPr>
          <w:rFonts w:eastAsia="Calibri" w:cs="Times New Roman"/>
          <w:color w:val="515254"/>
        </w:rPr>
      </w:pPr>
      <w:r w:rsidRPr="0054188A">
        <w:rPr>
          <w:rFonts w:eastAsia="Calibri" w:cs="Times New Roman"/>
          <w:color w:val="515254"/>
        </w:rPr>
        <w:t xml:space="preserve">identifying, evaluating and complying with laws and regulations and whether they were aware of any instances of </w:t>
      </w:r>
      <w:proofErr w:type="gramStart"/>
      <w:r w:rsidRPr="0054188A">
        <w:rPr>
          <w:rFonts w:eastAsia="Calibri" w:cs="Times New Roman"/>
          <w:color w:val="515254"/>
        </w:rPr>
        <w:t>non-compliance;</w:t>
      </w:r>
      <w:proofErr w:type="gramEnd"/>
    </w:p>
    <w:p w:rsidRPr="0054188A" w:rsidR="0054188A" w:rsidP="0054188A" w:rsidRDefault="0054188A" w14:paraId="33EB9B19" w14:textId="77777777">
      <w:pPr>
        <w:numPr>
          <w:ilvl w:val="0"/>
          <w:numId w:val="39"/>
        </w:numPr>
        <w:tabs>
          <w:tab w:val="left" w:pos="1701"/>
        </w:tabs>
        <w:spacing w:before="60" w:after="160" w:line="256" w:lineRule="auto"/>
        <w:rPr>
          <w:rFonts w:eastAsia="Calibri" w:cs="Times New Roman"/>
          <w:color w:val="515254"/>
        </w:rPr>
      </w:pPr>
      <w:r w:rsidRPr="0054188A">
        <w:rPr>
          <w:rFonts w:eastAsia="Calibri" w:cs="Times New Roman"/>
          <w:color w:val="515254"/>
        </w:rPr>
        <w:t>detecting and responding to the risks of fraud and whether they have knowledge of any actual, suspected or alleged fraud; and</w:t>
      </w:r>
    </w:p>
    <w:p w:rsidRPr="0054188A" w:rsidR="0054188A" w:rsidP="0054188A" w:rsidRDefault="0054188A" w14:paraId="70A9E572" w14:textId="77777777">
      <w:pPr>
        <w:numPr>
          <w:ilvl w:val="0"/>
          <w:numId w:val="39"/>
        </w:numPr>
        <w:tabs>
          <w:tab w:val="left" w:pos="1701"/>
        </w:tabs>
        <w:spacing w:before="60" w:after="160" w:line="256" w:lineRule="auto"/>
        <w:rPr>
          <w:rFonts w:eastAsia="Calibri" w:cs="Times New Roman"/>
          <w:color w:val="515254"/>
        </w:rPr>
      </w:pPr>
      <w:r w:rsidRPr="0054188A">
        <w:rPr>
          <w:rFonts w:eastAsia="Calibri" w:cs="Times New Roman"/>
          <w:color w:val="515254"/>
        </w:rPr>
        <w:t>the internal controls established to mitigate risks related to fraud or non-compliance with laws and regulations.</w:t>
      </w:r>
    </w:p>
    <w:p w:rsidRPr="0054188A" w:rsidR="0054188A" w:rsidP="0054188A" w:rsidRDefault="0054188A" w14:paraId="40D43EAD"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 xml:space="preserve">Considering as an audit team how and where fraud might occur in the financial statements and any potential indicators of fraud. As part of this discussion, I identified potential for fraud in the following areas: the posting of unusual </w:t>
      </w:r>
      <w:proofErr w:type="gramStart"/>
      <w:r w:rsidRPr="0054188A">
        <w:rPr>
          <w:rFonts w:eastAsia="Calibri" w:cs="Times New Roman"/>
          <w:color w:val="515254"/>
        </w:rPr>
        <w:t>journals;</w:t>
      </w:r>
      <w:proofErr w:type="gramEnd"/>
    </w:p>
    <w:p w:rsidRPr="0054188A" w:rsidR="0054188A" w:rsidP="0054188A" w:rsidRDefault="0054188A" w14:paraId="29753ADB"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 xml:space="preserve">Obtaining an understanding of the Vale, Valleys and Cardiff Adoption Collaborative Joint Committee framework of authority as well as other legal and </w:t>
      </w:r>
      <w:r w:rsidRPr="0054188A">
        <w:rPr>
          <w:rFonts w:eastAsia="Calibri" w:cs="Times New Roman"/>
          <w:color w:val="515254"/>
        </w:rPr>
        <w:lastRenderedPageBreak/>
        <w:t>regulatory frameworks that the Joint Committee operates in, focusing on those laws and regulations that had a direct effect on the financial statements or that had a fundamental effect on the operations of the Vale, Valleys and Cardiff Adoption Collaborative Joint Committee.</w:t>
      </w:r>
    </w:p>
    <w:p w:rsidRPr="0054188A" w:rsidR="0054188A" w:rsidP="0054188A" w:rsidRDefault="0054188A" w14:paraId="115FAC64"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Obtaining an understanding of related party relationships.</w:t>
      </w:r>
    </w:p>
    <w:p w:rsidRPr="0054188A" w:rsidR="0054188A" w:rsidP="0054188A" w:rsidRDefault="0054188A" w14:paraId="1E654116" w14:textId="77777777">
      <w:pPr>
        <w:spacing w:before="60" w:after="60" w:line="280" w:lineRule="atLeast"/>
        <w:rPr>
          <w:color w:val="515254"/>
        </w:rPr>
      </w:pPr>
      <w:r w:rsidRPr="0054188A">
        <w:rPr>
          <w:color w:val="515254"/>
        </w:rPr>
        <w:t>In addition to the above, my procedures to respond to identified risks included the following:</w:t>
      </w:r>
    </w:p>
    <w:p w:rsidRPr="0054188A" w:rsidR="0054188A" w:rsidP="0054188A" w:rsidRDefault="0054188A" w14:paraId="2D7EAAC8"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 xml:space="preserve">reviewing the financial statement disclosures and testing to supporting documentation to assess compliance with relevant laws and regulations discussed </w:t>
      </w:r>
      <w:proofErr w:type="gramStart"/>
      <w:r w:rsidRPr="0054188A">
        <w:rPr>
          <w:rFonts w:eastAsia="Calibri" w:cs="Times New Roman"/>
          <w:color w:val="515254"/>
        </w:rPr>
        <w:t>above;</w:t>
      </w:r>
      <w:proofErr w:type="gramEnd"/>
    </w:p>
    <w:p w:rsidRPr="0054188A" w:rsidR="0054188A" w:rsidP="0054188A" w:rsidRDefault="0054188A" w14:paraId="6F6A8090"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 xml:space="preserve">enquiring of management and legal advisors about actual and potential litigation and </w:t>
      </w:r>
      <w:proofErr w:type="gramStart"/>
      <w:r w:rsidRPr="0054188A">
        <w:rPr>
          <w:rFonts w:eastAsia="Calibri" w:cs="Times New Roman"/>
          <w:color w:val="515254"/>
        </w:rPr>
        <w:t>claims;</w:t>
      </w:r>
      <w:proofErr w:type="gramEnd"/>
    </w:p>
    <w:p w:rsidRPr="0054188A" w:rsidR="0054188A" w:rsidP="0054188A" w:rsidRDefault="0054188A" w14:paraId="63D30035"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 xml:space="preserve">reading minutes of meetings of those charged with </w:t>
      </w:r>
      <w:proofErr w:type="gramStart"/>
      <w:r w:rsidRPr="0054188A">
        <w:rPr>
          <w:rFonts w:eastAsia="Calibri" w:cs="Times New Roman"/>
          <w:color w:val="515254"/>
        </w:rPr>
        <w:t>governance;</w:t>
      </w:r>
      <w:proofErr w:type="gramEnd"/>
    </w:p>
    <w:p w:rsidRPr="0054188A" w:rsidR="0054188A" w:rsidP="0054188A" w:rsidRDefault="0054188A" w14:paraId="30BBE0AC" w14:textId="77777777">
      <w:pPr>
        <w:numPr>
          <w:ilvl w:val="0"/>
          <w:numId w:val="40"/>
        </w:numPr>
        <w:tabs>
          <w:tab w:val="left" w:pos="1134"/>
        </w:tabs>
        <w:spacing w:before="60" w:after="160" w:line="256" w:lineRule="auto"/>
        <w:ind w:left="1134" w:hanging="567"/>
        <w:rPr>
          <w:rFonts w:eastAsia="Calibri" w:cs="Times New Roman"/>
          <w:color w:val="515254"/>
        </w:rPr>
      </w:pPr>
      <w:r w:rsidRPr="0054188A">
        <w:rPr>
          <w:rFonts w:eastAsia="Calibri" w:cs="Times New Roman"/>
          <w:color w:val="515254"/>
        </w:rPr>
        <w:t>in addressing the risk of fraud through management override of controls, testing the appropriateness of journal entries and other adjustments; assessing whether the judgements made in making accounting estimates are indicative of a potential bias; and evaluating the business rationale of any significant transactions that are unusual or outside the normal course of business.</w:t>
      </w:r>
    </w:p>
    <w:p w:rsidRPr="0054188A" w:rsidR="0054188A" w:rsidP="0054188A" w:rsidRDefault="0054188A" w14:paraId="32A70425" w14:textId="77777777">
      <w:pPr>
        <w:spacing w:before="60" w:after="60" w:line="280" w:lineRule="atLeast"/>
        <w:rPr>
          <w:color w:val="515254"/>
        </w:rPr>
      </w:pPr>
      <w:r w:rsidRPr="0054188A">
        <w:rPr>
          <w:color w:val="515254"/>
        </w:rPr>
        <w:t>I also communicated relevant identified laws and regulations and potential fraud risks to all audit team members and remained alert to any indications of fraud or non-compliance with laws and regulations throughout the audit.</w:t>
      </w:r>
    </w:p>
    <w:p w:rsidRPr="0054188A" w:rsidR="0054188A" w:rsidP="0054188A" w:rsidRDefault="0054188A" w14:paraId="4C56DB3A" w14:textId="77777777">
      <w:pPr>
        <w:spacing w:before="60" w:after="60" w:line="280" w:lineRule="atLeast"/>
        <w:rPr>
          <w:color w:val="515254"/>
        </w:rPr>
      </w:pPr>
      <w:r w:rsidRPr="0054188A">
        <w:rPr>
          <w:color w:val="515254"/>
        </w:rPr>
        <w:t>The extent to which my procedures are capable of detecting irregularities, including fraud, is affected by the inherent difficulty in detecting irregularities, the effectiveness of the Vale, Valleys and Cardiff Adoption Collaborative Joint Committee’s controls, and the nature, timing and extent of the audit procedures performed.</w:t>
      </w:r>
    </w:p>
    <w:p w:rsidRPr="0054188A" w:rsidR="0054188A" w:rsidP="0054188A" w:rsidRDefault="0054188A" w14:paraId="3B252D77" w14:textId="77777777">
      <w:pPr>
        <w:spacing w:before="60" w:after="60" w:line="280" w:lineRule="atLeast"/>
        <w:rPr>
          <w:color w:val="515254"/>
        </w:rPr>
      </w:pPr>
      <w:r w:rsidRPr="0054188A">
        <w:rPr>
          <w:color w:val="515254"/>
        </w:rPr>
        <w:t xml:space="preserve">A further description of the auditor’s responsibilities for the audit of the financial statements is located on the Financial Reporting Council's website </w:t>
      </w:r>
      <w:hyperlink w:history="1" r:id="rId25">
        <w:r w:rsidRPr="0054188A">
          <w:rPr>
            <w:color w:val="515254"/>
            <w:u w:val="single" w:color="F4633A"/>
          </w:rPr>
          <w:t>www.frc.org.uk/auditorsresponsibilities</w:t>
        </w:r>
      </w:hyperlink>
      <w:r w:rsidRPr="0054188A">
        <w:rPr>
          <w:color w:val="515254"/>
        </w:rPr>
        <w:t>. This description forms part of my auditor’s report.</w:t>
      </w:r>
    </w:p>
    <w:p w:rsidRPr="0054188A" w:rsidR="0054188A" w:rsidP="0054188A" w:rsidRDefault="0054188A" w14:paraId="1C4E0F91"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Other auditor’s responsibilities</w:t>
      </w:r>
    </w:p>
    <w:p w:rsidRPr="0054188A" w:rsidR="0054188A" w:rsidP="0054188A" w:rsidRDefault="0054188A" w14:paraId="79B7DF46" w14:textId="77777777">
      <w:pPr>
        <w:spacing w:before="60" w:after="60" w:line="280" w:lineRule="atLeast"/>
        <w:rPr>
          <w:color w:val="515254"/>
        </w:rPr>
      </w:pPr>
      <w:r w:rsidRPr="0054188A">
        <w:rPr>
          <w:color w:val="515254"/>
        </w:rPr>
        <w:t>I communicate with those charged with governance regarding, among other matters, the planned scope and timing of the audit and significant audit findings, including any significant deficiencies in internal control that I identify during my audit.</w:t>
      </w:r>
    </w:p>
    <w:p w:rsidRPr="0054188A" w:rsidR="0054188A" w:rsidP="0054188A" w:rsidRDefault="0054188A" w14:paraId="1DFD8A13" w14:textId="77777777">
      <w:pPr>
        <w:spacing w:before="360" w:after="120" w:line="300" w:lineRule="atLeast"/>
        <w:outlineLvl w:val="4"/>
        <w:rPr>
          <w:rFonts w:eastAsia="Calibri" w:cs="Times New Roman"/>
          <w:b/>
          <w:color w:val="515254"/>
          <w:sz w:val="24"/>
          <w:szCs w:val="20"/>
        </w:rPr>
      </w:pPr>
      <w:r w:rsidRPr="0054188A">
        <w:rPr>
          <w:rFonts w:eastAsia="Calibri" w:cs="Times New Roman"/>
          <w:b/>
          <w:color w:val="515254"/>
          <w:sz w:val="24"/>
          <w:szCs w:val="20"/>
        </w:rPr>
        <w:t>Certificate of completion of audit</w:t>
      </w:r>
    </w:p>
    <w:p w:rsidRPr="0054188A" w:rsidR="0054188A" w:rsidP="0054188A" w:rsidRDefault="0054188A" w14:paraId="22A6C84E" w14:textId="77777777">
      <w:pPr>
        <w:spacing w:before="60" w:after="60" w:line="280" w:lineRule="atLeast"/>
        <w:rPr>
          <w:color w:val="515254"/>
        </w:rPr>
      </w:pPr>
      <w:r w:rsidRPr="0054188A">
        <w:rPr>
          <w:color w:val="515254"/>
        </w:rPr>
        <w:t xml:space="preserve">I certify that I have completed the audit of the accounts of name of the Vale, Valleys and Cardiff Adoption Collaborative Joint Committee in accordance with the requirements of the Public Audit (Wales) Act 2004 and the Auditor General for </w:t>
      </w:r>
      <w:proofErr w:type="spellStart"/>
      <w:r w:rsidRPr="0054188A">
        <w:rPr>
          <w:color w:val="515254"/>
        </w:rPr>
        <w:t>Wales’</w:t>
      </w:r>
      <w:proofErr w:type="spellEnd"/>
      <w:r w:rsidRPr="0054188A">
        <w:rPr>
          <w:color w:val="515254"/>
        </w:rPr>
        <w:t xml:space="preserve"> Code of Audit Practice.</w:t>
      </w:r>
    </w:p>
    <w:p w:rsidR="00B10333" w:rsidP="00B10333" w:rsidRDefault="00B10333" w14:paraId="3D65C4C2" w14:textId="77777777">
      <w:pPr>
        <w:pStyle w:val="NormalWeb"/>
      </w:pPr>
      <w:r>
        <w:rPr>
          <w:noProof/>
        </w:rPr>
        <w:drawing>
          <wp:inline distT="0" distB="0" distL="0" distR="0" wp14:anchorId="043A0C77" wp14:editId="4089BDDF">
            <wp:extent cx="866775" cy="382789"/>
            <wp:effectExtent l="0" t="0" r="0" b="0"/>
            <wp:docPr id="126434865" name="Picture 126434865"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4865" name="Picture 126434865" descr="A signature on a white background&#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1184" cy="393569"/>
                    </a:xfrm>
                    <a:prstGeom prst="rect">
                      <a:avLst/>
                    </a:prstGeom>
                    <a:noFill/>
                    <a:ln>
                      <a:noFill/>
                    </a:ln>
                  </pic:spPr>
                </pic:pic>
              </a:graphicData>
            </a:graphic>
          </wp:inline>
        </w:drawing>
      </w:r>
    </w:p>
    <w:p w:rsidRPr="0054188A" w:rsidR="0054188A" w:rsidP="0054188A" w:rsidRDefault="0054188A" w14:paraId="0497A870" w14:textId="77777777">
      <w:pPr>
        <w:spacing w:before="60" w:after="60" w:line="280" w:lineRule="atLeast"/>
        <w:rPr>
          <w:color w:val="515254"/>
        </w:rPr>
      </w:pPr>
      <w:r w:rsidRPr="0054188A">
        <w:rPr>
          <w:color w:val="515254"/>
        </w:rPr>
        <w:t xml:space="preserve">Adrian Crompton </w:t>
      </w:r>
      <w:r w:rsidRPr="0054188A">
        <w:rPr>
          <w:color w:val="515254"/>
        </w:rPr>
        <w:tab/>
      </w:r>
      <w:r w:rsidRPr="0054188A">
        <w:rPr>
          <w:color w:val="515254"/>
        </w:rPr>
        <w:tab/>
      </w:r>
      <w:r w:rsidRPr="0054188A">
        <w:rPr>
          <w:color w:val="515254"/>
        </w:rPr>
        <w:tab/>
      </w:r>
      <w:r w:rsidRPr="0054188A">
        <w:rPr>
          <w:color w:val="515254"/>
        </w:rPr>
        <w:tab/>
      </w:r>
      <w:r w:rsidRPr="0054188A">
        <w:rPr>
          <w:color w:val="515254"/>
        </w:rPr>
        <w:tab/>
      </w:r>
      <w:r w:rsidRPr="0054188A">
        <w:rPr>
          <w:color w:val="515254"/>
        </w:rPr>
        <w:tab/>
        <w:t>1 Capital Quarter</w:t>
      </w:r>
    </w:p>
    <w:p w:rsidRPr="0054188A" w:rsidR="0054188A" w:rsidP="0054188A" w:rsidRDefault="0054188A" w14:paraId="49257879" w14:textId="77777777">
      <w:pPr>
        <w:spacing w:before="60" w:after="60" w:line="280" w:lineRule="atLeast"/>
        <w:rPr>
          <w:color w:val="515254"/>
        </w:rPr>
      </w:pPr>
      <w:r w:rsidRPr="0054188A">
        <w:rPr>
          <w:color w:val="515254"/>
        </w:rPr>
        <w:t xml:space="preserve">Auditor General for Wales </w:t>
      </w:r>
      <w:r w:rsidRPr="0054188A">
        <w:rPr>
          <w:color w:val="515254"/>
        </w:rPr>
        <w:tab/>
      </w:r>
      <w:r w:rsidRPr="0054188A">
        <w:rPr>
          <w:color w:val="515254"/>
        </w:rPr>
        <w:tab/>
      </w:r>
      <w:r w:rsidRPr="0054188A">
        <w:rPr>
          <w:color w:val="515254"/>
        </w:rPr>
        <w:tab/>
      </w:r>
      <w:r w:rsidRPr="0054188A">
        <w:rPr>
          <w:color w:val="515254"/>
        </w:rPr>
        <w:tab/>
      </w:r>
      <w:r w:rsidRPr="0054188A">
        <w:rPr>
          <w:color w:val="515254"/>
        </w:rPr>
        <w:tab/>
        <w:t>Tyndall Street</w:t>
      </w:r>
    </w:p>
    <w:p w:rsidRPr="00614894" w:rsidR="0054188A" w:rsidP="00B10333" w:rsidRDefault="0054188A" w14:paraId="0291360A" w14:textId="364192B5">
      <w:pPr>
        <w:spacing w:before="60" w:after="60" w:line="280" w:lineRule="atLeast"/>
        <w:rPr>
          <w:highlight w:val="yellow"/>
        </w:rPr>
      </w:pPr>
      <w:r w:rsidRPr="0054188A">
        <w:rPr>
          <w:color w:val="515254"/>
        </w:rPr>
        <w:t>9 February 2024</w:t>
      </w:r>
      <w:r w:rsidRPr="0054188A">
        <w:rPr>
          <w:color w:val="515254"/>
        </w:rPr>
        <w:tab/>
      </w:r>
      <w:r w:rsidRPr="0054188A">
        <w:rPr>
          <w:color w:val="515254"/>
        </w:rPr>
        <w:tab/>
      </w:r>
      <w:r w:rsidRPr="0054188A">
        <w:rPr>
          <w:color w:val="515254"/>
        </w:rPr>
        <w:tab/>
        <w:t xml:space="preserve"> </w:t>
      </w:r>
      <w:r w:rsidRPr="0054188A">
        <w:rPr>
          <w:color w:val="515254"/>
        </w:rPr>
        <w:tab/>
      </w:r>
      <w:r w:rsidRPr="0054188A">
        <w:rPr>
          <w:color w:val="515254"/>
        </w:rPr>
        <w:tab/>
      </w:r>
      <w:r w:rsidRPr="0054188A">
        <w:rPr>
          <w:color w:val="515254"/>
        </w:rPr>
        <w:tab/>
        <w:t>Cardiff, CF10 4BZ</w:t>
      </w:r>
    </w:p>
    <w:p w:rsidRPr="001E6330" w:rsidR="004655FB" w:rsidP="000746B4" w:rsidRDefault="003C4DCD" w14:paraId="7AE3C292" w14:textId="77777777">
      <w:pPr>
        <w:pStyle w:val="Heading1"/>
      </w:pPr>
      <w:bookmarkStart w:name="_Toc115103954" w:id="11"/>
      <w:bookmarkStart w:name="_Toc158193763" w:id="12"/>
      <w:r>
        <w:lastRenderedPageBreak/>
        <w:t>VVC</w:t>
      </w:r>
      <w:r w:rsidRPr="001E6330" w:rsidR="001E6330">
        <w:t xml:space="preserve"> Adoption</w:t>
      </w:r>
      <w:r w:rsidRPr="001E6330" w:rsidR="00CE0831">
        <w:t xml:space="preserve"> </w:t>
      </w:r>
      <w:r w:rsidR="001E2079">
        <w:t>Collaborative</w:t>
      </w:r>
      <w:r w:rsidRPr="001E6330" w:rsidR="00CE0831">
        <w:t xml:space="preserve"> Expend</w:t>
      </w:r>
      <w:r w:rsidRPr="001E6330" w:rsidR="00CD4B6F">
        <w:t>iture and Funding Analysis 202</w:t>
      </w:r>
      <w:r w:rsidRPr="001E6330" w:rsidR="007E2299">
        <w:t>2</w:t>
      </w:r>
      <w:r w:rsidRPr="001E6330" w:rsidR="00705B51">
        <w:t>/</w:t>
      </w:r>
      <w:bookmarkEnd w:id="9"/>
      <w:r w:rsidRPr="001E6330" w:rsidR="00A02F1A">
        <w:t>2</w:t>
      </w:r>
      <w:bookmarkEnd w:id="11"/>
      <w:r w:rsidRPr="001E6330" w:rsidR="007E2299">
        <w:t>3</w:t>
      </w:r>
      <w:bookmarkEnd w:id="12"/>
      <w:r w:rsidRPr="001E6330" w:rsidR="00F75A6B">
        <w:t xml:space="preserve"> </w:t>
      </w:r>
    </w:p>
    <w:p w:rsidRPr="00614894" w:rsidR="008665FC" w:rsidP="00A90C19" w:rsidRDefault="00A90C19" w14:paraId="0EAC497D" w14:textId="6BABFABA">
      <w:pPr>
        <w:jc w:val="both"/>
        <w:rPr>
          <w:highlight w:val="yellow"/>
          <w:lang w:val="en-US"/>
        </w:rPr>
      </w:pPr>
      <w:r w:rsidRPr="00772CBF">
        <w:rPr>
          <w:lang w:val="en-US"/>
        </w:rPr>
        <w:t xml:space="preserve">The objective of the Expenditure and Funding Analysis is to demonstrate to the Partners how funding available to </w:t>
      </w:r>
      <w:r w:rsidRPr="00386566" w:rsidR="003C4DCD">
        <w:rPr>
          <w:bCs/>
        </w:rPr>
        <w:t xml:space="preserve">VVC </w:t>
      </w:r>
      <w:r w:rsidRPr="0069312C">
        <w:rPr>
          <w:lang w:val="en-US"/>
        </w:rPr>
        <w:t>in the year has been used in providing services in comparison with those resources consumed or earned by the service in accordance with generally accepted accounting practices</w:t>
      </w:r>
      <w:r w:rsidRPr="0069312C" w:rsidR="008665FC">
        <w:rPr>
          <w:lang w:val="en-US"/>
        </w:rPr>
        <w:t xml:space="preserve">. </w:t>
      </w:r>
      <w:r w:rsidRPr="0069312C" w:rsidR="00464F54">
        <w:rPr>
          <w:lang w:val="en-US"/>
        </w:rPr>
        <w:t>The detailed br</w:t>
      </w:r>
      <w:r w:rsidRPr="0069312C" w:rsidR="00AE50B6">
        <w:rPr>
          <w:lang w:val="en-US"/>
        </w:rPr>
        <w:t xml:space="preserve">eakdown of the </w:t>
      </w:r>
      <w:r w:rsidRPr="0069312C" w:rsidR="00464F54">
        <w:rPr>
          <w:lang w:val="en-US"/>
        </w:rPr>
        <w:t xml:space="preserve">adjustments between accounting and funding are illustrated </w:t>
      </w:r>
      <w:r w:rsidRPr="0069312C" w:rsidR="00F84325">
        <w:rPr>
          <w:lang w:val="en-US"/>
        </w:rPr>
        <w:t>for both 202</w:t>
      </w:r>
      <w:r w:rsidRPr="0069312C" w:rsidR="00F30433">
        <w:rPr>
          <w:lang w:val="en-US"/>
        </w:rPr>
        <w:t>1</w:t>
      </w:r>
      <w:r w:rsidRPr="0069312C" w:rsidR="00F84325">
        <w:rPr>
          <w:lang w:val="en-US"/>
        </w:rPr>
        <w:t>/2</w:t>
      </w:r>
      <w:r w:rsidRPr="0069312C" w:rsidR="00F30433">
        <w:rPr>
          <w:lang w:val="en-US"/>
        </w:rPr>
        <w:t>2</w:t>
      </w:r>
      <w:r w:rsidRPr="0069312C" w:rsidR="00F84325">
        <w:rPr>
          <w:lang w:val="en-US"/>
        </w:rPr>
        <w:t xml:space="preserve"> and 202</w:t>
      </w:r>
      <w:r w:rsidRPr="0069312C" w:rsidR="00F30433">
        <w:rPr>
          <w:lang w:val="en-US"/>
        </w:rPr>
        <w:t>2</w:t>
      </w:r>
      <w:r w:rsidRPr="0069312C" w:rsidR="00F84325">
        <w:rPr>
          <w:lang w:val="en-US"/>
        </w:rPr>
        <w:t>/2</w:t>
      </w:r>
      <w:r w:rsidRPr="0069312C" w:rsidR="00F30433">
        <w:rPr>
          <w:lang w:val="en-US"/>
        </w:rPr>
        <w:t>3</w:t>
      </w:r>
      <w:r w:rsidRPr="0069312C" w:rsidR="00AE50B6">
        <w:rPr>
          <w:lang w:val="en-US"/>
        </w:rPr>
        <w:t xml:space="preserve"> in</w:t>
      </w:r>
      <w:r w:rsidRPr="0069312C" w:rsidR="00464F54">
        <w:rPr>
          <w:lang w:val="en-US"/>
        </w:rPr>
        <w:t xml:space="preserve"> </w:t>
      </w:r>
      <w:r w:rsidRPr="0069312C" w:rsidR="001B49FC">
        <w:rPr>
          <w:lang w:val="en-US"/>
        </w:rPr>
        <w:t>Note</w:t>
      </w:r>
      <w:r w:rsidRPr="0069312C" w:rsidR="004746F7">
        <w:rPr>
          <w:lang w:val="en-US"/>
        </w:rPr>
        <w:t>s</w:t>
      </w:r>
      <w:r w:rsidRPr="0069312C" w:rsidR="001B49FC">
        <w:rPr>
          <w:lang w:val="en-US"/>
        </w:rPr>
        <w:t xml:space="preserve"> </w:t>
      </w:r>
      <w:r w:rsidRPr="0069312C" w:rsidR="00245E57">
        <w:rPr>
          <w:lang w:val="en-US"/>
        </w:rPr>
        <w:t>7</w:t>
      </w:r>
      <w:r w:rsidRPr="0069312C" w:rsidR="00464F54">
        <w:rPr>
          <w:lang w:val="en-US"/>
        </w:rPr>
        <w:t>.</w:t>
      </w:r>
      <w:r w:rsidRPr="0069312C" w:rsidR="008665FC">
        <w:rPr>
          <w:lang w:val="en-US"/>
        </w:rPr>
        <w:t xml:space="preserve">  </w:t>
      </w:r>
      <w:r w:rsidRPr="0069312C" w:rsidR="00AE50B6">
        <w:rPr>
          <w:lang w:val="en-US"/>
        </w:rPr>
        <w:t>Further information is</w:t>
      </w:r>
      <w:r w:rsidRPr="0069312C" w:rsidR="00E5718B">
        <w:rPr>
          <w:lang w:val="en-US"/>
        </w:rPr>
        <w:t xml:space="preserve"> shown about t</w:t>
      </w:r>
      <w:r w:rsidRPr="0069312C" w:rsidR="00210DD1">
        <w:rPr>
          <w:lang w:val="en-US"/>
        </w:rPr>
        <w:t xml:space="preserve">his note on page </w:t>
      </w:r>
      <w:r w:rsidRPr="0069312C" w:rsidR="0069312C">
        <w:rPr>
          <w:lang w:val="en-US"/>
        </w:rPr>
        <w:t>1</w:t>
      </w:r>
      <w:r w:rsidR="008D4016">
        <w:rPr>
          <w:lang w:val="en-US"/>
        </w:rPr>
        <w:t>6</w:t>
      </w:r>
      <w:r w:rsidRPr="0069312C" w:rsidR="00AE50B6">
        <w:rPr>
          <w:lang w:val="en-US"/>
        </w:rPr>
        <w:t>.</w:t>
      </w:r>
    </w:p>
    <w:tbl>
      <w:tblPr>
        <w:tblW w:w="9116" w:type="dxa"/>
        <w:tblInd w:w="93"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4013"/>
        <w:gridCol w:w="1701"/>
        <w:gridCol w:w="1272"/>
        <w:gridCol w:w="240"/>
        <w:gridCol w:w="47"/>
        <w:gridCol w:w="1843"/>
      </w:tblGrid>
      <w:tr w:rsidRPr="00614894" w:rsidR="006F56EF" w:rsidTr="001C3662" w14:paraId="38666346" w14:textId="77777777">
        <w:trPr>
          <w:cantSplit/>
          <w:trHeight w:val="1551"/>
        </w:trPr>
        <w:tc>
          <w:tcPr>
            <w:tcW w:w="4013" w:type="dxa"/>
            <w:tcBorders>
              <w:bottom w:val="nil"/>
            </w:tcBorders>
            <w:shd w:val="clear" w:color="auto" w:fill="DBE5F1" w:themeFill="accent1" w:themeFillTint="33"/>
            <w:vAlign w:val="bottom"/>
            <w:hideMark/>
          </w:tcPr>
          <w:p w:rsidRPr="00772CBF" w:rsidR="006F56EF" w:rsidP="006F56EF" w:rsidRDefault="006F56EF" w14:paraId="028BEA00" w14:textId="2AA1CF93">
            <w:pPr>
              <w:spacing w:after="0" w:line="240" w:lineRule="auto"/>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Expenditure and Funding Analysis </w:t>
            </w:r>
            <w:r w:rsidRPr="00772CBF" w:rsidR="00CD4B6F">
              <w:rPr>
                <w:rFonts w:eastAsia="Times New Roman" w:cs="Arial"/>
                <w:b/>
                <w:bCs/>
                <w:color w:val="000000"/>
                <w:sz w:val="20"/>
                <w:szCs w:val="20"/>
                <w:lang w:eastAsia="en-GB"/>
              </w:rPr>
              <w:t>202</w:t>
            </w:r>
            <w:r w:rsidRPr="00772CBF" w:rsidR="00F30433">
              <w:rPr>
                <w:rFonts w:eastAsia="Times New Roman" w:cs="Arial"/>
                <w:b/>
                <w:bCs/>
                <w:color w:val="000000"/>
                <w:sz w:val="20"/>
                <w:szCs w:val="20"/>
                <w:lang w:eastAsia="en-GB"/>
              </w:rPr>
              <w:t>2</w:t>
            </w:r>
            <w:r w:rsidRPr="00772CBF" w:rsidR="00CD4B6F">
              <w:rPr>
                <w:rFonts w:eastAsia="Times New Roman" w:cs="Arial"/>
                <w:b/>
                <w:bCs/>
                <w:color w:val="000000"/>
                <w:sz w:val="20"/>
                <w:szCs w:val="20"/>
                <w:lang w:eastAsia="en-GB"/>
              </w:rPr>
              <w:t>/2</w:t>
            </w:r>
            <w:r w:rsidRPr="00772CBF" w:rsidR="00F30433">
              <w:rPr>
                <w:rFonts w:eastAsia="Times New Roman" w:cs="Arial"/>
                <w:b/>
                <w:bCs/>
                <w:color w:val="000000"/>
                <w:sz w:val="20"/>
                <w:szCs w:val="20"/>
                <w:lang w:eastAsia="en-GB"/>
              </w:rPr>
              <w:t>3</w:t>
            </w:r>
          </w:p>
          <w:p w:rsidRPr="00772CBF" w:rsidR="006F56EF" w:rsidP="006F56EF" w:rsidRDefault="006F56EF" w14:paraId="4C9CAE35" w14:textId="77777777">
            <w:pPr>
              <w:spacing w:after="0" w:line="240" w:lineRule="auto"/>
              <w:rPr>
                <w:rFonts w:eastAsia="Times New Roman" w:cs="Arial"/>
                <w:b/>
                <w:bCs/>
                <w:color w:val="000000"/>
                <w:sz w:val="20"/>
                <w:szCs w:val="20"/>
                <w:lang w:eastAsia="en-GB"/>
              </w:rPr>
            </w:pPr>
          </w:p>
        </w:tc>
        <w:tc>
          <w:tcPr>
            <w:tcW w:w="1701" w:type="dxa"/>
            <w:tcBorders>
              <w:bottom w:val="nil"/>
            </w:tcBorders>
            <w:shd w:val="clear" w:color="auto" w:fill="DBE5F1" w:themeFill="accent1" w:themeFillTint="33"/>
            <w:vAlign w:val="bottom"/>
            <w:hideMark/>
          </w:tcPr>
          <w:p w:rsidRPr="00772CBF" w:rsidR="006F56EF" w:rsidP="006F56EF" w:rsidRDefault="006F56EF" w14:paraId="31D4078A"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Net Expenditure Chargeable to General Fund Balances</w:t>
            </w:r>
          </w:p>
        </w:tc>
        <w:tc>
          <w:tcPr>
            <w:tcW w:w="1272" w:type="dxa"/>
            <w:tcBorders>
              <w:bottom w:val="nil"/>
            </w:tcBorders>
            <w:shd w:val="clear" w:color="auto" w:fill="DBE5F1" w:themeFill="accent1" w:themeFillTint="33"/>
            <w:textDirection w:val="tbRl"/>
            <w:vAlign w:val="bottom"/>
            <w:hideMark/>
          </w:tcPr>
          <w:p w:rsidRPr="00772CBF" w:rsidR="006F56EF" w:rsidP="006F56EF" w:rsidRDefault="006F56EF" w14:paraId="2E321346" w14:textId="77777777">
            <w:pPr>
              <w:spacing w:after="0" w:line="240" w:lineRule="auto"/>
              <w:ind w:left="113" w:right="113"/>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Adjustments</w:t>
            </w:r>
            <w:r w:rsidRPr="00772CBF" w:rsidR="00842179">
              <w:rPr>
                <w:rFonts w:eastAsia="Times New Roman" w:cs="Arial"/>
                <w:b/>
                <w:bCs/>
                <w:color w:val="000000"/>
                <w:sz w:val="20"/>
                <w:szCs w:val="20"/>
                <w:lang w:eastAsia="en-GB"/>
              </w:rPr>
              <w:t xml:space="preserve"> Between Accounting and Funding Basis</w:t>
            </w:r>
          </w:p>
        </w:tc>
        <w:tc>
          <w:tcPr>
            <w:tcW w:w="287" w:type="dxa"/>
            <w:gridSpan w:val="2"/>
            <w:tcBorders>
              <w:bottom w:val="nil"/>
            </w:tcBorders>
            <w:shd w:val="clear" w:color="auto" w:fill="DBE5F1" w:themeFill="accent1" w:themeFillTint="33"/>
            <w:textDirection w:val="tbRl"/>
            <w:vAlign w:val="bottom"/>
          </w:tcPr>
          <w:p w:rsidRPr="00772CBF" w:rsidR="006F56EF" w:rsidP="00D451FC" w:rsidRDefault="006F56EF" w14:paraId="521A2B9C" w14:textId="77777777">
            <w:pPr>
              <w:spacing w:after="0" w:line="240" w:lineRule="auto"/>
              <w:ind w:left="113" w:right="113"/>
              <w:rPr>
                <w:rFonts w:eastAsia="Times New Roman" w:cs="Arial"/>
                <w:b/>
                <w:bCs/>
                <w:color w:val="000000"/>
                <w:sz w:val="20"/>
                <w:szCs w:val="20"/>
                <w:lang w:eastAsia="en-GB"/>
              </w:rPr>
            </w:pPr>
          </w:p>
        </w:tc>
        <w:tc>
          <w:tcPr>
            <w:tcW w:w="1843" w:type="dxa"/>
            <w:tcBorders>
              <w:bottom w:val="nil"/>
            </w:tcBorders>
            <w:shd w:val="clear" w:color="auto" w:fill="DBE5F1" w:themeFill="accent1" w:themeFillTint="33"/>
            <w:vAlign w:val="bottom"/>
            <w:hideMark/>
          </w:tcPr>
          <w:p w:rsidRPr="00772CBF" w:rsidR="006F56EF" w:rsidP="006F56EF" w:rsidRDefault="006F56EF" w14:paraId="5107EEF1"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Comprehensive Income and Expenditure </w:t>
            </w:r>
          </w:p>
        </w:tc>
      </w:tr>
      <w:tr w:rsidRPr="00614894" w:rsidR="006F56EF" w:rsidTr="001C3662" w14:paraId="03B7A22A" w14:textId="77777777">
        <w:trPr>
          <w:cantSplit/>
          <w:trHeight w:val="278"/>
        </w:trPr>
        <w:tc>
          <w:tcPr>
            <w:tcW w:w="4013" w:type="dxa"/>
            <w:tcBorders>
              <w:top w:val="nil"/>
              <w:bottom w:val="single" w:color="auto" w:sz="4" w:space="0"/>
            </w:tcBorders>
            <w:shd w:val="clear" w:color="auto" w:fill="DBE5F1" w:themeFill="accent1" w:themeFillTint="33"/>
            <w:noWrap/>
            <w:vAlign w:val="bottom"/>
            <w:hideMark/>
          </w:tcPr>
          <w:p w:rsidRPr="00772CBF" w:rsidR="006F56EF" w:rsidP="006F56EF" w:rsidRDefault="006F56EF" w14:paraId="4AFB5875" w14:textId="77777777">
            <w:pPr>
              <w:spacing w:after="0" w:line="240" w:lineRule="auto"/>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w:t>
            </w:r>
          </w:p>
        </w:tc>
        <w:tc>
          <w:tcPr>
            <w:tcW w:w="1701" w:type="dxa"/>
            <w:tcBorders>
              <w:top w:val="nil"/>
              <w:bottom w:val="single" w:color="auto" w:sz="4" w:space="0"/>
            </w:tcBorders>
            <w:shd w:val="clear" w:color="auto" w:fill="DBE5F1" w:themeFill="accent1" w:themeFillTint="33"/>
            <w:noWrap/>
            <w:vAlign w:val="bottom"/>
            <w:hideMark/>
          </w:tcPr>
          <w:p w:rsidRPr="00772CBF" w:rsidR="006F56EF" w:rsidP="006F56EF" w:rsidRDefault="00AA1198" w14:paraId="277D6D27"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w:t>
            </w:r>
            <w:r w:rsidRPr="00772CBF" w:rsidR="006F56EF">
              <w:rPr>
                <w:rFonts w:eastAsia="Times New Roman" w:cs="Arial"/>
                <w:b/>
                <w:bCs/>
                <w:color w:val="000000"/>
                <w:sz w:val="20"/>
                <w:szCs w:val="20"/>
                <w:lang w:eastAsia="en-GB"/>
              </w:rPr>
              <w:t>£'000</w:t>
            </w:r>
          </w:p>
        </w:tc>
        <w:tc>
          <w:tcPr>
            <w:tcW w:w="1272" w:type="dxa"/>
            <w:tcBorders>
              <w:top w:val="nil"/>
              <w:bottom w:val="single" w:color="auto" w:sz="4" w:space="0"/>
            </w:tcBorders>
            <w:shd w:val="clear" w:color="auto" w:fill="DBE5F1" w:themeFill="accent1" w:themeFillTint="33"/>
            <w:noWrap/>
            <w:vAlign w:val="bottom"/>
            <w:hideMark/>
          </w:tcPr>
          <w:p w:rsidRPr="00772CBF" w:rsidR="006F56EF" w:rsidP="006F56EF" w:rsidRDefault="00AA1198" w14:paraId="11D1332F"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w:t>
            </w:r>
            <w:r w:rsidRPr="00772CBF" w:rsidR="006F56EF">
              <w:rPr>
                <w:rFonts w:eastAsia="Times New Roman" w:cs="Arial"/>
                <w:b/>
                <w:bCs/>
                <w:color w:val="000000"/>
                <w:sz w:val="20"/>
                <w:szCs w:val="20"/>
                <w:lang w:eastAsia="en-GB"/>
              </w:rPr>
              <w:t>£'000</w:t>
            </w:r>
          </w:p>
        </w:tc>
        <w:tc>
          <w:tcPr>
            <w:tcW w:w="240" w:type="dxa"/>
            <w:tcBorders>
              <w:top w:val="nil"/>
              <w:bottom w:val="single" w:color="auto" w:sz="4" w:space="0"/>
            </w:tcBorders>
            <w:shd w:val="clear" w:color="auto" w:fill="DBE5F1" w:themeFill="accent1" w:themeFillTint="33"/>
            <w:vAlign w:val="bottom"/>
          </w:tcPr>
          <w:p w:rsidRPr="00772CBF" w:rsidR="006F56EF" w:rsidP="006F56EF" w:rsidRDefault="006F56EF" w14:paraId="21A54687" w14:textId="77777777">
            <w:pPr>
              <w:spacing w:after="0" w:line="240" w:lineRule="auto"/>
              <w:jc w:val="center"/>
              <w:rPr>
                <w:rFonts w:eastAsia="Times New Roman" w:cs="Arial"/>
                <w:b/>
                <w:bCs/>
                <w:color w:val="000000"/>
                <w:sz w:val="20"/>
                <w:szCs w:val="20"/>
                <w:lang w:eastAsia="en-GB"/>
              </w:rPr>
            </w:pPr>
          </w:p>
        </w:tc>
        <w:tc>
          <w:tcPr>
            <w:tcW w:w="1890" w:type="dxa"/>
            <w:gridSpan w:val="2"/>
            <w:tcBorders>
              <w:top w:val="nil"/>
              <w:bottom w:val="single" w:color="auto" w:sz="4" w:space="0"/>
            </w:tcBorders>
            <w:shd w:val="clear" w:color="auto" w:fill="DBE5F1" w:themeFill="accent1" w:themeFillTint="33"/>
            <w:noWrap/>
            <w:vAlign w:val="bottom"/>
            <w:hideMark/>
          </w:tcPr>
          <w:p w:rsidRPr="00772CBF" w:rsidR="006F56EF" w:rsidP="006F56EF" w:rsidRDefault="00AA1198" w14:paraId="5C8F6236"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w:t>
            </w:r>
            <w:r w:rsidRPr="00772CBF" w:rsidR="006F56EF">
              <w:rPr>
                <w:rFonts w:eastAsia="Times New Roman" w:cs="Arial"/>
                <w:b/>
                <w:bCs/>
                <w:color w:val="000000"/>
                <w:sz w:val="20"/>
                <w:szCs w:val="20"/>
                <w:lang w:eastAsia="en-GB"/>
              </w:rPr>
              <w:t>£'000</w:t>
            </w:r>
          </w:p>
        </w:tc>
      </w:tr>
      <w:tr w:rsidRPr="00614894" w:rsidR="006F56EF" w:rsidTr="00740287" w14:paraId="0767258D" w14:textId="77777777">
        <w:trPr>
          <w:trHeight w:val="300"/>
        </w:trPr>
        <w:tc>
          <w:tcPr>
            <w:tcW w:w="4013" w:type="dxa"/>
            <w:tcBorders>
              <w:top w:val="single" w:color="auto" w:sz="4" w:space="0"/>
            </w:tcBorders>
            <w:shd w:val="clear" w:color="auto" w:fill="auto"/>
            <w:noWrap/>
            <w:vAlign w:val="bottom"/>
            <w:hideMark/>
          </w:tcPr>
          <w:p w:rsidRPr="00614894" w:rsidR="006F56EF" w:rsidP="006F56EF" w:rsidRDefault="006F56EF" w14:paraId="36D4D1FE" w14:textId="77777777">
            <w:pPr>
              <w:spacing w:after="0" w:line="240" w:lineRule="auto"/>
              <w:rPr>
                <w:rFonts w:eastAsia="Times New Roman" w:cs="Arial"/>
                <w:color w:val="000000"/>
                <w:sz w:val="20"/>
                <w:szCs w:val="20"/>
                <w:highlight w:val="yellow"/>
                <w:lang w:eastAsia="en-GB"/>
              </w:rPr>
            </w:pPr>
          </w:p>
        </w:tc>
        <w:tc>
          <w:tcPr>
            <w:tcW w:w="1701" w:type="dxa"/>
            <w:tcBorders>
              <w:top w:val="single" w:color="auto" w:sz="4" w:space="0"/>
            </w:tcBorders>
            <w:shd w:val="clear" w:color="auto" w:fill="auto"/>
            <w:noWrap/>
            <w:vAlign w:val="bottom"/>
            <w:hideMark/>
          </w:tcPr>
          <w:p w:rsidRPr="00614894" w:rsidR="006F56EF" w:rsidP="006F56EF" w:rsidRDefault="006F56EF" w14:paraId="1D88C19C" w14:textId="77777777">
            <w:pPr>
              <w:spacing w:after="0" w:line="240" w:lineRule="auto"/>
              <w:rPr>
                <w:rFonts w:eastAsia="Times New Roman" w:cs="Arial"/>
                <w:color w:val="000000"/>
                <w:sz w:val="20"/>
                <w:szCs w:val="20"/>
                <w:highlight w:val="yellow"/>
                <w:lang w:eastAsia="en-GB"/>
              </w:rPr>
            </w:pPr>
          </w:p>
        </w:tc>
        <w:tc>
          <w:tcPr>
            <w:tcW w:w="1272" w:type="dxa"/>
            <w:tcBorders>
              <w:top w:val="single" w:color="auto" w:sz="4" w:space="0"/>
            </w:tcBorders>
            <w:shd w:val="clear" w:color="auto" w:fill="auto"/>
            <w:noWrap/>
            <w:vAlign w:val="bottom"/>
            <w:hideMark/>
          </w:tcPr>
          <w:p w:rsidRPr="005F30CB" w:rsidR="006F56EF" w:rsidP="006F56EF" w:rsidRDefault="006F56EF" w14:paraId="22784A53" w14:textId="77777777">
            <w:pPr>
              <w:spacing w:after="0" w:line="240" w:lineRule="auto"/>
              <w:rPr>
                <w:rFonts w:eastAsia="Times New Roman" w:cs="Arial"/>
                <w:color w:val="000000"/>
                <w:sz w:val="20"/>
                <w:szCs w:val="20"/>
                <w:lang w:eastAsia="en-GB"/>
              </w:rPr>
            </w:pPr>
          </w:p>
        </w:tc>
        <w:tc>
          <w:tcPr>
            <w:tcW w:w="240" w:type="dxa"/>
            <w:tcBorders>
              <w:top w:val="single" w:color="auto" w:sz="4" w:space="0"/>
            </w:tcBorders>
            <w:shd w:val="clear" w:color="auto" w:fill="auto"/>
            <w:vAlign w:val="bottom"/>
          </w:tcPr>
          <w:p w:rsidRPr="005F30CB" w:rsidR="006F56EF" w:rsidP="006F56EF" w:rsidRDefault="006F56EF" w14:paraId="7BC82505" w14:textId="77777777">
            <w:pPr>
              <w:spacing w:after="0" w:line="240" w:lineRule="auto"/>
              <w:rPr>
                <w:rFonts w:eastAsia="Times New Roman" w:cs="Arial"/>
                <w:color w:val="000000"/>
                <w:sz w:val="20"/>
                <w:szCs w:val="20"/>
                <w:lang w:eastAsia="en-GB"/>
              </w:rPr>
            </w:pPr>
          </w:p>
        </w:tc>
        <w:tc>
          <w:tcPr>
            <w:tcW w:w="1890" w:type="dxa"/>
            <w:gridSpan w:val="2"/>
            <w:tcBorders>
              <w:top w:val="single" w:color="auto" w:sz="4" w:space="0"/>
            </w:tcBorders>
            <w:shd w:val="clear" w:color="auto" w:fill="auto"/>
            <w:noWrap/>
            <w:vAlign w:val="bottom"/>
            <w:hideMark/>
          </w:tcPr>
          <w:p w:rsidRPr="005F30CB" w:rsidR="006F56EF" w:rsidP="006F56EF" w:rsidRDefault="006F56EF" w14:paraId="48412CF9"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6F56EF" w:rsidTr="00F30433" w14:paraId="5AB0041F" w14:textId="77777777">
        <w:trPr>
          <w:trHeight w:val="300"/>
        </w:trPr>
        <w:tc>
          <w:tcPr>
            <w:tcW w:w="4013" w:type="dxa"/>
            <w:shd w:val="clear" w:color="auto" w:fill="auto"/>
            <w:noWrap/>
            <w:vAlign w:val="bottom"/>
            <w:hideMark/>
          </w:tcPr>
          <w:p w:rsidRPr="005F30CB" w:rsidR="006F56EF" w:rsidP="006F56EF" w:rsidRDefault="00C52D90" w14:paraId="1B184494" w14:textId="3DFCA3A0">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Core Budget</w:t>
            </w:r>
          </w:p>
        </w:tc>
        <w:tc>
          <w:tcPr>
            <w:tcW w:w="1701" w:type="dxa"/>
            <w:shd w:val="clear" w:color="auto" w:fill="auto"/>
            <w:noWrap/>
            <w:vAlign w:val="bottom"/>
          </w:tcPr>
          <w:p w:rsidRPr="005F30CB" w:rsidR="006F56EF" w:rsidP="006F56EF" w:rsidRDefault="005F30CB" w14:paraId="0D0B97A4" w14:textId="4345C470">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1,857</w:t>
            </w:r>
          </w:p>
        </w:tc>
        <w:tc>
          <w:tcPr>
            <w:tcW w:w="1272" w:type="dxa"/>
            <w:shd w:val="clear" w:color="auto" w:fill="auto"/>
            <w:noWrap/>
            <w:vAlign w:val="bottom"/>
          </w:tcPr>
          <w:p w:rsidRPr="005F30CB" w:rsidR="006F56EF" w:rsidP="009B16B1" w:rsidRDefault="00722D78" w14:paraId="10C5390F" w14:textId="765FEC8C">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302</w:t>
            </w:r>
          </w:p>
        </w:tc>
        <w:tc>
          <w:tcPr>
            <w:tcW w:w="240" w:type="dxa"/>
            <w:shd w:val="clear" w:color="auto" w:fill="auto"/>
            <w:vAlign w:val="bottom"/>
          </w:tcPr>
          <w:p w:rsidRPr="005F30CB" w:rsidR="006F56EF" w:rsidP="006F56EF" w:rsidRDefault="006F56EF" w14:paraId="792ABD0D" w14:textId="77777777">
            <w:pPr>
              <w:spacing w:after="0" w:line="240" w:lineRule="auto"/>
              <w:jc w:val="right"/>
              <w:rPr>
                <w:rFonts w:eastAsia="Times New Roman" w:cs="Arial"/>
                <w:color w:val="000000"/>
                <w:sz w:val="20"/>
                <w:szCs w:val="20"/>
                <w:lang w:eastAsia="en-GB"/>
              </w:rPr>
            </w:pPr>
          </w:p>
        </w:tc>
        <w:tc>
          <w:tcPr>
            <w:tcW w:w="1890" w:type="dxa"/>
            <w:gridSpan w:val="2"/>
            <w:shd w:val="clear" w:color="auto" w:fill="auto"/>
            <w:noWrap/>
            <w:vAlign w:val="bottom"/>
            <w:hideMark/>
          </w:tcPr>
          <w:p w:rsidRPr="005F30CB" w:rsidR="006F56EF" w:rsidP="009B16B1" w:rsidRDefault="005F30CB" w14:paraId="77A39C4C" w14:textId="57022052">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2,15</w:t>
            </w:r>
            <w:r w:rsidR="00722D78">
              <w:rPr>
                <w:rFonts w:eastAsia="Times New Roman" w:cs="Arial"/>
                <w:color w:val="000000"/>
                <w:sz w:val="20"/>
                <w:szCs w:val="20"/>
                <w:lang w:eastAsia="en-GB"/>
              </w:rPr>
              <w:t>9</w:t>
            </w:r>
          </w:p>
        </w:tc>
      </w:tr>
      <w:tr w:rsidRPr="00614894" w:rsidR="006F56EF" w:rsidTr="00F30433" w14:paraId="52AEBE5E" w14:textId="77777777">
        <w:trPr>
          <w:trHeight w:val="300"/>
        </w:trPr>
        <w:tc>
          <w:tcPr>
            <w:tcW w:w="4013" w:type="dxa"/>
            <w:shd w:val="clear" w:color="auto" w:fill="auto"/>
            <w:noWrap/>
            <w:vAlign w:val="bottom"/>
            <w:hideMark/>
          </w:tcPr>
          <w:p w:rsidRPr="005F30CB" w:rsidR="006F56EF" w:rsidP="006F56EF" w:rsidRDefault="00C52D90" w14:paraId="2D9B047C" w14:textId="412E70A5">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 xml:space="preserve">Regional Adoption Service Grant </w:t>
            </w:r>
          </w:p>
        </w:tc>
        <w:tc>
          <w:tcPr>
            <w:tcW w:w="1701" w:type="dxa"/>
            <w:shd w:val="clear" w:color="auto" w:fill="auto"/>
            <w:noWrap/>
            <w:vAlign w:val="bottom"/>
          </w:tcPr>
          <w:p w:rsidRPr="005F30CB" w:rsidR="006F56EF" w:rsidP="006F56EF" w:rsidRDefault="00F30433" w14:paraId="2F07E01D" w14:textId="4A9BA082">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1272" w:type="dxa"/>
            <w:shd w:val="clear" w:color="auto" w:fill="auto"/>
            <w:noWrap/>
            <w:vAlign w:val="bottom"/>
          </w:tcPr>
          <w:p w:rsidRPr="005F30CB" w:rsidR="006F56EF" w:rsidP="006F56EF" w:rsidRDefault="00F30433" w14:paraId="5C2D94EC" w14:textId="007ACE21">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shd w:val="clear" w:color="auto" w:fill="auto"/>
            <w:vAlign w:val="bottom"/>
          </w:tcPr>
          <w:p w:rsidRPr="005F30CB" w:rsidR="006F56EF" w:rsidP="006F56EF" w:rsidRDefault="006F56EF" w14:paraId="5BB6FA26" w14:textId="77777777">
            <w:pPr>
              <w:spacing w:after="0" w:line="240" w:lineRule="auto"/>
              <w:jc w:val="right"/>
              <w:rPr>
                <w:rFonts w:eastAsia="Times New Roman" w:cs="Arial"/>
                <w:color w:val="000000"/>
                <w:sz w:val="20"/>
                <w:szCs w:val="20"/>
                <w:lang w:eastAsia="en-GB"/>
              </w:rPr>
            </w:pPr>
          </w:p>
        </w:tc>
        <w:tc>
          <w:tcPr>
            <w:tcW w:w="1890" w:type="dxa"/>
            <w:gridSpan w:val="2"/>
            <w:shd w:val="clear" w:color="auto" w:fill="auto"/>
            <w:noWrap/>
            <w:vAlign w:val="bottom"/>
          </w:tcPr>
          <w:p w:rsidRPr="005F30CB" w:rsidR="006F56EF" w:rsidP="009B16B1" w:rsidRDefault="00F30433" w14:paraId="15A76A89" w14:textId="419F2DF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r>
      <w:tr w:rsidRPr="00614894" w:rsidR="006F56EF" w:rsidTr="00740287" w14:paraId="7498F5B7" w14:textId="77777777">
        <w:trPr>
          <w:trHeight w:val="300"/>
        </w:trPr>
        <w:tc>
          <w:tcPr>
            <w:tcW w:w="4013" w:type="dxa"/>
            <w:shd w:val="clear" w:color="auto" w:fill="auto"/>
            <w:noWrap/>
            <w:vAlign w:val="bottom"/>
          </w:tcPr>
          <w:p w:rsidRPr="005F30CB" w:rsidR="006F56EF" w:rsidP="006F56EF" w:rsidRDefault="00C52D90" w14:paraId="14CA099F" w14:textId="5AB667FF">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Utilisation of Previous Years Underspend</w:t>
            </w:r>
          </w:p>
        </w:tc>
        <w:tc>
          <w:tcPr>
            <w:tcW w:w="1701" w:type="dxa"/>
            <w:shd w:val="clear" w:color="auto" w:fill="auto"/>
            <w:noWrap/>
            <w:vAlign w:val="bottom"/>
          </w:tcPr>
          <w:p w:rsidRPr="005F30CB" w:rsidR="006F56EF" w:rsidP="006F56EF" w:rsidRDefault="005F30CB" w14:paraId="25DFDAB3" w14:textId="1C4B117C">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85</w:t>
            </w:r>
          </w:p>
        </w:tc>
        <w:tc>
          <w:tcPr>
            <w:tcW w:w="1272" w:type="dxa"/>
            <w:shd w:val="clear" w:color="auto" w:fill="auto"/>
            <w:noWrap/>
            <w:vAlign w:val="bottom"/>
          </w:tcPr>
          <w:p w:rsidRPr="005F30CB" w:rsidR="006F56EF" w:rsidP="006F56EF" w:rsidRDefault="005F30CB" w14:paraId="17D5D8E0" w14:textId="06EA7574">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shd w:val="clear" w:color="auto" w:fill="auto"/>
            <w:vAlign w:val="bottom"/>
          </w:tcPr>
          <w:p w:rsidRPr="005F30CB" w:rsidR="006F56EF" w:rsidP="006F56EF" w:rsidRDefault="006F56EF" w14:paraId="01EDC6AC" w14:textId="77777777">
            <w:pPr>
              <w:spacing w:after="0" w:line="240" w:lineRule="auto"/>
              <w:jc w:val="right"/>
              <w:rPr>
                <w:rFonts w:eastAsia="Times New Roman" w:cs="Arial"/>
                <w:color w:val="000000"/>
                <w:sz w:val="20"/>
                <w:szCs w:val="20"/>
                <w:lang w:eastAsia="en-GB"/>
              </w:rPr>
            </w:pPr>
          </w:p>
        </w:tc>
        <w:tc>
          <w:tcPr>
            <w:tcW w:w="1890" w:type="dxa"/>
            <w:gridSpan w:val="2"/>
            <w:shd w:val="clear" w:color="auto" w:fill="auto"/>
            <w:noWrap/>
            <w:vAlign w:val="bottom"/>
          </w:tcPr>
          <w:p w:rsidRPr="005F30CB" w:rsidR="006F56EF" w:rsidP="006F56EF" w:rsidRDefault="005F30CB" w14:paraId="19EB57EE" w14:textId="3B625732">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85</w:t>
            </w:r>
          </w:p>
        </w:tc>
      </w:tr>
      <w:tr w:rsidRPr="00614894" w:rsidR="006F56EF" w:rsidTr="00F30433" w14:paraId="12D10889" w14:textId="77777777">
        <w:trPr>
          <w:trHeight w:val="300"/>
        </w:trPr>
        <w:tc>
          <w:tcPr>
            <w:tcW w:w="4013" w:type="dxa"/>
            <w:tcBorders>
              <w:top w:val="nil"/>
              <w:bottom w:val="single" w:color="auto" w:sz="4" w:space="0"/>
            </w:tcBorders>
            <w:shd w:val="clear" w:color="auto" w:fill="auto"/>
            <w:noWrap/>
            <w:vAlign w:val="bottom"/>
            <w:hideMark/>
          </w:tcPr>
          <w:p w:rsidRPr="005F30CB" w:rsidR="006F56EF" w:rsidP="006F56EF" w:rsidRDefault="006F56EF" w14:paraId="4D91E566" w14:textId="77777777">
            <w:pPr>
              <w:spacing w:after="0" w:line="240" w:lineRule="auto"/>
              <w:rPr>
                <w:rFonts w:eastAsia="Times New Roman" w:cs="Arial"/>
                <w:color w:val="000000"/>
                <w:sz w:val="20"/>
                <w:szCs w:val="20"/>
                <w:lang w:eastAsia="en-GB"/>
              </w:rPr>
            </w:pPr>
          </w:p>
        </w:tc>
        <w:tc>
          <w:tcPr>
            <w:tcW w:w="1701" w:type="dxa"/>
            <w:tcBorders>
              <w:top w:val="nil"/>
              <w:bottom w:val="single" w:color="auto" w:sz="4" w:space="0"/>
            </w:tcBorders>
            <w:shd w:val="clear" w:color="auto" w:fill="auto"/>
            <w:noWrap/>
            <w:vAlign w:val="bottom"/>
          </w:tcPr>
          <w:p w:rsidRPr="005F30CB" w:rsidR="006F56EF" w:rsidP="006F56EF" w:rsidRDefault="006F56EF" w14:paraId="711A58C3" w14:textId="77777777">
            <w:pPr>
              <w:spacing w:after="0" w:line="240" w:lineRule="auto"/>
              <w:jc w:val="right"/>
              <w:rPr>
                <w:rFonts w:eastAsia="Times New Roman" w:cs="Arial"/>
                <w:color w:val="000000"/>
                <w:sz w:val="20"/>
                <w:szCs w:val="20"/>
                <w:lang w:eastAsia="en-GB"/>
              </w:rPr>
            </w:pPr>
          </w:p>
        </w:tc>
        <w:tc>
          <w:tcPr>
            <w:tcW w:w="1272" w:type="dxa"/>
            <w:tcBorders>
              <w:top w:val="nil"/>
              <w:bottom w:val="single" w:color="auto" w:sz="4" w:space="0"/>
            </w:tcBorders>
            <w:shd w:val="clear" w:color="auto" w:fill="auto"/>
            <w:noWrap/>
            <w:vAlign w:val="bottom"/>
            <w:hideMark/>
          </w:tcPr>
          <w:p w:rsidRPr="005F30CB" w:rsidR="006F56EF" w:rsidP="006F56EF" w:rsidRDefault="006F56EF" w14:paraId="1ACC2176" w14:textId="77777777">
            <w:pPr>
              <w:spacing w:after="0" w:line="240" w:lineRule="auto"/>
              <w:jc w:val="right"/>
              <w:rPr>
                <w:rFonts w:eastAsia="Times New Roman" w:cs="Arial"/>
                <w:color w:val="000000"/>
                <w:sz w:val="20"/>
                <w:szCs w:val="20"/>
                <w:lang w:eastAsia="en-GB"/>
              </w:rPr>
            </w:pPr>
          </w:p>
        </w:tc>
        <w:tc>
          <w:tcPr>
            <w:tcW w:w="240" w:type="dxa"/>
            <w:tcBorders>
              <w:top w:val="nil"/>
              <w:bottom w:val="single" w:color="auto" w:sz="4" w:space="0"/>
            </w:tcBorders>
            <w:shd w:val="clear" w:color="auto" w:fill="auto"/>
            <w:vAlign w:val="bottom"/>
          </w:tcPr>
          <w:p w:rsidRPr="005F30CB" w:rsidR="006F56EF" w:rsidP="006F56EF" w:rsidRDefault="006F56EF" w14:paraId="242C5FA5" w14:textId="77777777">
            <w:pPr>
              <w:spacing w:after="0" w:line="240" w:lineRule="auto"/>
              <w:jc w:val="right"/>
              <w:rPr>
                <w:rFonts w:eastAsia="Times New Roman" w:cs="Arial"/>
                <w:color w:val="000000"/>
                <w:sz w:val="20"/>
                <w:szCs w:val="20"/>
                <w:lang w:eastAsia="en-GB"/>
              </w:rPr>
            </w:pPr>
          </w:p>
        </w:tc>
        <w:tc>
          <w:tcPr>
            <w:tcW w:w="1890" w:type="dxa"/>
            <w:gridSpan w:val="2"/>
            <w:tcBorders>
              <w:top w:val="nil"/>
              <w:bottom w:val="single" w:color="auto" w:sz="4" w:space="0"/>
            </w:tcBorders>
            <w:shd w:val="clear" w:color="auto" w:fill="auto"/>
            <w:noWrap/>
            <w:vAlign w:val="bottom"/>
            <w:hideMark/>
          </w:tcPr>
          <w:p w:rsidRPr="005F30CB" w:rsidR="006F56EF" w:rsidP="006F56EF" w:rsidRDefault="006F56EF" w14:paraId="555E041F"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6F56EF" w:rsidTr="00F30433" w14:paraId="3F034C0E" w14:textId="77777777">
        <w:trPr>
          <w:trHeight w:val="300"/>
        </w:trPr>
        <w:tc>
          <w:tcPr>
            <w:tcW w:w="4013" w:type="dxa"/>
            <w:tcBorders>
              <w:top w:val="single" w:color="auto" w:sz="4" w:space="0"/>
              <w:bottom w:val="single" w:color="auto" w:sz="4" w:space="0"/>
            </w:tcBorders>
            <w:shd w:val="clear" w:color="auto" w:fill="DBE5F1" w:themeFill="accent1" w:themeFillTint="33"/>
            <w:noWrap/>
            <w:vAlign w:val="bottom"/>
            <w:hideMark/>
          </w:tcPr>
          <w:p w:rsidRPr="005F30CB" w:rsidR="006F56EF" w:rsidP="006F56EF" w:rsidRDefault="006F56EF" w14:paraId="78411920" w14:textId="77777777">
            <w:pPr>
              <w:spacing w:after="0" w:line="240" w:lineRule="auto"/>
              <w:rPr>
                <w:rFonts w:eastAsia="Times New Roman" w:cs="Arial"/>
                <w:b/>
                <w:bCs/>
                <w:color w:val="000000"/>
                <w:sz w:val="20"/>
                <w:szCs w:val="20"/>
                <w:lang w:eastAsia="en-GB"/>
              </w:rPr>
            </w:pPr>
            <w:r w:rsidRPr="005F30CB">
              <w:rPr>
                <w:rFonts w:eastAsia="Times New Roman" w:cs="Arial"/>
                <w:b/>
                <w:bCs/>
                <w:color w:val="000000"/>
                <w:sz w:val="20"/>
                <w:szCs w:val="20"/>
                <w:lang w:eastAsia="en-GB"/>
              </w:rPr>
              <w:t>Net Cost of Services</w:t>
            </w:r>
          </w:p>
        </w:tc>
        <w:tc>
          <w:tcPr>
            <w:tcW w:w="1701" w:type="dxa"/>
            <w:tcBorders>
              <w:top w:val="single" w:color="auto" w:sz="4" w:space="0"/>
              <w:bottom w:val="single" w:color="auto" w:sz="4" w:space="0"/>
            </w:tcBorders>
            <w:shd w:val="clear" w:color="auto" w:fill="DBE5F1" w:themeFill="accent1" w:themeFillTint="33"/>
            <w:noWrap/>
            <w:vAlign w:val="bottom"/>
          </w:tcPr>
          <w:p w:rsidRPr="005F30CB" w:rsidR="006F56EF" w:rsidP="006F56EF" w:rsidRDefault="005F30CB" w14:paraId="746DEB04" w14:textId="1E8A258B">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1,942</w:t>
            </w:r>
          </w:p>
        </w:tc>
        <w:tc>
          <w:tcPr>
            <w:tcW w:w="1272" w:type="dxa"/>
            <w:tcBorders>
              <w:top w:val="single" w:color="auto" w:sz="4" w:space="0"/>
              <w:bottom w:val="single" w:color="auto" w:sz="4" w:space="0"/>
            </w:tcBorders>
            <w:shd w:val="clear" w:color="auto" w:fill="DBE5F1" w:themeFill="accent1" w:themeFillTint="33"/>
            <w:noWrap/>
            <w:vAlign w:val="bottom"/>
            <w:hideMark/>
          </w:tcPr>
          <w:p w:rsidRPr="005F30CB" w:rsidR="006F56EF" w:rsidP="006F56EF" w:rsidRDefault="00722D78" w14:paraId="37DDE52D" w14:textId="3619DB19">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302</w:t>
            </w:r>
          </w:p>
        </w:tc>
        <w:tc>
          <w:tcPr>
            <w:tcW w:w="240" w:type="dxa"/>
            <w:tcBorders>
              <w:top w:val="single" w:color="auto" w:sz="4" w:space="0"/>
              <w:bottom w:val="single" w:color="auto" w:sz="4" w:space="0"/>
            </w:tcBorders>
            <w:shd w:val="clear" w:color="auto" w:fill="DBE5F1" w:themeFill="accent1" w:themeFillTint="33"/>
            <w:vAlign w:val="bottom"/>
          </w:tcPr>
          <w:p w:rsidRPr="005F30CB" w:rsidR="006F56EF" w:rsidP="00D451FC" w:rsidRDefault="006F56EF" w14:paraId="56ADB867" w14:textId="77777777">
            <w:pPr>
              <w:spacing w:after="0" w:line="240" w:lineRule="auto"/>
              <w:jc w:val="center"/>
              <w:rPr>
                <w:rFonts w:eastAsia="Times New Roman" w:cs="Arial"/>
                <w:b/>
                <w:bCs/>
                <w:color w:val="000000"/>
                <w:sz w:val="20"/>
                <w:szCs w:val="20"/>
                <w:lang w:eastAsia="en-GB"/>
              </w:rPr>
            </w:pPr>
          </w:p>
        </w:tc>
        <w:tc>
          <w:tcPr>
            <w:tcW w:w="1890" w:type="dxa"/>
            <w:gridSpan w:val="2"/>
            <w:tcBorders>
              <w:top w:val="single" w:color="auto" w:sz="4" w:space="0"/>
              <w:bottom w:val="single" w:color="auto" w:sz="4" w:space="0"/>
            </w:tcBorders>
            <w:shd w:val="clear" w:color="auto" w:fill="DBE5F1" w:themeFill="accent1" w:themeFillTint="33"/>
            <w:noWrap/>
            <w:vAlign w:val="bottom"/>
            <w:hideMark/>
          </w:tcPr>
          <w:p w:rsidRPr="005F30CB" w:rsidR="006F56EF" w:rsidP="006F56EF" w:rsidRDefault="005F30CB" w14:paraId="61882514" w14:textId="4E16BAA8">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2,2</w:t>
            </w:r>
            <w:r w:rsidR="00722D78">
              <w:rPr>
                <w:rFonts w:eastAsia="Times New Roman" w:cs="Arial"/>
                <w:b/>
                <w:bCs/>
                <w:color w:val="000000"/>
                <w:sz w:val="20"/>
                <w:szCs w:val="20"/>
                <w:lang w:eastAsia="en-GB"/>
              </w:rPr>
              <w:t>44</w:t>
            </w:r>
          </w:p>
        </w:tc>
      </w:tr>
      <w:tr w:rsidRPr="00614894" w:rsidR="006F56EF" w:rsidTr="00740287" w14:paraId="0FCBFDFE" w14:textId="77777777">
        <w:trPr>
          <w:trHeight w:val="300"/>
        </w:trPr>
        <w:tc>
          <w:tcPr>
            <w:tcW w:w="4013" w:type="dxa"/>
            <w:tcBorders>
              <w:top w:val="single" w:color="auto" w:sz="4" w:space="0"/>
            </w:tcBorders>
            <w:shd w:val="clear" w:color="auto" w:fill="auto"/>
            <w:noWrap/>
            <w:vAlign w:val="bottom"/>
            <w:hideMark/>
          </w:tcPr>
          <w:p w:rsidRPr="005F30CB" w:rsidR="00A214A6" w:rsidP="006F56EF" w:rsidRDefault="00A214A6" w14:paraId="7C897C1D" w14:textId="77777777">
            <w:pPr>
              <w:spacing w:after="0" w:line="240" w:lineRule="auto"/>
              <w:rPr>
                <w:rFonts w:eastAsia="Times New Roman" w:cs="Arial"/>
                <w:b/>
                <w:color w:val="000000"/>
                <w:sz w:val="20"/>
                <w:szCs w:val="20"/>
                <w:u w:val="single"/>
                <w:lang w:eastAsia="en-GB"/>
              </w:rPr>
            </w:pPr>
          </w:p>
          <w:p w:rsidRPr="005F30CB" w:rsidR="006F56EF" w:rsidP="006F56EF" w:rsidRDefault="00761AE4" w14:paraId="416B6C3B" w14:textId="77777777">
            <w:pPr>
              <w:spacing w:after="0" w:line="240" w:lineRule="auto"/>
              <w:rPr>
                <w:rFonts w:eastAsia="Times New Roman" w:cs="Arial"/>
                <w:b/>
                <w:color w:val="000000"/>
                <w:sz w:val="20"/>
                <w:szCs w:val="20"/>
                <w:u w:val="single"/>
                <w:lang w:eastAsia="en-GB"/>
              </w:rPr>
            </w:pPr>
            <w:r w:rsidRPr="005F30CB">
              <w:rPr>
                <w:rFonts w:eastAsia="Times New Roman" w:cs="Arial"/>
                <w:b/>
                <w:color w:val="000000"/>
                <w:sz w:val="20"/>
                <w:szCs w:val="20"/>
                <w:u w:val="single"/>
                <w:lang w:eastAsia="en-GB"/>
              </w:rPr>
              <w:t xml:space="preserve">Financing and Investment Income and </w:t>
            </w:r>
            <w:r w:rsidRPr="005F30CB" w:rsidR="00685898">
              <w:rPr>
                <w:rFonts w:eastAsia="Times New Roman" w:cs="Arial"/>
                <w:b/>
                <w:color w:val="000000"/>
                <w:sz w:val="20"/>
                <w:szCs w:val="20"/>
                <w:u w:val="single"/>
                <w:lang w:eastAsia="en-GB"/>
              </w:rPr>
              <w:t xml:space="preserve"> </w:t>
            </w:r>
            <w:r w:rsidRPr="005F30CB">
              <w:rPr>
                <w:rFonts w:eastAsia="Times New Roman" w:cs="Arial"/>
                <w:b/>
                <w:color w:val="000000"/>
                <w:sz w:val="20"/>
                <w:szCs w:val="20"/>
                <w:u w:val="single"/>
                <w:lang w:eastAsia="en-GB"/>
              </w:rPr>
              <w:t>Expenditure</w:t>
            </w:r>
          </w:p>
        </w:tc>
        <w:tc>
          <w:tcPr>
            <w:tcW w:w="1701" w:type="dxa"/>
            <w:tcBorders>
              <w:top w:val="single" w:color="auto" w:sz="4" w:space="0"/>
            </w:tcBorders>
            <w:shd w:val="clear" w:color="auto" w:fill="auto"/>
            <w:noWrap/>
            <w:vAlign w:val="bottom"/>
            <w:hideMark/>
          </w:tcPr>
          <w:p w:rsidRPr="005F30CB" w:rsidR="006F56EF" w:rsidP="006F56EF" w:rsidRDefault="006F56EF" w14:paraId="5123EB79" w14:textId="77777777">
            <w:pPr>
              <w:spacing w:after="0" w:line="240" w:lineRule="auto"/>
              <w:jc w:val="right"/>
              <w:rPr>
                <w:rFonts w:eastAsia="Times New Roman" w:cs="Arial"/>
                <w:color w:val="000000"/>
                <w:sz w:val="20"/>
                <w:szCs w:val="20"/>
                <w:lang w:eastAsia="en-GB"/>
              </w:rPr>
            </w:pPr>
          </w:p>
        </w:tc>
        <w:tc>
          <w:tcPr>
            <w:tcW w:w="1272" w:type="dxa"/>
            <w:tcBorders>
              <w:top w:val="single" w:color="auto" w:sz="4" w:space="0"/>
            </w:tcBorders>
            <w:shd w:val="clear" w:color="auto" w:fill="auto"/>
            <w:noWrap/>
            <w:vAlign w:val="bottom"/>
            <w:hideMark/>
          </w:tcPr>
          <w:p w:rsidRPr="005F30CB" w:rsidR="006F56EF" w:rsidP="006F56EF" w:rsidRDefault="006F56EF" w14:paraId="6A0D6B34" w14:textId="77777777">
            <w:pPr>
              <w:spacing w:after="0" w:line="240" w:lineRule="auto"/>
              <w:jc w:val="right"/>
              <w:rPr>
                <w:rFonts w:eastAsia="Times New Roman" w:cs="Arial"/>
                <w:color w:val="000000"/>
                <w:sz w:val="20"/>
                <w:szCs w:val="20"/>
                <w:lang w:eastAsia="en-GB"/>
              </w:rPr>
            </w:pPr>
          </w:p>
        </w:tc>
        <w:tc>
          <w:tcPr>
            <w:tcW w:w="240" w:type="dxa"/>
            <w:tcBorders>
              <w:top w:val="single" w:color="auto" w:sz="4" w:space="0"/>
            </w:tcBorders>
            <w:shd w:val="clear" w:color="auto" w:fill="auto"/>
            <w:vAlign w:val="bottom"/>
          </w:tcPr>
          <w:p w:rsidRPr="005F30CB" w:rsidR="006F56EF" w:rsidP="006F56EF" w:rsidRDefault="006F56EF" w14:paraId="1FD69976" w14:textId="77777777">
            <w:pPr>
              <w:spacing w:after="0" w:line="240" w:lineRule="auto"/>
              <w:jc w:val="right"/>
              <w:rPr>
                <w:rFonts w:eastAsia="Times New Roman" w:cs="Arial"/>
                <w:color w:val="000000"/>
                <w:sz w:val="20"/>
                <w:szCs w:val="20"/>
                <w:lang w:eastAsia="en-GB"/>
              </w:rPr>
            </w:pPr>
          </w:p>
        </w:tc>
        <w:tc>
          <w:tcPr>
            <w:tcW w:w="1890" w:type="dxa"/>
            <w:gridSpan w:val="2"/>
            <w:tcBorders>
              <w:top w:val="single" w:color="auto" w:sz="4" w:space="0"/>
            </w:tcBorders>
            <w:shd w:val="clear" w:color="auto" w:fill="auto"/>
            <w:noWrap/>
            <w:vAlign w:val="bottom"/>
            <w:hideMark/>
          </w:tcPr>
          <w:p w:rsidRPr="005F30CB" w:rsidR="006F56EF" w:rsidP="006F56EF" w:rsidRDefault="006F56EF" w14:paraId="06CA091B"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761AE4" w:rsidTr="006C636D" w14:paraId="7D58B68C" w14:textId="77777777">
        <w:trPr>
          <w:trHeight w:val="296"/>
        </w:trPr>
        <w:tc>
          <w:tcPr>
            <w:tcW w:w="4013" w:type="dxa"/>
            <w:tcBorders>
              <w:bottom w:val="nil"/>
            </w:tcBorders>
            <w:shd w:val="clear" w:color="auto" w:fill="auto"/>
            <w:vAlign w:val="bottom"/>
            <w:hideMark/>
          </w:tcPr>
          <w:p w:rsidRPr="005F30CB" w:rsidR="00761AE4" w:rsidP="00761AE4" w:rsidRDefault="00761AE4" w14:paraId="1FDBC10F"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Contribution from Other Local Authorities</w:t>
            </w:r>
          </w:p>
        </w:tc>
        <w:tc>
          <w:tcPr>
            <w:tcW w:w="1701" w:type="dxa"/>
            <w:tcBorders>
              <w:bottom w:val="nil"/>
            </w:tcBorders>
            <w:shd w:val="clear" w:color="auto" w:fill="auto"/>
            <w:noWrap/>
            <w:vAlign w:val="bottom"/>
            <w:hideMark/>
          </w:tcPr>
          <w:p w:rsidRPr="005F30CB" w:rsidR="00761AE4" w:rsidP="00761AE4" w:rsidRDefault="00761AE4" w14:paraId="4C8A1060" w14:textId="5A12EC58">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w:t>
            </w:r>
            <w:r w:rsidRPr="005F30CB" w:rsidR="005F30CB">
              <w:rPr>
                <w:rFonts w:eastAsia="Times New Roman" w:cs="Arial"/>
                <w:color w:val="000000"/>
                <w:sz w:val="20"/>
                <w:szCs w:val="20"/>
                <w:lang w:eastAsia="en-GB"/>
              </w:rPr>
              <w:t>1,921</w:t>
            </w:r>
            <w:r w:rsidRPr="005F30CB">
              <w:rPr>
                <w:rFonts w:eastAsia="Times New Roman" w:cs="Arial"/>
                <w:color w:val="000000"/>
                <w:sz w:val="20"/>
                <w:szCs w:val="20"/>
                <w:lang w:eastAsia="en-GB"/>
              </w:rPr>
              <w:t>)</w:t>
            </w:r>
          </w:p>
        </w:tc>
        <w:tc>
          <w:tcPr>
            <w:tcW w:w="1272" w:type="dxa"/>
            <w:tcBorders>
              <w:bottom w:val="nil"/>
            </w:tcBorders>
            <w:shd w:val="clear" w:color="auto" w:fill="auto"/>
            <w:noWrap/>
            <w:vAlign w:val="bottom"/>
            <w:hideMark/>
          </w:tcPr>
          <w:p w:rsidRPr="005F30CB" w:rsidR="00761AE4" w:rsidP="00761AE4" w:rsidRDefault="000F6C0B" w14:paraId="67A307FE"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tcBorders>
              <w:bottom w:val="nil"/>
            </w:tcBorders>
            <w:shd w:val="clear" w:color="auto" w:fill="auto"/>
            <w:vAlign w:val="bottom"/>
          </w:tcPr>
          <w:p w:rsidRPr="005F30CB" w:rsidR="00761AE4" w:rsidP="00761AE4" w:rsidRDefault="00761AE4" w14:paraId="7476824C"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hideMark/>
          </w:tcPr>
          <w:p w:rsidRPr="005F30CB" w:rsidR="00761AE4" w:rsidP="00761AE4" w:rsidRDefault="00CD4B6F" w14:paraId="01719473" w14:textId="46328DED">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w:t>
            </w:r>
            <w:r w:rsidRPr="005F30CB" w:rsidR="005F30CB">
              <w:rPr>
                <w:rFonts w:eastAsia="Times New Roman" w:cs="Arial"/>
                <w:color w:val="000000"/>
                <w:sz w:val="20"/>
                <w:szCs w:val="20"/>
                <w:lang w:eastAsia="en-GB"/>
              </w:rPr>
              <w:t>1,921</w:t>
            </w:r>
            <w:r w:rsidRPr="005F30CB" w:rsidR="00761AE4">
              <w:rPr>
                <w:rFonts w:eastAsia="Times New Roman" w:cs="Arial"/>
                <w:color w:val="000000"/>
                <w:sz w:val="20"/>
                <w:szCs w:val="20"/>
                <w:lang w:eastAsia="en-GB"/>
              </w:rPr>
              <w:t>)</w:t>
            </w:r>
          </w:p>
        </w:tc>
      </w:tr>
      <w:tr w:rsidRPr="00614894" w:rsidR="00761AE4" w:rsidTr="00740287" w14:paraId="0C3BCF17" w14:textId="77777777">
        <w:trPr>
          <w:trHeight w:val="233"/>
        </w:trPr>
        <w:tc>
          <w:tcPr>
            <w:tcW w:w="4013" w:type="dxa"/>
            <w:tcBorders>
              <w:bottom w:val="nil"/>
            </w:tcBorders>
            <w:shd w:val="clear" w:color="auto" w:fill="auto"/>
            <w:vAlign w:val="bottom"/>
          </w:tcPr>
          <w:p w:rsidRPr="005F30CB" w:rsidR="00761AE4" w:rsidP="00761AE4" w:rsidRDefault="00761AE4" w14:paraId="4F601098"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Interest Receivable</w:t>
            </w:r>
            <w:r w:rsidRPr="005F30CB" w:rsidR="004B7506">
              <w:rPr>
                <w:rFonts w:eastAsia="Times New Roman" w:cs="Arial"/>
                <w:color w:val="000000"/>
                <w:sz w:val="20"/>
                <w:szCs w:val="20"/>
                <w:lang w:eastAsia="en-GB"/>
              </w:rPr>
              <w:t xml:space="preserve"> </w:t>
            </w:r>
          </w:p>
        </w:tc>
        <w:tc>
          <w:tcPr>
            <w:tcW w:w="1701" w:type="dxa"/>
            <w:tcBorders>
              <w:bottom w:val="nil"/>
            </w:tcBorders>
            <w:shd w:val="clear" w:color="auto" w:fill="auto"/>
            <w:noWrap/>
            <w:vAlign w:val="bottom"/>
          </w:tcPr>
          <w:p w:rsidRPr="005F30CB" w:rsidR="00761AE4" w:rsidP="00761AE4" w:rsidRDefault="00761AE4" w14:paraId="336986A3" w14:textId="7CBA4533">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1272" w:type="dxa"/>
            <w:tcBorders>
              <w:bottom w:val="nil"/>
            </w:tcBorders>
            <w:shd w:val="clear" w:color="auto" w:fill="auto"/>
            <w:noWrap/>
            <w:vAlign w:val="bottom"/>
          </w:tcPr>
          <w:p w:rsidRPr="005F30CB" w:rsidR="00761AE4" w:rsidP="000F6C0B" w:rsidRDefault="006933C4" w14:paraId="725EF8DF"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tcBorders>
              <w:bottom w:val="nil"/>
            </w:tcBorders>
            <w:shd w:val="clear" w:color="auto" w:fill="auto"/>
            <w:vAlign w:val="bottom"/>
          </w:tcPr>
          <w:p w:rsidRPr="005F30CB" w:rsidR="00761AE4" w:rsidP="00761AE4" w:rsidRDefault="00761AE4" w14:paraId="407E852A"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tcPr>
          <w:p w:rsidRPr="005F30CB" w:rsidR="00761AE4" w:rsidP="00761AE4" w:rsidRDefault="006933C4" w14:paraId="50C7635D"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r>
      <w:tr w:rsidRPr="00614894" w:rsidR="00761AE4" w:rsidTr="00740287" w14:paraId="4E886D14" w14:textId="77777777">
        <w:trPr>
          <w:trHeight w:val="267"/>
        </w:trPr>
        <w:tc>
          <w:tcPr>
            <w:tcW w:w="4013" w:type="dxa"/>
            <w:tcBorders>
              <w:bottom w:val="nil"/>
            </w:tcBorders>
            <w:shd w:val="clear" w:color="auto" w:fill="auto"/>
            <w:vAlign w:val="bottom"/>
          </w:tcPr>
          <w:p w:rsidRPr="005F30CB" w:rsidR="00761AE4" w:rsidP="00761AE4" w:rsidRDefault="00761AE4" w14:paraId="6D8452D6" w14:textId="70281EC1">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 xml:space="preserve">Repayment of </w:t>
            </w:r>
            <w:r w:rsidRPr="005F30CB" w:rsidR="00CD4B6F">
              <w:rPr>
                <w:rFonts w:eastAsia="Times New Roman" w:cs="Arial"/>
                <w:color w:val="000000"/>
                <w:sz w:val="20"/>
                <w:szCs w:val="20"/>
                <w:lang w:eastAsia="en-GB"/>
              </w:rPr>
              <w:t xml:space="preserve">Prior Year </w:t>
            </w:r>
            <w:r w:rsidRPr="005F30CB">
              <w:rPr>
                <w:rFonts w:eastAsia="Times New Roman" w:cs="Arial"/>
                <w:color w:val="000000"/>
                <w:sz w:val="20"/>
                <w:szCs w:val="20"/>
                <w:lang w:eastAsia="en-GB"/>
              </w:rPr>
              <w:t xml:space="preserve">Underspend </w:t>
            </w:r>
          </w:p>
        </w:tc>
        <w:tc>
          <w:tcPr>
            <w:tcW w:w="1701" w:type="dxa"/>
            <w:tcBorders>
              <w:bottom w:val="nil"/>
            </w:tcBorders>
            <w:shd w:val="clear" w:color="auto" w:fill="auto"/>
            <w:noWrap/>
            <w:vAlign w:val="bottom"/>
          </w:tcPr>
          <w:p w:rsidRPr="005F30CB" w:rsidR="00761AE4" w:rsidP="00761AE4" w:rsidRDefault="00F30433" w14:paraId="086ABF67" w14:textId="6D4ED9FD">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1272" w:type="dxa"/>
            <w:tcBorders>
              <w:bottom w:val="nil"/>
            </w:tcBorders>
            <w:shd w:val="clear" w:color="auto" w:fill="auto"/>
            <w:noWrap/>
            <w:vAlign w:val="bottom"/>
          </w:tcPr>
          <w:p w:rsidRPr="005F30CB" w:rsidR="00761AE4" w:rsidP="000F6C0B" w:rsidRDefault="000F6C0B" w14:paraId="023D7603"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tcBorders>
              <w:bottom w:val="nil"/>
            </w:tcBorders>
            <w:shd w:val="clear" w:color="auto" w:fill="auto"/>
            <w:vAlign w:val="bottom"/>
          </w:tcPr>
          <w:p w:rsidRPr="005F30CB" w:rsidR="00761AE4" w:rsidP="00761AE4" w:rsidRDefault="00761AE4" w14:paraId="0AE50F49"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tcPr>
          <w:p w:rsidRPr="005F30CB" w:rsidR="00761AE4" w:rsidP="00761AE4" w:rsidRDefault="00F30433" w14:paraId="10880DDC" w14:textId="7B2D3012">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r>
      <w:tr w:rsidRPr="00614894" w:rsidR="00761AE4" w:rsidTr="00740287" w14:paraId="3DD0A04D" w14:textId="77777777">
        <w:trPr>
          <w:trHeight w:val="287"/>
        </w:trPr>
        <w:tc>
          <w:tcPr>
            <w:tcW w:w="4013" w:type="dxa"/>
            <w:tcBorders>
              <w:bottom w:val="nil"/>
            </w:tcBorders>
            <w:shd w:val="clear" w:color="auto" w:fill="auto"/>
            <w:vAlign w:val="bottom"/>
          </w:tcPr>
          <w:p w:rsidRPr="005F30CB" w:rsidR="00761AE4" w:rsidP="00761AE4" w:rsidRDefault="00761AE4" w14:paraId="62CD83C0"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Pensions Interest Payable</w:t>
            </w:r>
          </w:p>
        </w:tc>
        <w:tc>
          <w:tcPr>
            <w:tcW w:w="1701" w:type="dxa"/>
            <w:tcBorders>
              <w:bottom w:val="nil"/>
            </w:tcBorders>
            <w:shd w:val="clear" w:color="auto" w:fill="auto"/>
            <w:noWrap/>
            <w:vAlign w:val="bottom"/>
          </w:tcPr>
          <w:p w:rsidRPr="005F30CB" w:rsidR="00761AE4" w:rsidP="00F30433" w:rsidRDefault="00F30433" w14:paraId="01443911" w14:textId="344B0E93">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1272" w:type="dxa"/>
            <w:tcBorders>
              <w:bottom w:val="nil"/>
            </w:tcBorders>
            <w:shd w:val="clear" w:color="auto" w:fill="auto"/>
            <w:noWrap/>
            <w:vAlign w:val="bottom"/>
          </w:tcPr>
          <w:p w:rsidRPr="005F30CB" w:rsidR="00761AE4" w:rsidP="000F6C0B" w:rsidRDefault="005F30CB" w14:paraId="314DEC43" w14:textId="10AFAD52">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90</w:t>
            </w:r>
          </w:p>
        </w:tc>
        <w:tc>
          <w:tcPr>
            <w:tcW w:w="240" w:type="dxa"/>
            <w:tcBorders>
              <w:bottom w:val="nil"/>
            </w:tcBorders>
            <w:shd w:val="clear" w:color="auto" w:fill="auto"/>
            <w:vAlign w:val="bottom"/>
          </w:tcPr>
          <w:p w:rsidRPr="005F30CB" w:rsidR="00761AE4" w:rsidP="00761AE4" w:rsidRDefault="00761AE4" w14:paraId="156D8AD4"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tcPr>
          <w:p w:rsidRPr="005F30CB" w:rsidR="00761AE4" w:rsidP="00761AE4" w:rsidRDefault="005F30CB" w14:paraId="2673A6BE" w14:textId="00215BA4">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90</w:t>
            </w:r>
          </w:p>
        </w:tc>
      </w:tr>
      <w:tr w:rsidRPr="00614894" w:rsidR="00761AE4" w:rsidTr="00740287" w14:paraId="5113FF86" w14:textId="77777777">
        <w:trPr>
          <w:trHeight w:val="80"/>
        </w:trPr>
        <w:tc>
          <w:tcPr>
            <w:tcW w:w="4013" w:type="dxa"/>
            <w:tcBorders>
              <w:top w:val="nil"/>
              <w:bottom w:val="single" w:color="auto" w:sz="4" w:space="0"/>
            </w:tcBorders>
            <w:shd w:val="clear" w:color="auto" w:fill="auto"/>
            <w:noWrap/>
            <w:vAlign w:val="bottom"/>
            <w:hideMark/>
          </w:tcPr>
          <w:p w:rsidRPr="005F30CB" w:rsidR="00761AE4" w:rsidP="00761AE4" w:rsidRDefault="00761AE4" w14:paraId="07A280EE" w14:textId="77777777">
            <w:pPr>
              <w:spacing w:after="0" w:line="240" w:lineRule="auto"/>
              <w:rPr>
                <w:rFonts w:eastAsia="Times New Roman" w:cs="Arial"/>
                <w:color w:val="000000"/>
                <w:sz w:val="20"/>
                <w:szCs w:val="20"/>
                <w:lang w:eastAsia="en-GB"/>
              </w:rPr>
            </w:pPr>
          </w:p>
        </w:tc>
        <w:tc>
          <w:tcPr>
            <w:tcW w:w="1701" w:type="dxa"/>
            <w:tcBorders>
              <w:top w:val="nil"/>
              <w:bottom w:val="single" w:color="auto" w:sz="4" w:space="0"/>
            </w:tcBorders>
            <w:shd w:val="clear" w:color="auto" w:fill="auto"/>
            <w:noWrap/>
            <w:vAlign w:val="bottom"/>
            <w:hideMark/>
          </w:tcPr>
          <w:p w:rsidRPr="005F30CB" w:rsidR="00761AE4" w:rsidP="00761AE4" w:rsidRDefault="00761AE4" w14:paraId="0038E941" w14:textId="77777777">
            <w:pPr>
              <w:spacing w:after="0" w:line="240" w:lineRule="auto"/>
              <w:jc w:val="right"/>
              <w:rPr>
                <w:rFonts w:eastAsia="Times New Roman" w:cs="Arial"/>
                <w:color w:val="000000"/>
                <w:sz w:val="20"/>
                <w:szCs w:val="20"/>
                <w:lang w:eastAsia="en-GB"/>
              </w:rPr>
            </w:pPr>
          </w:p>
        </w:tc>
        <w:tc>
          <w:tcPr>
            <w:tcW w:w="1272" w:type="dxa"/>
            <w:tcBorders>
              <w:top w:val="nil"/>
              <w:bottom w:val="single" w:color="auto" w:sz="4" w:space="0"/>
            </w:tcBorders>
            <w:shd w:val="clear" w:color="auto" w:fill="auto"/>
            <w:noWrap/>
            <w:vAlign w:val="bottom"/>
            <w:hideMark/>
          </w:tcPr>
          <w:p w:rsidRPr="005F30CB" w:rsidR="00761AE4" w:rsidP="00761AE4" w:rsidRDefault="00761AE4" w14:paraId="22591E55" w14:textId="77777777">
            <w:pPr>
              <w:spacing w:after="0" w:line="240" w:lineRule="auto"/>
              <w:jc w:val="right"/>
              <w:rPr>
                <w:rFonts w:eastAsia="Times New Roman" w:cs="Arial"/>
                <w:color w:val="000000"/>
                <w:sz w:val="20"/>
                <w:szCs w:val="20"/>
                <w:lang w:eastAsia="en-GB"/>
              </w:rPr>
            </w:pPr>
          </w:p>
        </w:tc>
        <w:tc>
          <w:tcPr>
            <w:tcW w:w="240" w:type="dxa"/>
            <w:tcBorders>
              <w:top w:val="nil"/>
              <w:bottom w:val="single" w:color="auto" w:sz="4" w:space="0"/>
            </w:tcBorders>
            <w:shd w:val="clear" w:color="auto" w:fill="auto"/>
            <w:vAlign w:val="bottom"/>
          </w:tcPr>
          <w:p w:rsidRPr="005F30CB" w:rsidR="00761AE4" w:rsidP="00761AE4" w:rsidRDefault="00761AE4" w14:paraId="4FED73CD" w14:textId="77777777">
            <w:pPr>
              <w:spacing w:after="0" w:line="240" w:lineRule="auto"/>
              <w:jc w:val="right"/>
              <w:rPr>
                <w:rFonts w:eastAsia="Times New Roman" w:cs="Arial"/>
                <w:color w:val="000000"/>
                <w:sz w:val="20"/>
                <w:szCs w:val="20"/>
                <w:lang w:eastAsia="en-GB"/>
              </w:rPr>
            </w:pPr>
          </w:p>
        </w:tc>
        <w:tc>
          <w:tcPr>
            <w:tcW w:w="1890" w:type="dxa"/>
            <w:gridSpan w:val="2"/>
            <w:tcBorders>
              <w:top w:val="nil"/>
              <w:bottom w:val="single" w:color="auto" w:sz="4" w:space="0"/>
            </w:tcBorders>
            <w:shd w:val="clear" w:color="auto" w:fill="auto"/>
            <w:noWrap/>
            <w:vAlign w:val="bottom"/>
            <w:hideMark/>
          </w:tcPr>
          <w:p w:rsidRPr="005F30CB" w:rsidR="00761AE4" w:rsidP="00761AE4" w:rsidRDefault="00761AE4" w14:paraId="63806E4A"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761AE4" w:rsidTr="001C3662" w14:paraId="302C5383" w14:textId="77777777">
        <w:trPr>
          <w:trHeight w:val="300"/>
        </w:trPr>
        <w:tc>
          <w:tcPr>
            <w:tcW w:w="4013" w:type="dxa"/>
            <w:tcBorders>
              <w:top w:val="single" w:color="auto" w:sz="4" w:space="0"/>
              <w:bottom w:val="single" w:color="auto" w:sz="4" w:space="0"/>
            </w:tcBorders>
            <w:shd w:val="clear" w:color="auto" w:fill="DBE5F1" w:themeFill="accent1" w:themeFillTint="33"/>
            <w:noWrap/>
            <w:vAlign w:val="bottom"/>
            <w:hideMark/>
          </w:tcPr>
          <w:p w:rsidRPr="005F30CB" w:rsidR="00761AE4" w:rsidP="00761AE4" w:rsidRDefault="00761AE4" w14:paraId="073E8E13" w14:textId="77777777">
            <w:pPr>
              <w:spacing w:after="0" w:line="240" w:lineRule="auto"/>
              <w:rPr>
                <w:rFonts w:eastAsia="Times New Roman" w:cs="Arial"/>
                <w:b/>
                <w:bCs/>
                <w:color w:val="000000"/>
                <w:sz w:val="20"/>
                <w:szCs w:val="20"/>
                <w:lang w:eastAsia="en-GB"/>
              </w:rPr>
            </w:pPr>
            <w:r w:rsidRPr="005F30CB">
              <w:rPr>
                <w:rFonts w:eastAsia="Times New Roman" w:cs="Arial"/>
                <w:b/>
                <w:bCs/>
                <w:color w:val="000000"/>
                <w:sz w:val="20"/>
                <w:szCs w:val="20"/>
                <w:lang w:eastAsia="en-GB"/>
              </w:rPr>
              <w:t>(Surplus) or Deficit</w:t>
            </w:r>
            <w:r w:rsidRPr="005F30CB" w:rsidR="00273B55">
              <w:rPr>
                <w:rFonts w:eastAsia="Times New Roman" w:cs="Arial"/>
                <w:b/>
                <w:bCs/>
                <w:color w:val="000000"/>
                <w:sz w:val="20"/>
                <w:szCs w:val="20"/>
                <w:lang w:eastAsia="en-GB"/>
              </w:rPr>
              <w:t xml:space="preserve"> on the Provision of Services</w:t>
            </w:r>
          </w:p>
        </w:tc>
        <w:tc>
          <w:tcPr>
            <w:tcW w:w="1701" w:type="dxa"/>
            <w:tcBorders>
              <w:top w:val="single" w:color="auto" w:sz="4" w:space="0"/>
              <w:bottom w:val="single" w:color="auto" w:sz="4" w:space="0"/>
            </w:tcBorders>
            <w:shd w:val="clear" w:color="auto" w:fill="DBE5F1" w:themeFill="accent1" w:themeFillTint="33"/>
            <w:noWrap/>
            <w:vAlign w:val="bottom"/>
            <w:hideMark/>
          </w:tcPr>
          <w:p w:rsidRPr="005F30CB" w:rsidR="00761AE4" w:rsidP="00761AE4" w:rsidRDefault="005F30CB" w14:paraId="05DD32F1" w14:textId="30295CA4">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21</w:t>
            </w:r>
          </w:p>
        </w:tc>
        <w:tc>
          <w:tcPr>
            <w:tcW w:w="1272" w:type="dxa"/>
            <w:tcBorders>
              <w:top w:val="single" w:color="auto" w:sz="4" w:space="0"/>
              <w:bottom w:val="single" w:color="auto" w:sz="4" w:space="0"/>
            </w:tcBorders>
            <w:shd w:val="clear" w:color="auto" w:fill="DBE5F1" w:themeFill="accent1" w:themeFillTint="33"/>
            <w:noWrap/>
            <w:vAlign w:val="bottom"/>
            <w:hideMark/>
          </w:tcPr>
          <w:p w:rsidRPr="005F30CB" w:rsidR="00761AE4" w:rsidP="000F6C0B" w:rsidRDefault="005F30CB" w14:paraId="11F7F855" w14:textId="49492F38">
            <w:pPr>
              <w:spacing w:after="0" w:line="240" w:lineRule="auto"/>
              <w:ind w:right="-106"/>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3</w:t>
            </w:r>
            <w:r w:rsidR="00722D78">
              <w:rPr>
                <w:rFonts w:eastAsia="Times New Roman" w:cs="Arial"/>
                <w:b/>
                <w:bCs/>
                <w:color w:val="000000"/>
                <w:sz w:val="20"/>
                <w:szCs w:val="20"/>
                <w:lang w:eastAsia="en-GB"/>
              </w:rPr>
              <w:t>92</w:t>
            </w:r>
          </w:p>
        </w:tc>
        <w:tc>
          <w:tcPr>
            <w:tcW w:w="240" w:type="dxa"/>
            <w:tcBorders>
              <w:top w:val="single" w:color="auto" w:sz="4" w:space="0"/>
              <w:bottom w:val="single" w:color="auto" w:sz="4" w:space="0"/>
            </w:tcBorders>
            <w:shd w:val="clear" w:color="auto" w:fill="DBE5F1" w:themeFill="accent1" w:themeFillTint="33"/>
            <w:vAlign w:val="bottom"/>
          </w:tcPr>
          <w:p w:rsidRPr="005F30CB" w:rsidR="00761AE4" w:rsidP="00761AE4" w:rsidRDefault="00761AE4" w14:paraId="70FE91DE" w14:textId="77777777">
            <w:pPr>
              <w:spacing w:after="0" w:line="240" w:lineRule="auto"/>
              <w:jc w:val="right"/>
              <w:rPr>
                <w:rFonts w:eastAsia="Times New Roman" w:cs="Arial"/>
                <w:b/>
                <w:bCs/>
                <w:color w:val="000000"/>
                <w:sz w:val="20"/>
                <w:szCs w:val="20"/>
                <w:lang w:eastAsia="en-GB"/>
              </w:rPr>
            </w:pPr>
          </w:p>
        </w:tc>
        <w:tc>
          <w:tcPr>
            <w:tcW w:w="1890" w:type="dxa"/>
            <w:gridSpan w:val="2"/>
            <w:tcBorders>
              <w:top w:val="single" w:color="auto" w:sz="4" w:space="0"/>
              <w:bottom w:val="single" w:color="auto" w:sz="4" w:space="0"/>
            </w:tcBorders>
            <w:shd w:val="clear" w:color="auto" w:fill="DBE5F1" w:themeFill="accent1" w:themeFillTint="33"/>
            <w:noWrap/>
            <w:vAlign w:val="bottom"/>
            <w:hideMark/>
          </w:tcPr>
          <w:p w:rsidRPr="005F30CB" w:rsidR="00761AE4" w:rsidP="00761AE4" w:rsidRDefault="005F30CB" w14:paraId="712EEC4E" w14:textId="444AAC60">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4</w:t>
            </w:r>
            <w:r w:rsidR="00722D78">
              <w:rPr>
                <w:rFonts w:eastAsia="Times New Roman" w:cs="Arial"/>
                <w:b/>
                <w:bCs/>
                <w:color w:val="000000"/>
                <w:sz w:val="20"/>
                <w:szCs w:val="20"/>
                <w:lang w:eastAsia="en-GB"/>
              </w:rPr>
              <w:t>13</w:t>
            </w:r>
          </w:p>
        </w:tc>
      </w:tr>
      <w:tr w:rsidRPr="00614894" w:rsidR="00761AE4" w:rsidTr="00740287" w14:paraId="075F511E" w14:textId="77777777">
        <w:trPr>
          <w:trHeight w:val="300"/>
        </w:trPr>
        <w:tc>
          <w:tcPr>
            <w:tcW w:w="4013" w:type="dxa"/>
            <w:tcBorders>
              <w:top w:val="single" w:color="auto" w:sz="4" w:space="0"/>
            </w:tcBorders>
            <w:shd w:val="clear" w:color="auto" w:fill="auto"/>
            <w:noWrap/>
            <w:vAlign w:val="bottom"/>
            <w:hideMark/>
          </w:tcPr>
          <w:p w:rsidRPr="005F30CB" w:rsidR="00761AE4" w:rsidP="00761AE4" w:rsidRDefault="00761AE4" w14:paraId="2F8CA713" w14:textId="77777777">
            <w:pPr>
              <w:spacing w:after="0" w:line="240" w:lineRule="auto"/>
              <w:rPr>
                <w:rFonts w:eastAsia="Times New Roman" w:cs="Arial"/>
                <w:color w:val="000000"/>
                <w:sz w:val="20"/>
                <w:szCs w:val="20"/>
                <w:lang w:eastAsia="en-GB"/>
              </w:rPr>
            </w:pPr>
          </w:p>
        </w:tc>
        <w:tc>
          <w:tcPr>
            <w:tcW w:w="1701" w:type="dxa"/>
            <w:tcBorders>
              <w:top w:val="single" w:color="auto" w:sz="4" w:space="0"/>
            </w:tcBorders>
            <w:shd w:val="clear" w:color="auto" w:fill="auto"/>
            <w:noWrap/>
            <w:vAlign w:val="bottom"/>
            <w:hideMark/>
          </w:tcPr>
          <w:p w:rsidRPr="005F30CB" w:rsidR="00761AE4" w:rsidP="00761AE4" w:rsidRDefault="00761AE4" w14:paraId="41F25F9D" w14:textId="77777777">
            <w:pPr>
              <w:spacing w:after="0" w:line="240" w:lineRule="auto"/>
              <w:jc w:val="right"/>
              <w:rPr>
                <w:rFonts w:eastAsia="Times New Roman" w:cs="Arial"/>
                <w:color w:val="000000"/>
                <w:sz w:val="20"/>
                <w:szCs w:val="20"/>
                <w:lang w:eastAsia="en-GB"/>
              </w:rPr>
            </w:pPr>
          </w:p>
        </w:tc>
        <w:tc>
          <w:tcPr>
            <w:tcW w:w="1272" w:type="dxa"/>
            <w:tcBorders>
              <w:top w:val="single" w:color="auto" w:sz="4" w:space="0"/>
            </w:tcBorders>
            <w:shd w:val="clear" w:color="auto" w:fill="auto"/>
            <w:noWrap/>
            <w:vAlign w:val="bottom"/>
            <w:hideMark/>
          </w:tcPr>
          <w:p w:rsidRPr="005F30CB" w:rsidR="00761AE4" w:rsidP="00761AE4" w:rsidRDefault="00761AE4" w14:paraId="0A4AF077" w14:textId="77777777">
            <w:pPr>
              <w:spacing w:after="0" w:line="240" w:lineRule="auto"/>
              <w:jc w:val="right"/>
              <w:rPr>
                <w:rFonts w:eastAsia="Times New Roman" w:cs="Arial"/>
                <w:color w:val="000000"/>
                <w:sz w:val="20"/>
                <w:szCs w:val="20"/>
                <w:lang w:eastAsia="en-GB"/>
              </w:rPr>
            </w:pPr>
          </w:p>
        </w:tc>
        <w:tc>
          <w:tcPr>
            <w:tcW w:w="240" w:type="dxa"/>
            <w:tcBorders>
              <w:top w:val="single" w:color="auto" w:sz="4" w:space="0"/>
            </w:tcBorders>
            <w:shd w:val="clear" w:color="auto" w:fill="auto"/>
            <w:vAlign w:val="bottom"/>
          </w:tcPr>
          <w:p w:rsidRPr="005F30CB" w:rsidR="00761AE4" w:rsidP="00761AE4" w:rsidRDefault="00761AE4" w14:paraId="77F7C451" w14:textId="77777777">
            <w:pPr>
              <w:spacing w:after="0" w:line="240" w:lineRule="auto"/>
              <w:jc w:val="right"/>
              <w:rPr>
                <w:rFonts w:eastAsia="Times New Roman" w:cs="Arial"/>
                <w:color w:val="000000"/>
                <w:sz w:val="20"/>
                <w:szCs w:val="20"/>
                <w:lang w:eastAsia="en-GB"/>
              </w:rPr>
            </w:pPr>
          </w:p>
        </w:tc>
        <w:tc>
          <w:tcPr>
            <w:tcW w:w="1890" w:type="dxa"/>
            <w:gridSpan w:val="2"/>
            <w:tcBorders>
              <w:top w:val="single" w:color="auto" w:sz="4" w:space="0"/>
            </w:tcBorders>
            <w:shd w:val="clear" w:color="auto" w:fill="auto"/>
            <w:noWrap/>
            <w:vAlign w:val="bottom"/>
            <w:hideMark/>
          </w:tcPr>
          <w:p w:rsidRPr="005F30CB" w:rsidR="00761AE4" w:rsidP="00761AE4" w:rsidRDefault="00761AE4" w14:paraId="77335561"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761AE4" w:rsidTr="00740287" w14:paraId="0A55CBFC" w14:textId="77777777">
        <w:trPr>
          <w:trHeight w:val="300"/>
        </w:trPr>
        <w:tc>
          <w:tcPr>
            <w:tcW w:w="4013" w:type="dxa"/>
            <w:shd w:val="clear" w:color="auto" w:fill="auto"/>
            <w:vAlign w:val="bottom"/>
            <w:hideMark/>
          </w:tcPr>
          <w:p w:rsidRPr="005F30CB" w:rsidR="00761AE4" w:rsidP="00761AE4" w:rsidRDefault="00761AE4" w14:paraId="6EB7AE82" w14:textId="5142C05C">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Opening Gener</w:t>
            </w:r>
            <w:r w:rsidRPr="005F30CB" w:rsidR="00B345B7">
              <w:rPr>
                <w:rFonts w:eastAsia="Times New Roman" w:cs="Arial"/>
                <w:color w:val="000000"/>
                <w:sz w:val="20"/>
                <w:szCs w:val="20"/>
                <w:lang w:eastAsia="en-GB"/>
              </w:rPr>
              <w:t>al Fund Balance</w:t>
            </w:r>
            <w:r w:rsidRPr="005F30CB" w:rsidR="00CD4B6F">
              <w:rPr>
                <w:rFonts w:eastAsia="Times New Roman" w:cs="Arial"/>
                <w:color w:val="000000"/>
                <w:sz w:val="20"/>
                <w:szCs w:val="20"/>
                <w:lang w:eastAsia="en-GB"/>
              </w:rPr>
              <w:t xml:space="preserve"> </w:t>
            </w:r>
            <w:proofErr w:type="gramStart"/>
            <w:r w:rsidRPr="005F30CB" w:rsidR="00CD4B6F">
              <w:rPr>
                <w:rFonts w:eastAsia="Times New Roman" w:cs="Arial"/>
                <w:color w:val="000000"/>
                <w:sz w:val="20"/>
                <w:szCs w:val="20"/>
                <w:lang w:eastAsia="en-GB"/>
              </w:rPr>
              <w:t>at</w:t>
            </w:r>
            <w:proofErr w:type="gramEnd"/>
            <w:r w:rsidRPr="005F30CB" w:rsidR="00CD4B6F">
              <w:rPr>
                <w:rFonts w:eastAsia="Times New Roman" w:cs="Arial"/>
                <w:color w:val="000000"/>
                <w:sz w:val="20"/>
                <w:szCs w:val="20"/>
                <w:lang w:eastAsia="en-GB"/>
              </w:rPr>
              <w:t xml:space="preserve"> 31 March 202</w:t>
            </w:r>
            <w:r w:rsidRPr="005F30CB" w:rsidR="00F30433">
              <w:rPr>
                <w:rFonts w:eastAsia="Times New Roman" w:cs="Arial"/>
                <w:color w:val="000000"/>
                <w:sz w:val="20"/>
                <w:szCs w:val="20"/>
                <w:lang w:eastAsia="en-GB"/>
              </w:rPr>
              <w:t>2</w:t>
            </w:r>
          </w:p>
        </w:tc>
        <w:tc>
          <w:tcPr>
            <w:tcW w:w="1701" w:type="dxa"/>
            <w:shd w:val="clear" w:color="auto" w:fill="auto"/>
            <w:noWrap/>
            <w:vAlign w:val="bottom"/>
            <w:hideMark/>
          </w:tcPr>
          <w:p w:rsidRPr="005F30CB" w:rsidR="00761AE4" w:rsidP="00761AE4" w:rsidRDefault="0012332B" w14:paraId="17AE9D6D" w14:textId="07287422">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163</w:t>
            </w:r>
          </w:p>
        </w:tc>
        <w:tc>
          <w:tcPr>
            <w:tcW w:w="1272" w:type="dxa"/>
            <w:shd w:val="clear" w:color="auto" w:fill="auto"/>
            <w:noWrap/>
            <w:vAlign w:val="bottom"/>
            <w:hideMark/>
          </w:tcPr>
          <w:p w:rsidRPr="005F30CB" w:rsidR="00761AE4" w:rsidP="00761AE4" w:rsidRDefault="00761AE4" w14:paraId="20DA1D2A" w14:textId="77777777">
            <w:pPr>
              <w:spacing w:after="0" w:line="240" w:lineRule="auto"/>
              <w:jc w:val="right"/>
              <w:rPr>
                <w:rFonts w:eastAsia="Times New Roman" w:cs="Arial"/>
                <w:color w:val="000000"/>
                <w:sz w:val="20"/>
                <w:szCs w:val="20"/>
                <w:lang w:eastAsia="en-GB"/>
              </w:rPr>
            </w:pPr>
          </w:p>
        </w:tc>
        <w:tc>
          <w:tcPr>
            <w:tcW w:w="240" w:type="dxa"/>
            <w:shd w:val="clear" w:color="auto" w:fill="auto"/>
            <w:vAlign w:val="bottom"/>
          </w:tcPr>
          <w:p w:rsidRPr="005F30CB" w:rsidR="00761AE4" w:rsidP="00761AE4" w:rsidRDefault="00761AE4" w14:paraId="6A9DA16F" w14:textId="77777777">
            <w:pPr>
              <w:spacing w:after="0" w:line="240" w:lineRule="auto"/>
              <w:jc w:val="right"/>
              <w:rPr>
                <w:rFonts w:eastAsia="Times New Roman" w:cs="Arial"/>
                <w:color w:val="000000"/>
                <w:sz w:val="20"/>
                <w:szCs w:val="20"/>
                <w:lang w:eastAsia="en-GB"/>
              </w:rPr>
            </w:pPr>
          </w:p>
        </w:tc>
        <w:tc>
          <w:tcPr>
            <w:tcW w:w="1890" w:type="dxa"/>
            <w:gridSpan w:val="2"/>
            <w:shd w:val="clear" w:color="auto" w:fill="auto"/>
            <w:noWrap/>
            <w:vAlign w:val="bottom"/>
            <w:hideMark/>
          </w:tcPr>
          <w:p w:rsidRPr="005F30CB" w:rsidR="00761AE4" w:rsidP="00761AE4" w:rsidRDefault="00761AE4" w14:paraId="3C46FC9C"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761AE4" w:rsidTr="00740287" w14:paraId="7E77A64F" w14:textId="77777777">
        <w:trPr>
          <w:trHeight w:val="300"/>
        </w:trPr>
        <w:tc>
          <w:tcPr>
            <w:tcW w:w="4013" w:type="dxa"/>
            <w:tcBorders>
              <w:bottom w:val="nil"/>
            </w:tcBorders>
            <w:shd w:val="clear" w:color="auto" w:fill="auto"/>
            <w:vAlign w:val="bottom"/>
            <w:hideMark/>
          </w:tcPr>
          <w:p w:rsidRPr="005F30CB" w:rsidR="00761AE4" w:rsidP="00B345B7" w:rsidRDefault="005F30CB" w14:paraId="187F37D3" w14:textId="778B009E">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Less Deficit on General Fund Balance in Year</w:t>
            </w:r>
          </w:p>
        </w:tc>
        <w:tc>
          <w:tcPr>
            <w:tcW w:w="1701" w:type="dxa"/>
            <w:tcBorders>
              <w:bottom w:val="nil"/>
            </w:tcBorders>
            <w:shd w:val="clear" w:color="auto" w:fill="auto"/>
            <w:noWrap/>
            <w:vAlign w:val="bottom"/>
            <w:hideMark/>
          </w:tcPr>
          <w:p w:rsidRPr="005F30CB" w:rsidR="00761AE4" w:rsidP="00761AE4" w:rsidRDefault="00CD4B6F" w14:paraId="638D52BF" w14:textId="1E377E38">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w:t>
            </w:r>
            <w:r w:rsidRPr="005F30CB" w:rsidR="0012332B">
              <w:rPr>
                <w:rFonts w:eastAsia="Times New Roman" w:cs="Arial"/>
                <w:color w:val="000000"/>
                <w:sz w:val="20"/>
                <w:szCs w:val="20"/>
                <w:lang w:eastAsia="en-GB"/>
              </w:rPr>
              <w:t>21</w:t>
            </w:r>
            <w:r w:rsidRPr="005F30CB" w:rsidR="00F84325">
              <w:rPr>
                <w:rFonts w:eastAsia="Times New Roman" w:cs="Arial"/>
                <w:color w:val="000000"/>
                <w:sz w:val="20"/>
                <w:szCs w:val="20"/>
                <w:lang w:eastAsia="en-GB"/>
              </w:rPr>
              <w:t>)</w:t>
            </w:r>
          </w:p>
        </w:tc>
        <w:tc>
          <w:tcPr>
            <w:tcW w:w="1272" w:type="dxa"/>
            <w:tcBorders>
              <w:bottom w:val="nil"/>
            </w:tcBorders>
            <w:shd w:val="clear" w:color="auto" w:fill="auto"/>
            <w:noWrap/>
            <w:vAlign w:val="bottom"/>
            <w:hideMark/>
          </w:tcPr>
          <w:p w:rsidRPr="005F30CB" w:rsidR="00761AE4" w:rsidP="00761AE4" w:rsidRDefault="00761AE4" w14:paraId="3FAC52F6" w14:textId="77777777">
            <w:pPr>
              <w:spacing w:after="0" w:line="240" w:lineRule="auto"/>
              <w:jc w:val="right"/>
              <w:rPr>
                <w:rFonts w:eastAsia="Times New Roman" w:cs="Arial"/>
                <w:color w:val="000000"/>
                <w:sz w:val="20"/>
                <w:szCs w:val="20"/>
                <w:lang w:eastAsia="en-GB"/>
              </w:rPr>
            </w:pPr>
          </w:p>
        </w:tc>
        <w:tc>
          <w:tcPr>
            <w:tcW w:w="240" w:type="dxa"/>
            <w:tcBorders>
              <w:bottom w:val="nil"/>
            </w:tcBorders>
            <w:shd w:val="clear" w:color="auto" w:fill="auto"/>
            <w:vAlign w:val="bottom"/>
          </w:tcPr>
          <w:p w:rsidRPr="005F30CB" w:rsidR="00761AE4" w:rsidP="00761AE4" w:rsidRDefault="00761AE4" w14:paraId="50F77E95"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hideMark/>
          </w:tcPr>
          <w:p w:rsidRPr="005F30CB" w:rsidR="00761AE4" w:rsidP="00761AE4" w:rsidRDefault="00761AE4" w14:paraId="41C00474"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761AE4" w:rsidTr="00740287" w14:paraId="37150B13" w14:textId="77777777">
        <w:trPr>
          <w:trHeight w:val="80"/>
        </w:trPr>
        <w:tc>
          <w:tcPr>
            <w:tcW w:w="4013" w:type="dxa"/>
            <w:tcBorders>
              <w:top w:val="nil"/>
              <w:bottom w:val="single" w:color="auto" w:sz="4" w:space="0"/>
            </w:tcBorders>
            <w:shd w:val="clear" w:color="auto" w:fill="auto"/>
            <w:noWrap/>
            <w:vAlign w:val="bottom"/>
            <w:hideMark/>
          </w:tcPr>
          <w:p w:rsidRPr="005F30CB" w:rsidR="00761AE4" w:rsidP="00761AE4" w:rsidRDefault="00761AE4" w14:paraId="4F34328A" w14:textId="77777777">
            <w:pPr>
              <w:spacing w:after="0" w:line="240" w:lineRule="auto"/>
              <w:rPr>
                <w:rFonts w:eastAsia="Times New Roman" w:cs="Arial"/>
                <w:color w:val="000000"/>
                <w:sz w:val="20"/>
                <w:szCs w:val="20"/>
                <w:lang w:eastAsia="en-GB"/>
              </w:rPr>
            </w:pPr>
          </w:p>
        </w:tc>
        <w:tc>
          <w:tcPr>
            <w:tcW w:w="1701" w:type="dxa"/>
            <w:tcBorders>
              <w:top w:val="nil"/>
              <w:bottom w:val="single" w:color="auto" w:sz="4" w:space="0"/>
            </w:tcBorders>
            <w:shd w:val="clear" w:color="auto" w:fill="auto"/>
            <w:noWrap/>
            <w:vAlign w:val="bottom"/>
            <w:hideMark/>
          </w:tcPr>
          <w:p w:rsidRPr="005F30CB" w:rsidR="00761AE4" w:rsidP="00761AE4" w:rsidRDefault="00761AE4" w14:paraId="2083AC21" w14:textId="77777777">
            <w:pPr>
              <w:spacing w:after="0" w:line="240" w:lineRule="auto"/>
              <w:jc w:val="right"/>
              <w:rPr>
                <w:rFonts w:eastAsia="Times New Roman" w:cs="Arial"/>
                <w:color w:val="000000"/>
                <w:sz w:val="20"/>
                <w:szCs w:val="20"/>
                <w:lang w:eastAsia="en-GB"/>
              </w:rPr>
            </w:pPr>
          </w:p>
        </w:tc>
        <w:tc>
          <w:tcPr>
            <w:tcW w:w="1272" w:type="dxa"/>
            <w:tcBorders>
              <w:top w:val="nil"/>
              <w:bottom w:val="single" w:color="auto" w:sz="4" w:space="0"/>
            </w:tcBorders>
            <w:shd w:val="clear" w:color="auto" w:fill="auto"/>
            <w:noWrap/>
            <w:vAlign w:val="bottom"/>
            <w:hideMark/>
          </w:tcPr>
          <w:p w:rsidRPr="005F30CB" w:rsidR="00761AE4" w:rsidP="00761AE4" w:rsidRDefault="00761AE4" w14:paraId="766F3937" w14:textId="77777777">
            <w:pPr>
              <w:spacing w:after="0" w:line="240" w:lineRule="auto"/>
              <w:jc w:val="right"/>
              <w:rPr>
                <w:rFonts w:eastAsia="Times New Roman" w:cs="Arial"/>
                <w:color w:val="000000"/>
                <w:sz w:val="20"/>
                <w:szCs w:val="20"/>
                <w:lang w:eastAsia="en-GB"/>
              </w:rPr>
            </w:pPr>
          </w:p>
        </w:tc>
        <w:tc>
          <w:tcPr>
            <w:tcW w:w="240" w:type="dxa"/>
            <w:tcBorders>
              <w:top w:val="nil"/>
              <w:bottom w:val="single" w:color="auto" w:sz="4" w:space="0"/>
            </w:tcBorders>
            <w:shd w:val="clear" w:color="auto" w:fill="auto"/>
            <w:vAlign w:val="bottom"/>
          </w:tcPr>
          <w:p w:rsidRPr="005F30CB" w:rsidR="00761AE4" w:rsidP="00761AE4" w:rsidRDefault="00761AE4" w14:paraId="23F2DAE8" w14:textId="77777777">
            <w:pPr>
              <w:spacing w:after="0" w:line="240" w:lineRule="auto"/>
              <w:jc w:val="right"/>
              <w:rPr>
                <w:rFonts w:eastAsia="Times New Roman" w:cs="Arial"/>
                <w:color w:val="000000"/>
                <w:sz w:val="20"/>
                <w:szCs w:val="20"/>
                <w:lang w:eastAsia="en-GB"/>
              </w:rPr>
            </w:pPr>
          </w:p>
        </w:tc>
        <w:tc>
          <w:tcPr>
            <w:tcW w:w="1890" w:type="dxa"/>
            <w:gridSpan w:val="2"/>
            <w:tcBorders>
              <w:top w:val="nil"/>
              <w:bottom w:val="single" w:color="auto" w:sz="4" w:space="0"/>
            </w:tcBorders>
            <w:shd w:val="clear" w:color="auto" w:fill="auto"/>
            <w:noWrap/>
            <w:vAlign w:val="bottom"/>
            <w:hideMark/>
          </w:tcPr>
          <w:p w:rsidRPr="005F30CB" w:rsidR="00761AE4" w:rsidP="00761AE4" w:rsidRDefault="00761AE4" w14:paraId="36C4CDB9"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761AE4" w:rsidTr="001C3662" w14:paraId="38D93369" w14:textId="77777777">
        <w:trPr>
          <w:trHeight w:val="300"/>
        </w:trPr>
        <w:tc>
          <w:tcPr>
            <w:tcW w:w="4013" w:type="dxa"/>
            <w:tcBorders>
              <w:top w:val="single" w:color="auto" w:sz="4" w:space="0"/>
            </w:tcBorders>
            <w:shd w:val="clear" w:color="auto" w:fill="DBE5F1" w:themeFill="accent1" w:themeFillTint="33"/>
            <w:noWrap/>
            <w:vAlign w:val="bottom"/>
            <w:hideMark/>
          </w:tcPr>
          <w:p w:rsidRPr="005F30CB" w:rsidR="00761AE4" w:rsidP="00445A44" w:rsidRDefault="00761AE4" w14:paraId="3D569BB7" w14:textId="3517C44C">
            <w:pPr>
              <w:spacing w:after="0" w:line="240" w:lineRule="auto"/>
              <w:rPr>
                <w:rFonts w:eastAsia="Times New Roman" w:cs="Arial"/>
                <w:b/>
                <w:bCs/>
                <w:color w:val="000000"/>
                <w:sz w:val="20"/>
                <w:szCs w:val="20"/>
                <w:lang w:eastAsia="en-GB"/>
              </w:rPr>
            </w:pPr>
            <w:r w:rsidRPr="005F30CB">
              <w:rPr>
                <w:rFonts w:eastAsia="Times New Roman" w:cs="Arial"/>
                <w:b/>
                <w:bCs/>
                <w:color w:val="000000"/>
                <w:sz w:val="20"/>
                <w:szCs w:val="20"/>
                <w:lang w:eastAsia="en-GB"/>
              </w:rPr>
              <w:t xml:space="preserve">Closing General Fund Balance </w:t>
            </w:r>
            <w:proofErr w:type="gramStart"/>
            <w:r w:rsidRPr="005F30CB">
              <w:rPr>
                <w:rFonts w:eastAsia="Times New Roman" w:cs="Arial"/>
                <w:b/>
                <w:bCs/>
                <w:color w:val="000000"/>
                <w:sz w:val="20"/>
                <w:szCs w:val="20"/>
                <w:lang w:eastAsia="en-GB"/>
              </w:rPr>
              <w:t>at</w:t>
            </w:r>
            <w:proofErr w:type="gramEnd"/>
            <w:r w:rsidRPr="005F30CB">
              <w:rPr>
                <w:rFonts w:eastAsia="Times New Roman" w:cs="Arial"/>
                <w:b/>
                <w:bCs/>
                <w:color w:val="000000"/>
                <w:sz w:val="20"/>
                <w:szCs w:val="20"/>
                <w:lang w:eastAsia="en-GB"/>
              </w:rPr>
              <w:t xml:space="preserve"> 31 March </w:t>
            </w:r>
            <w:r w:rsidRPr="005F30CB" w:rsidR="00CD4B6F">
              <w:rPr>
                <w:rFonts w:eastAsia="Times New Roman" w:cs="Arial"/>
                <w:b/>
                <w:bCs/>
                <w:color w:val="000000"/>
                <w:sz w:val="20"/>
                <w:szCs w:val="20"/>
                <w:lang w:eastAsia="en-GB"/>
              </w:rPr>
              <w:t>202</w:t>
            </w:r>
            <w:r w:rsidRPr="005F30CB" w:rsidR="00F30433">
              <w:rPr>
                <w:rFonts w:eastAsia="Times New Roman" w:cs="Arial"/>
                <w:b/>
                <w:bCs/>
                <w:color w:val="000000"/>
                <w:sz w:val="20"/>
                <w:szCs w:val="20"/>
                <w:lang w:eastAsia="en-GB"/>
              </w:rPr>
              <w:t>3</w:t>
            </w:r>
          </w:p>
        </w:tc>
        <w:tc>
          <w:tcPr>
            <w:tcW w:w="1701" w:type="dxa"/>
            <w:tcBorders>
              <w:top w:val="single" w:color="auto" w:sz="4" w:space="0"/>
            </w:tcBorders>
            <w:shd w:val="clear" w:color="auto" w:fill="DBE5F1" w:themeFill="accent1" w:themeFillTint="33"/>
            <w:noWrap/>
            <w:vAlign w:val="bottom"/>
            <w:hideMark/>
          </w:tcPr>
          <w:p w:rsidRPr="005F30CB" w:rsidR="00761AE4" w:rsidP="00761AE4" w:rsidRDefault="0012332B" w14:paraId="3EA07DB8" w14:textId="44336C1C">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142</w:t>
            </w:r>
          </w:p>
        </w:tc>
        <w:tc>
          <w:tcPr>
            <w:tcW w:w="1272" w:type="dxa"/>
            <w:tcBorders>
              <w:top w:val="single" w:color="auto" w:sz="4" w:space="0"/>
            </w:tcBorders>
            <w:shd w:val="clear" w:color="auto" w:fill="DBE5F1" w:themeFill="accent1" w:themeFillTint="33"/>
            <w:noWrap/>
            <w:vAlign w:val="bottom"/>
            <w:hideMark/>
          </w:tcPr>
          <w:p w:rsidRPr="005F30CB" w:rsidR="00761AE4" w:rsidP="00761AE4" w:rsidRDefault="00761AE4" w14:paraId="2E03C533" w14:textId="77777777">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 </w:t>
            </w:r>
          </w:p>
        </w:tc>
        <w:tc>
          <w:tcPr>
            <w:tcW w:w="240" w:type="dxa"/>
            <w:tcBorders>
              <w:top w:val="single" w:color="auto" w:sz="4" w:space="0"/>
            </w:tcBorders>
            <w:shd w:val="clear" w:color="auto" w:fill="DBE5F1" w:themeFill="accent1" w:themeFillTint="33"/>
            <w:vAlign w:val="bottom"/>
          </w:tcPr>
          <w:p w:rsidRPr="005F30CB" w:rsidR="00761AE4" w:rsidP="00761AE4" w:rsidRDefault="00761AE4" w14:paraId="61B108B2" w14:textId="77777777">
            <w:pPr>
              <w:spacing w:after="0" w:line="240" w:lineRule="auto"/>
              <w:jc w:val="right"/>
              <w:rPr>
                <w:rFonts w:eastAsia="Times New Roman" w:cs="Arial"/>
                <w:b/>
                <w:bCs/>
                <w:color w:val="000000"/>
                <w:sz w:val="20"/>
                <w:szCs w:val="20"/>
                <w:lang w:eastAsia="en-GB"/>
              </w:rPr>
            </w:pPr>
          </w:p>
        </w:tc>
        <w:tc>
          <w:tcPr>
            <w:tcW w:w="1890" w:type="dxa"/>
            <w:gridSpan w:val="2"/>
            <w:tcBorders>
              <w:top w:val="single" w:color="auto" w:sz="4" w:space="0"/>
            </w:tcBorders>
            <w:shd w:val="clear" w:color="auto" w:fill="DBE5F1" w:themeFill="accent1" w:themeFillTint="33"/>
            <w:noWrap/>
            <w:vAlign w:val="bottom"/>
            <w:hideMark/>
          </w:tcPr>
          <w:p w:rsidRPr="005F30CB" w:rsidR="00761AE4" w:rsidP="00761AE4" w:rsidRDefault="00761AE4" w14:paraId="5FA78654" w14:textId="77777777">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 </w:t>
            </w:r>
          </w:p>
        </w:tc>
      </w:tr>
    </w:tbl>
    <w:p w:rsidR="00C52D90" w:rsidP="000746B4" w:rsidRDefault="00C52D90" w14:paraId="7F319192" w14:textId="2BAA8C38">
      <w:pPr>
        <w:pStyle w:val="Heading1"/>
      </w:pPr>
      <w:bookmarkStart w:name="_Toc485903699" w:id="13"/>
    </w:p>
    <w:p w:rsidRPr="00C52D90" w:rsidR="00C52D90" w:rsidP="00C52D90" w:rsidRDefault="00C52D90" w14:paraId="48D215B0" w14:textId="77777777">
      <w:pPr>
        <w:rPr>
          <w:lang w:val="en-US"/>
        </w:rPr>
      </w:pPr>
    </w:p>
    <w:p w:rsidR="005F30CB" w:rsidP="000746B4" w:rsidRDefault="005F30CB" w14:paraId="3B8F59EA" w14:textId="696709E5">
      <w:pPr>
        <w:pStyle w:val="Heading1"/>
      </w:pPr>
    </w:p>
    <w:p w:rsidR="005F30CB" w:rsidP="000746B4" w:rsidRDefault="005F30CB" w14:paraId="2072A66B" w14:textId="0A1FE66A">
      <w:pPr>
        <w:pStyle w:val="Heading1"/>
      </w:pPr>
    </w:p>
    <w:p w:rsidRPr="005F30CB" w:rsidR="005F30CB" w:rsidP="005F30CB" w:rsidRDefault="005F30CB" w14:paraId="04D71620" w14:textId="77777777">
      <w:pPr>
        <w:rPr>
          <w:lang w:val="en-US"/>
        </w:rPr>
      </w:pPr>
    </w:p>
    <w:p w:rsidRPr="006B6EAA" w:rsidR="00221949" w:rsidP="000746B4" w:rsidRDefault="003C4DCD" w14:paraId="7F961663" w14:textId="3E59CEDC">
      <w:pPr>
        <w:pStyle w:val="Heading1"/>
        <w:rPr>
          <w:sz w:val="24"/>
          <w:szCs w:val="24"/>
        </w:rPr>
      </w:pPr>
      <w:bookmarkStart w:name="_Toc158193764" w:id="14"/>
      <w:r>
        <w:lastRenderedPageBreak/>
        <w:t>VVC</w:t>
      </w:r>
      <w:r w:rsidRPr="006B6EAA" w:rsidR="006B6EAA">
        <w:t xml:space="preserve"> Adoption</w:t>
      </w:r>
      <w:r w:rsidRPr="006B6EAA" w:rsidR="00221949">
        <w:t xml:space="preserve"> </w:t>
      </w:r>
      <w:r w:rsidR="001E2079">
        <w:t>Collaborative</w:t>
      </w:r>
      <w:r w:rsidRPr="006B6EAA" w:rsidR="00221949">
        <w:t xml:space="preserve"> Expen</w:t>
      </w:r>
      <w:r w:rsidRPr="006B6EAA" w:rsidR="0062270A">
        <w:t>diture and Funding Analysis 202</w:t>
      </w:r>
      <w:r w:rsidRPr="006B6EAA" w:rsidR="00F30433">
        <w:t>1</w:t>
      </w:r>
      <w:r w:rsidRPr="006B6EAA" w:rsidR="00221949">
        <w:t>/</w:t>
      </w:r>
      <w:bookmarkEnd w:id="13"/>
      <w:r w:rsidRPr="006B6EAA" w:rsidR="003B64FE">
        <w:t>2</w:t>
      </w:r>
      <w:r w:rsidRPr="006B6EAA" w:rsidR="00F30433">
        <w:t>2</w:t>
      </w:r>
      <w:bookmarkEnd w:id="14"/>
      <w:r w:rsidRPr="006B6EAA" w:rsidR="00C61794">
        <w:t xml:space="preserve"> </w:t>
      </w:r>
    </w:p>
    <w:tbl>
      <w:tblPr>
        <w:tblW w:w="9116" w:type="dxa"/>
        <w:tblInd w:w="93"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4013"/>
        <w:gridCol w:w="1701"/>
        <w:gridCol w:w="1272"/>
        <w:gridCol w:w="240"/>
        <w:gridCol w:w="47"/>
        <w:gridCol w:w="1843"/>
      </w:tblGrid>
      <w:tr w:rsidRPr="00614894" w:rsidR="005F30CB" w:rsidTr="00C65763" w14:paraId="1BD7C02B" w14:textId="77777777">
        <w:trPr>
          <w:cantSplit/>
          <w:trHeight w:val="1551"/>
        </w:trPr>
        <w:tc>
          <w:tcPr>
            <w:tcW w:w="4013" w:type="dxa"/>
            <w:tcBorders>
              <w:bottom w:val="nil"/>
            </w:tcBorders>
            <w:shd w:val="clear" w:color="auto" w:fill="DBE5F1" w:themeFill="accent1" w:themeFillTint="33"/>
            <w:vAlign w:val="bottom"/>
            <w:hideMark/>
          </w:tcPr>
          <w:p w:rsidRPr="00772CBF" w:rsidR="005F30CB" w:rsidP="00C65763" w:rsidRDefault="005F30CB" w14:paraId="1080FF39" w14:textId="2490C9E1">
            <w:pPr>
              <w:spacing w:after="0" w:line="240" w:lineRule="auto"/>
              <w:rPr>
                <w:rFonts w:eastAsia="Times New Roman" w:cs="Arial"/>
                <w:b/>
                <w:bCs/>
                <w:color w:val="000000"/>
                <w:sz w:val="20"/>
                <w:szCs w:val="20"/>
                <w:lang w:eastAsia="en-GB"/>
              </w:rPr>
            </w:pPr>
            <w:r w:rsidRPr="00772CBF">
              <w:rPr>
                <w:rFonts w:eastAsia="Times New Roman" w:cs="Arial"/>
                <w:b/>
                <w:bCs/>
                <w:color w:val="000000"/>
                <w:sz w:val="20"/>
                <w:szCs w:val="20"/>
                <w:lang w:eastAsia="en-GB"/>
              </w:rPr>
              <w:t>Expenditure and Funding Analysis 202</w:t>
            </w:r>
            <w:r w:rsidR="00B6353C">
              <w:rPr>
                <w:rFonts w:eastAsia="Times New Roman" w:cs="Arial"/>
                <w:b/>
                <w:bCs/>
                <w:color w:val="000000"/>
                <w:sz w:val="20"/>
                <w:szCs w:val="20"/>
                <w:lang w:eastAsia="en-GB"/>
              </w:rPr>
              <w:t>1</w:t>
            </w:r>
            <w:r w:rsidRPr="00772CBF">
              <w:rPr>
                <w:rFonts w:eastAsia="Times New Roman" w:cs="Arial"/>
                <w:b/>
                <w:bCs/>
                <w:color w:val="000000"/>
                <w:sz w:val="20"/>
                <w:szCs w:val="20"/>
                <w:lang w:eastAsia="en-GB"/>
              </w:rPr>
              <w:t>/2</w:t>
            </w:r>
            <w:r w:rsidR="00B6353C">
              <w:rPr>
                <w:rFonts w:eastAsia="Times New Roman" w:cs="Arial"/>
                <w:b/>
                <w:bCs/>
                <w:color w:val="000000"/>
                <w:sz w:val="20"/>
                <w:szCs w:val="20"/>
                <w:lang w:eastAsia="en-GB"/>
              </w:rPr>
              <w:t>2</w:t>
            </w:r>
          </w:p>
          <w:p w:rsidRPr="00772CBF" w:rsidR="005F30CB" w:rsidP="00C65763" w:rsidRDefault="005F30CB" w14:paraId="3FCBDE43" w14:textId="77777777">
            <w:pPr>
              <w:spacing w:after="0" w:line="240" w:lineRule="auto"/>
              <w:rPr>
                <w:rFonts w:eastAsia="Times New Roman" w:cs="Arial"/>
                <w:b/>
                <w:bCs/>
                <w:color w:val="000000"/>
                <w:sz w:val="20"/>
                <w:szCs w:val="20"/>
                <w:lang w:eastAsia="en-GB"/>
              </w:rPr>
            </w:pPr>
          </w:p>
        </w:tc>
        <w:tc>
          <w:tcPr>
            <w:tcW w:w="1701" w:type="dxa"/>
            <w:tcBorders>
              <w:bottom w:val="nil"/>
            </w:tcBorders>
            <w:shd w:val="clear" w:color="auto" w:fill="DBE5F1" w:themeFill="accent1" w:themeFillTint="33"/>
            <w:vAlign w:val="bottom"/>
            <w:hideMark/>
          </w:tcPr>
          <w:p w:rsidRPr="00772CBF" w:rsidR="005F30CB" w:rsidP="00C65763" w:rsidRDefault="005F30CB" w14:paraId="0B1A7ECB"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Net Expenditure Chargeable to General Fund Balances</w:t>
            </w:r>
          </w:p>
        </w:tc>
        <w:tc>
          <w:tcPr>
            <w:tcW w:w="1272" w:type="dxa"/>
            <w:tcBorders>
              <w:bottom w:val="nil"/>
            </w:tcBorders>
            <w:shd w:val="clear" w:color="auto" w:fill="DBE5F1" w:themeFill="accent1" w:themeFillTint="33"/>
            <w:textDirection w:val="tbRl"/>
            <w:vAlign w:val="bottom"/>
            <w:hideMark/>
          </w:tcPr>
          <w:p w:rsidRPr="00772CBF" w:rsidR="005F30CB" w:rsidP="00C65763" w:rsidRDefault="005F30CB" w14:paraId="127EEC0B" w14:textId="77777777">
            <w:pPr>
              <w:spacing w:after="0" w:line="240" w:lineRule="auto"/>
              <w:ind w:left="113" w:right="113"/>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Adjustments Between Accounting and Funding Basis</w:t>
            </w:r>
          </w:p>
        </w:tc>
        <w:tc>
          <w:tcPr>
            <w:tcW w:w="287" w:type="dxa"/>
            <w:gridSpan w:val="2"/>
            <w:tcBorders>
              <w:bottom w:val="nil"/>
            </w:tcBorders>
            <w:shd w:val="clear" w:color="auto" w:fill="DBE5F1" w:themeFill="accent1" w:themeFillTint="33"/>
            <w:textDirection w:val="tbRl"/>
            <w:vAlign w:val="bottom"/>
          </w:tcPr>
          <w:p w:rsidRPr="00772CBF" w:rsidR="005F30CB" w:rsidP="00C65763" w:rsidRDefault="005F30CB" w14:paraId="2A32219D" w14:textId="77777777">
            <w:pPr>
              <w:spacing w:after="0" w:line="240" w:lineRule="auto"/>
              <w:ind w:left="113" w:right="113"/>
              <w:rPr>
                <w:rFonts w:eastAsia="Times New Roman" w:cs="Arial"/>
                <w:b/>
                <w:bCs/>
                <w:color w:val="000000"/>
                <w:sz w:val="20"/>
                <w:szCs w:val="20"/>
                <w:lang w:eastAsia="en-GB"/>
              </w:rPr>
            </w:pPr>
          </w:p>
        </w:tc>
        <w:tc>
          <w:tcPr>
            <w:tcW w:w="1843" w:type="dxa"/>
            <w:tcBorders>
              <w:bottom w:val="nil"/>
            </w:tcBorders>
            <w:shd w:val="clear" w:color="auto" w:fill="DBE5F1" w:themeFill="accent1" w:themeFillTint="33"/>
            <w:vAlign w:val="bottom"/>
            <w:hideMark/>
          </w:tcPr>
          <w:p w:rsidRPr="00772CBF" w:rsidR="005F30CB" w:rsidP="00C65763" w:rsidRDefault="005F30CB" w14:paraId="60403FAD"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Comprehensive Income and Expenditure </w:t>
            </w:r>
          </w:p>
        </w:tc>
      </w:tr>
      <w:tr w:rsidRPr="00614894" w:rsidR="005F30CB" w:rsidTr="00C65763" w14:paraId="4282C8EC" w14:textId="77777777">
        <w:trPr>
          <w:cantSplit/>
          <w:trHeight w:val="278"/>
        </w:trPr>
        <w:tc>
          <w:tcPr>
            <w:tcW w:w="4013" w:type="dxa"/>
            <w:tcBorders>
              <w:top w:val="nil"/>
              <w:bottom w:val="single" w:color="auto" w:sz="4" w:space="0"/>
            </w:tcBorders>
            <w:shd w:val="clear" w:color="auto" w:fill="DBE5F1" w:themeFill="accent1" w:themeFillTint="33"/>
            <w:noWrap/>
            <w:vAlign w:val="bottom"/>
            <w:hideMark/>
          </w:tcPr>
          <w:p w:rsidRPr="00772CBF" w:rsidR="005F30CB" w:rsidP="00C65763" w:rsidRDefault="005F30CB" w14:paraId="3EF3EFD0" w14:textId="77777777">
            <w:pPr>
              <w:spacing w:after="0" w:line="240" w:lineRule="auto"/>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w:t>
            </w:r>
          </w:p>
        </w:tc>
        <w:tc>
          <w:tcPr>
            <w:tcW w:w="1701" w:type="dxa"/>
            <w:tcBorders>
              <w:top w:val="nil"/>
              <w:bottom w:val="single" w:color="auto" w:sz="4" w:space="0"/>
            </w:tcBorders>
            <w:shd w:val="clear" w:color="auto" w:fill="DBE5F1" w:themeFill="accent1" w:themeFillTint="33"/>
            <w:noWrap/>
            <w:vAlign w:val="bottom"/>
            <w:hideMark/>
          </w:tcPr>
          <w:p w:rsidRPr="00772CBF" w:rsidR="005F30CB" w:rsidP="00C65763" w:rsidRDefault="005F30CB" w14:paraId="2F43CF43"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£'000</w:t>
            </w:r>
          </w:p>
        </w:tc>
        <w:tc>
          <w:tcPr>
            <w:tcW w:w="1272" w:type="dxa"/>
            <w:tcBorders>
              <w:top w:val="nil"/>
              <w:bottom w:val="single" w:color="auto" w:sz="4" w:space="0"/>
            </w:tcBorders>
            <w:shd w:val="clear" w:color="auto" w:fill="DBE5F1" w:themeFill="accent1" w:themeFillTint="33"/>
            <w:noWrap/>
            <w:vAlign w:val="bottom"/>
            <w:hideMark/>
          </w:tcPr>
          <w:p w:rsidRPr="00772CBF" w:rsidR="005F30CB" w:rsidP="00C65763" w:rsidRDefault="005F30CB" w14:paraId="577308DE"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£'000</w:t>
            </w:r>
          </w:p>
        </w:tc>
        <w:tc>
          <w:tcPr>
            <w:tcW w:w="240" w:type="dxa"/>
            <w:tcBorders>
              <w:top w:val="nil"/>
              <w:bottom w:val="single" w:color="auto" w:sz="4" w:space="0"/>
            </w:tcBorders>
            <w:shd w:val="clear" w:color="auto" w:fill="DBE5F1" w:themeFill="accent1" w:themeFillTint="33"/>
            <w:vAlign w:val="bottom"/>
          </w:tcPr>
          <w:p w:rsidRPr="00772CBF" w:rsidR="005F30CB" w:rsidP="00C65763" w:rsidRDefault="005F30CB" w14:paraId="73280A15" w14:textId="77777777">
            <w:pPr>
              <w:spacing w:after="0" w:line="240" w:lineRule="auto"/>
              <w:jc w:val="center"/>
              <w:rPr>
                <w:rFonts w:eastAsia="Times New Roman" w:cs="Arial"/>
                <w:b/>
                <w:bCs/>
                <w:color w:val="000000"/>
                <w:sz w:val="20"/>
                <w:szCs w:val="20"/>
                <w:lang w:eastAsia="en-GB"/>
              </w:rPr>
            </w:pPr>
          </w:p>
        </w:tc>
        <w:tc>
          <w:tcPr>
            <w:tcW w:w="1890" w:type="dxa"/>
            <w:gridSpan w:val="2"/>
            <w:tcBorders>
              <w:top w:val="nil"/>
              <w:bottom w:val="single" w:color="auto" w:sz="4" w:space="0"/>
            </w:tcBorders>
            <w:shd w:val="clear" w:color="auto" w:fill="DBE5F1" w:themeFill="accent1" w:themeFillTint="33"/>
            <w:noWrap/>
            <w:vAlign w:val="bottom"/>
            <w:hideMark/>
          </w:tcPr>
          <w:p w:rsidRPr="00772CBF" w:rsidR="005F30CB" w:rsidP="00C65763" w:rsidRDefault="005F30CB" w14:paraId="6217B4DF" w14:textId="77777777">
            <w:pPr>
              <w:spacing w:after="0" w:line="240" w:lineRule="auto"/>
              <w:jc w:val="center"/>
              <w:rPr>
                <w:rFonts w:eastAsia="Times New Roman" w:cs="Arial"/>
                <w:b/>
                <w:bCs/>
                <w:color w:val="000000"/>
                <w:sz w:val="20"/>
                <w:szCs w:val="20"/>
                <w:lang w:eastAsia="en-GB"/>
              </w:rPr>
            </w:pPr>
            <w:r w:rsidRPr="00772CBF">
              <w:rPr>
                <w:rFonts w:eastAsia="Times New Roman" w:cs="Arial"/>
                <w:b/>
                <w:bCs/>
                <w:color w:val="000000"/>
                <w:sz w:val="20"/>
                <w:szCs w:val="20"/>
                <w:lang w:eastAsia="en-GB"/>
              </w:rPr>
              <w:t xml:space="preserve">                   £'000</w:t>
            </w:r>
          </w:p>
        </w:tc>
      </w:tr>
      <w:tr w:rsidRPr="00614894" w:rsidR="005F30CB" w:rsidTr="00C65763" w14:paraId="0BB9E7A5" w14:textId="77777777">
        <w:trPr>
          <w:trHeight w:val="300"/>
        </w:trPr>
        <w:tc>
          <w:tcPr>
            <w:tcW w:w="4013" w:type="dxa"/>
            <w:tcBorders>
              <w:top w:val="single" w:color="auto" w:sz="4" w:space="0"/>
            </w:tcBorders>
            <w:shd w:val="clear" w:color="auto" w:fill="auto"/>
            <w:noWrap/>
            <w:vAlign w:val="bottom"/>
            <w:hideMark/>
          </w:tcPr>
          <w:p w:rsidRPr="00614894" w:rsidR="005F30CB" w:rsidP="00C65763" w:rsidRDefault="005F30CB" w14:paraId="2E62CD84" w14:textId="77777777">
            <w:pPr>
              <w:spacing w:after="0" w:line="240" w:lineRule="auto"/>
              <w:rPr>
                <w:rFonts w:eastAsia="Times New Roman" w:cs="Arial"/>
                <w:color w:val="000000"/>
                <w:sz w:val="20"/>
                <w:szCs w:val="20"/>
                <w:highlight w:val="yellow"/>
                <w:lang w:eastAsia="en-GB"/>
              </w:rPr>
            </w:pPr>
          </w:p>
        </w:tc>
        <w:tc>
          <w:tcPr>
            <w:tcW w:w="1701" w:type="dxa"/>
            <w:tcBorders>
              <w:top w:val="single" w:color="auto" w:sz="4" w:space="0"/>
            </w:tcBorders>
            <w:shd w:val="clear" w:color="auto" w:fill="auto"/>
            <w:noWrap/>
            <w:vAlign w:val="bottom"/>
            <w:hideMark/>
          </w:tcPr>
          <w:p w:rsidRPr="00614894" w:rsidR="005F30CB" w:rsidP="00C65763" w:rsidRDefault="005F30CB" w14:paraId="1F731B3E" w14:textId="77777777">
            <w:pPr>
              <w:spacing w:after="0" w:line="240" w:lineRule="auto"/>
              <w:rPr>
                <w:rFonts w:eastAsia="Times New Roman" w:cs="Arial"/>
                <w:color w:val="000000"/>
                <w:sz w:val="20"/>
                <w:szCs w:val="20"/>
                <w:highlight w:val="yellow"/>
                <w:lang w:eastAsia="en-GB"/>
              </w:rPr>
            </w:pPr>
          </w:p>
        </w:tc>
        <w:tc>
          <w:tcPr>
            <w:tcW w:w="1272" w:type="dxa"/>
            <w:tcBorders>
              <w:top w:val="single" w:color="auto" w:sz="4" w:space="0"/>
            </w:tcBorders>
            <w:shd w:val="clear" w:color="auto" w:fill="auto"/>
            <w:noWrap/>
            <w:vAlign w:val="bottom"/>
            <w:hideMark/>
          </w:tcPr>
          <w:p w:rsidRPr="005F30CB" w:rsidR="005F30CB" w:rsidP="00C65763" w:rsidRDefault="005F30CB" w14:paraId="1DE8EEA5" w14:textId="77777777">
            <w:pPr>
              <w:spacing w:after="0" w:line="240" w:lineRule="auto"/>
              <w:rPr>
                <w:rFonts w:eastAsia="Times New Roman" w:cs="Arial"/>
                <w:color w:val="000000"/>
                <w:sz w:val="20"/>
                <w:szCs w:val="20"/>
                <w:lang w:eastAsia="en-GB"/>
              </w:rPr>
            </w:pPr>
          </w:p>
        </w:tc>
        <w:tc>
          <w:tcPr>
            <w:tcW w:w="240" w:type="dxa"/>
            <w:tcBorders>
              <w:top w:val="single" w:color="auto" w:sz="4" w:space="0"/>
            </w:tcBorders>
            <w:shd w:val="clear" w:color="auto" w:fill="auto"/>
            <w:vAlign w:val="bottom"/>
          </w:tcPr>
          <w:p w:rsidRPr="005F30CB" w:rsidR="005F30CB" w:rsidP="00C65763" w:rsidRDefault="005F30CB" w14:paraId="0C17F09C" w14:textId="77777777">
            <w:pPr>
              <w:spacing w:after="0" w:line="240" w:lineRule="auto"/>
              <w:rPr>
                <w:rFonts w:eastAsia="Times New Roman" w:cs="Arial"/>
                <w:color w:val="000000"/>
                <w:sz w:val="20"/>
                <w:szCs w:val="20"/>
                <w:lang w:eastAsia="en-GB"/>
              </w:rPr>
            </w:pPr>
          </w:p>
        </w:tc>
        <w:tc>
          <w:tcPr>
            <w:tcW w:w="1890" w:type="dxa"/>
            <w:gridSpan w:val="2"/>
            <w:tcBorders>
              <w:top w:val="single" w:color="auto" w:sz="4" w:space="0"/>
            </w:tcBorders>
            <w:shd w:val="clear" w:color="auto" w:fill="auto"/>
            <w:noWrap/>
            <w:vAlign w:val="bottom"/>
            <w:hideMark/>
          </w:tcPr>
          <w:p w:rsidRPr="005F30CB" w:rsidR="005F30CB" w:rsidP="00C65763" w:rsidRDefault="005F30CB" w14:paraId="0D763AC9"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5F30CB" w:rsidTr="00C65763" w14:paraId="79505F56" w14:textId="77777777">
        <w:trPr>
          <w:trHeight w:val="300"/>
        </w:trPr>
        <w:tc>
          <w:tcPr>
            <w:tcW w:w="4013" w:type="dxa"/>
            <w:shd w:val="clear" w:color="auto" w:fill="auto"/>
            <w:noWrap/>
            <w:vAlign w:val="bottom"/>
            <w:hideMark/>
          </w:tcPr>
          <w:p w:rsidRPr="005F30CB" w:rsidR="005F30CB" w:rsidP="00C65763" w:rsidRDefault="005F30CB" w14:paraId="75F86860"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Core Budget</w:t>
            </w:r>
          </w:p>
        </w:tc>
        <w:tc>
          <w:tcPr>
            <w:tcW w:w="1701" w:type="dxa"/>
            <w:shd w:val="clear" w:color="auto" w:fill="auto"/>
            <w:noWrap/>
            <w:vAlign w:val="bottom"/>
          </w:tcPr>
          <w:p w:rsidRPr="005F30CB" w:rsidR="005F30CB" w:rsidP="00C65763" w:rsidRDefault="005F30CB" w14:paraId="55C916FF" w14:textId="2183218E">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1,</w:t>
            </w:r>
            <w:r>
              <w:rPr>
                <w:rFonts w:eastAsia="Times New Roman" w:cs="Arial"/>
                <w:color w:val="000000"/>
                <w:sz w:val="20"/>
                <w:szCs w:val="20"/>
                <w:lang w:eastAsia="en-GB"/>
              </w:rPr>
              <w:t>615</w:t>
            </w:r>
          </w:p>
        </w:tc>
        <w:tc>
          <w:tcPr>
            <w:tcW w:w="1272" w:type="dxa"/>
            <w:shd w:val="clear" w:color="auto" w:fill="auto"/>
            <w:noWrap/>
            <w:vAlign w:val="bottom"/>
          </w:tcPr>
          <w:p w:rsidRPr="005F30CB" w:rsidR="005F30CB" w:rsidP="00C65763" w:rsidRDefault="005F30CB" w14:paraId="1E8412AD" w14:textId="669173FC">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3</w:t>
            </w:r>
            <w:r w:rsidR="00722D78">
              <w:rPr>
                <w:rFonts w:eastAsia="Times New Roman" w:cs="Arial"/>
                <w:color w:val="000000"/>
                <w:sz w:val="20"/>
                <w:szCs w:val="20"/>
                <w:lang w:eastAsia="en-GB"/>
              </w:rPr>
              <w:t>47</w:t>
            </w:r>
          </w:p>
        </w:tc>
        <w:tc>
          <w:tcPr>
            <w:tcW w:w="240" w:type="dxa"/>
            <w:shd w:val="clear" w:color="auto" w:fill="auto"/>
            <w:vAlign w:val="bottom"/>
          </w:tcPr>
          <w:p w:rsidRPr="005F30CB" w:rsidR="005F30CB" w:rsidP="00C65763" w:rsidRDefault="005F30CB" w14:paraId="4BCD28C0" w14:textId="77777777">
            <w:pPr>
              <w:spacing w:after="0" w:line="240" w:lineRule="auto"/>
              <w:jc w:val="right"/>
              <w:rPr>
                <w:rFonts w:eastAsia="Times New Roman" w:cs="Arial"/>
                <w:color w:val="000000"/>
                <w:sz w:val="20"/>
                <w:szCs w:val="20"/>
                <w:lang w:eastAsia="en-GB"/>
              </w:rPr>
            </w:pPr>
          </w:p>
        </w:tc>
        <w:tc>
          <w:tcPr>
            <w:tcW w:w="1890" w:type="dxa"/>
            <w:gridSpan w:val="2"/>
            <w:shd w:val="clear" w:color="auto" w:fill="auto"/>
            <w:noWrap/>
            <w:vAlign w:val="bottom"/>
            <w:hideMark/>
          </w:tcPr>
          <w:p w:rsidRPr="005F30CB" w:rsidR="005F30CB" w:rsidP="00C65763" w:rsidRDefault="00722D78" w14:paraId="18A1268B" w14:textId="6A8B8EB2">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1,962</w:t>
            </w:r>
          </w:p>
        </w:tc>
      </w:tr>
      <w:tr w:rsidRPr="00614894" w:rsidR="005F30CB" w:rsidTr="00C65763" w14:paraId="00A5683E" w14:textId="77777777">
        <w:trPr>
          <w:trHeight w:val="300"/>
        </w:trPr>
        <w:tc>
          <w:tcPr>
            <w:tcW w:w="4013" w:type="dxa"/>
            <w:shd w:val="clear" w:color="auto" w:fill="auto"/>
            <w:noWrap/>
            <w:vAlign w:val="bottom"/>
            <w:hideMark/>
          </w:tcPr>
          <w:p w:rsidRPr="005F30CB" w:rsidR="005F30CB" w:rsidP="00C65763" w:rsidRDefault="005F30CB" w14:paraId="1B6652F7"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 xml:space="preserve">Regional Adoption Service Grant </w:t>
            </w:r>
          </w:p>
        </w:tc>
        <w:tc>
          <w:tcPr>
            <w:tcW w:w="1701" w:type="dxa"/>
            <w:shd w:val="clear" w:color="auto" w:fill="auto"/>
            <w:noWrap/>
            <w:vAlign w:val="bottom"/>
          </w:tcPr>
          <w:p w:rsidRPr="005F30CB" w:rsidR="005F30CB" w:rsidP="00C65763" w:rsidRDefault="005F30CB" w14:paraId="3F8996C9"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1272" w:type="dxa"/>
            <w:shd w:val="clear" w:color="auto" w:fill="auto"/>
            <w:noWrap/>
            <w:vAlign w:val="bottom"/>
          </w:tcPr>
          <w:p w:rsidRPr="005F30CB" w:rsidR="005F30CB" w:rsidP="00C65763" w:rsidRDefault="005F30CB" w14:paraId="1C6A7AAF"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shd w:val="clear" w:color="auto" w:fill="auto"/>
            <w:vAlign w:val="bottom"/>
          </w:tcPr>
          <w:p w:rsidRPr="005F30CB" w:rsidR="005F30CB" w:rsidP="00C65763" w:rsidRDefault="005F30CB" w14:paraId="3BF14100" w14:textId="77777777">
            <w:pPr>
              <w:spacing w:after="0" w:line="240" w:lineRule="auto"/>
              <w:jc w:val="right"/>
              <w:rPr>
                <w:rFonts w:eastAsia="Times New Roman" w:cs="Arial"/>
                <w:color w:val="000000"/>
                <w:sz w:val="20"/>
                <w:szCs w:val="20"/>
                <w:lang w:eastAsia="en-GB"/>
              </w:rPr>
            </w:pPr>
          </w:p>
        </w:tc>
        <w:tc>
          <w:tcPr>
            <w:tcW w:w="1890" w:type="dxa"/>
            <w:gridSpan w:val="2"/>
            <w:shd w:val="clear" w:color="auto" w:fill="auto"/>
            <w:noWrap/>
            <w:vAlign w:val="bottom"/>
          </w:tcPr>
          <w:p w:rsidRPr="005F30CB" w:rsidR="005F30CB" w:rsidP="00C65763" w:rsidRDefault="005F30CB" w14:paraId="31576409"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r>
      <w:tr w:rsidRPr="00614894" w:rsidR="005F30CB" w:rsidTr="00C65763" w14:paraId="0CCD1343" w14:textId="77777777">
        <w:trPr>
          <w:trHeight w:val="300"/>
        </w:trPr>
        <w:tc>
          <w:tcPr>
            <w:tcW w:w="4013" w:type="dxa"/>
            <w:shd w:val="clear" w:color="auto" w:fill="auto"/>
            <w:noWrap/>
            <w:vAlign w:val="bottom"/>
          </w:tcPr>
          <w:p w:rsidRPr="005F30CB" w:rsidR="005F30CB" w:rsidP="00C65763" w:rsidRDefault="005F30CB" w14:paraId="649CC420"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Utilisation of Previous Years Underspend</w:t>
            </w:r>
          </w:p>
        </w:tc>
        <w:tc>
          <w:tcPr>
            <w:tcW w:w="1701" w:type="dxa"/>
            <w:shd w:val="clear" w:color="auto" w:fill="auto"/>
            <w:noWrap/>
            <w:vAlign w:val="bottom"/>
          </w:tcPr>
          <w:p w:rsidRPr="005F30CB" w:rsidR="005F30CB" w:rsidP="00C65763" w:rsidRDefault="005F30CB" w14:paraId="6D1CE2E7" w14:textId="64FCE2D6">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37</w:t>
            </w:r>
          </w:p>
        </w:tc>
        <w:tc>
          <w:tcPr>
            <w:tcW w:w="1272" w:type="dxa"/>
            <w:shd w:val="clear" w:color="auto" w:fill="auto"/>
            <w:noWrap/>
            <w:vAlign w:val="bottom"/>
          </w:tcPr>
          <w:p w:rsidRPr="005F30CB" w:rsidR="005F30CB" w:rsidP="00C65763" w:rsidRDefault="005F30CB" w14:paraId="0839B713"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shd w:val="clear" w:color="auto" w:fill="auto"/>
            <w:vAlign w:val="bottom"/>
          </w:tcPr>
          <w:p w:rsidRPr="005F30CB" w:rsidR="005F30CB" w:rsidP="00C65763" w:rsidRDefault="005F30CB" w14:paraId="293110D2" w14:textId="77777777">
            <w:pPr>
              <w:spacing w:after="0" w:line="240" w:lineRule="auto"/>
              <w:jc w:val="right"/>
              <w:rPr>
                <w:rFonts w:eastAsia="Times New Roman" w:cs="Arial"/>
                <w:color w:val="000000"/>
                <w:sz w:val="20"/>
                <w:szCs w:val="20"/>
                <w:lang w:eastAsia="en-GB"/>
              </w:rPr>
            </w:pPr>
          </w:p>
        </w:tc>
        <w:tc>
          <w:tcPr>
            <w:tcW w:w="1890" w:type="dxa"/>
            <w:gridSpan w:val="2"/>
            <w:shd w:val="clear" w:color="auto" w:fill="auto"/>
            <w:noWrap/>
            <w:vAlign w:val="bottom"/>
          </w:tcPr>
          <w:p w:rsidRPr="005F30CB" w:rsidR="005F30CB" w:rsidP="00C65763" w:rsidRDefault="005F30CB" w14:paraId="5A5F159D" w14:textId="01C15DE4">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37</w:t>
            </w:r>
          </w:p>
        </w:tc>
      </w:tr>
      <w:tr w:rsidRPr="00614894" w:rsidR="005F30CB" w:rsidTr="00C65763" w14:paraId="018C5AF5" w14:textId="77777777">
        <w:trPr>
          <w:trHeight w:val="300"/>
        </w:trPr>
        <w:tc>
          <w:tcPr>
            <w:tcW w:w="4013" w:type="dxa"/>
            <w:tcBorders>
              <w:top w:val="nil"/>
              <w:bottom w:val="single" w:color="auto" w:sz="4" w:space="0"/>
            </w:tcBorders>
            <w:shd w:val="clear" w:color="auto" w:fill="auto"/>
            <w:noWrap/>
            <w:vAlign w:val="bottom"/>
            <w:hideMark/>
          </w:tcPr>
          <w:p w:rsidRPr="005F30CB" w:rsidR="005F30CB" w:rsidP="00C65763" w:rsidRDefault="005F30CB" w14:paraId="3268A20B" w14:textId="77777777">
            <w:pPr>
              <w:spacing w:after="0" w:line="240" w:lineRule="auto"/>
              <w:rPr>
                <w:rFonts w:eastAsia="Times New Roman" w:cs="Arial"/>
                <w:color w:val="000000"/>
                <w:sz w:val="20"/>
                <w:szCs w:val="20"/>
                <w:lang w:eastAsia="en-GB"/>
              </w:rPr>
            </w:pPr>
          </w:p>
        </w:tc>
        <w:tc>
          <w:tcPr>
            <w:tcW w:w="1701" w:type="dxa"/>
            <w:tcBorders>
              <w:top w:val="nil"/>
              <w:bottom w:val="single" w:color="auto" w:sz="4" w:space="0"/>
            </w:tcBorders>
            <w:shd w:val="clear" w:color="auto" w:fill="auto"/>
            <w:noWrap/>
            <w:vAlign w:val="bottom"/>
          </w:tcPr>
          <w:p w:rsidRPr="005F30CB" w:rsidR="005F30CB" w:rsidP="00C65763" w:rsidRDefault="005F30CB" w14:paraId="731D5C61" w14:textId="77777777">
            <w:pPr>
              <w:spacing w:after="0" w:line="240" w:lineRule="auto"/>
              <w:jc w:val="right"/>
              <w:rPr>
                <w:rFonts w:eastAsia="Times New Roman" w:cs="Arial"/>
                <w:color w:val="000000"/>
                <w:sz w:val="20"/>
                <w:szCs w:val="20"/>
                <w:lang w:eastAsia="en-GB"/>
              </w:rPr>
            </w:pPr>
          </w:p>
        </w:tc>
        <w:tc>
          <w:tcPr>
            <w:tcW w:w="1272" w:type="dxa"/>
            <w:tcBorders>
              <w:top w:val="nil"/>
              <w:bottom w:val="single" w:color="auto" w:sz="4" w:space="0"/>
            </w:tcBorders>
            <w:shd w:val="clear" w:color="auto" w:fill="auto"/>
            <w:noWrap/>
            <w:vAlign w:val="bottom"/>
            <w:hideMark/>
          </w:tcPr>
          <w:p w:rsidRPr="005F30CB" w:rsidR="005F30CB" w:rsidP="00C65763" w:rsidRDefault="005F30CB" w14:paraId="486DF404" w14:textId="77777777">
            <w:pPr>
              <w:spacing w:after="0" w:line="240" w:lineRule="auto"/>
              <w:jc w:val="right"/>
              <w:rPr>
                <w:rFonts w:eastAsia="Times New Roman" w:cs="Arial"/>
                <w:color w:val="000000"/>
                <w:sz w:val="20"/>
                <w:szCs w:val="20"/>
                <w:lang w:eastAsia="en-GB"/>
              </w:rPr>
            </w:pPr>
          </w:p>
        </w:tc>
        <w:tc>
          <w:tcPr>
            <w:tcW w:w="240" w:type="dxa"/>
            <w:tcBorders>
              <w:top w:val="nil"/>
              <w:bottom w:val="single" w:color="auto" w:sz="4" w:space="0"/>
            </w:tcBorders>
            <w:shd w:val="clear" w:color="auto" w:fill="auto"/>
            <w:vAlign w:val="bottom"/>
          </w:tcPr>
          <w:p w:rsidRPr="005F30CB" w:rsidR="005F30CB" w:rsidP="00C65763" w:rsidRDefault="005F30CB" w14:paraId="3D37242E" w14:textId="77777777">
            <w:pPr>
              <w:spacing w:after="0" w:line="240" w:lineRule="auto"/>
              <w:jc w:val="right"/>
              <w:rPr>
                <w:rFonts w:eastAsia="Times New Roman" w:cs="Arial"/>
                <w:color w:val="000000"/>
                <w:sz w:val="20"/>
                <w:szCs w:val="20"/>
                <w:lang w:eastAsia="en-GB"/>
              </w:rPr>
            </w:pPr>
          </w:p>
        </w:tc>
        <w:tc>
          <w:tcPr>
            <w:tcW w:w="1890" w:type="dxa"/>
            <w:gridSpan w:val="2"/>
            <w:tcBorders>
              <w:top w:val="nil"/>
              <w:bottom w:val="single" w:color="auto" w:sz="4" w:space="0"/>
            </w:tcBorders>
            <w:shd w:val="clear" w:color="auto" w:fill="auto"/>
            <w:noWrap/>
            <w:vAlign w:val="bottom"/>
            <w:hideMark/>
          </w:tcPr>
          <w:p w:rsidRPr="005F30CB" w:rsidR="005F30CB" w:rsidP="00C65763" w:rsidRDefault="005F30CB" w14:paraId="0773D3AD"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5F30CB" w:rsidTr="00C65763" w14:paraId="28C97E76" w14:textId="77777777">
        <w:trPr>
          <w:trHeight w:val="300"/>
        </w:trPr>
        <w:tc>
          <w:tcPr>
            <w:tcW w:w="4013" w:type="dxa"/>
            <w:tcBorders>
              <w:top w:val="single" w:color="auto" w:sz="4" w:space="0"/>
              <w:bottom w:val="single" w:color="auto" w:sz="4" w:space="0"/>
            </w:tcBorders>
            <w:shd w:val="clear" w:color="auto" w:fill="DBE5F1" w:themeFill="accent1" w:themeFillTint="33"/>
            <w:noWrap/>
            <w:vAlign w:val="bottom"/>
            <w:hideMark/>
          </w:tcPr>
          <w:p w:rsidRPr="005F30CB" w:rsidR="005F30CB" w:rsidP="00C65763" w:rsidRDefault="005F30CB" w14:paraId="008A2AF2" w14:textId="77777777">
            <w:pPr>
              <w:spacing w:after="0" w:line="240" w:lineRule="auto"/>
              <w:rPr>
                <w:rFonts w:eastAsia="Times New Roman" w:cs="Arial"/>
                <w:b/>
                <w:bCs/>
                <w:color w:val="000000"/>
                <w:sz w:val="20"/>
                <w:szCs w:val="20"/>
                <w:lang w:eastAsia="en-GB"/>
              </w:rPr>
            </w:pPr>
            <w:r w:rsidRPr="005F30CB">
              <w:rPr>
                <w:rFonts w:eastAsia="Times New Roman" w:cs="Arial"/>
                <w:b/>
                <w:bCs/>
                <w:color w:val="000000"/>
                <w:sz w:val="20"/>
                <w:szCs w:val="20"/>
                <w:lang w:eastAsia="en-GB"/>
              </w:rPr>
              <w:t>Net Cost of Services</w:t>
            </w:r>
          </w:p>
        </w:tc>
        <w:tc>
          <w:tcPr>
            <w:tcW w:w="1701" w:type="dxa"/>
            <w:tcBorders>
              <w:top w:val="single" w:color="auto" w:sz="4" w:space="0"/>
              <w:bottom w:val="single" w:color="auto" w:sz="4" w:space="0"/>
            </w:tcBorders>
            <w:shd w:val="clear" w:color="auto" w:fill="DBE5F1" w:themeFill="accent1" w:themeFillTint="33"/>
            <w:noWrap/>
            <w:vAlign w:val="bottom"/>
          </w:tcPr>
          <w:p w:rsidRPr="005F30CB" w:rsidR="005F30CB" w:rsidP="00C65763" w:rsidRDefault="005F30CB" w14:paraId="4F9E3365" w14:textId="0D1A318F">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1,</w:t>
            </w:r>
            <w:r>
              <w:rPr>
                <w:rFonts w:eastAsia="Times New Roman" w:cs="Arial"/>
                <w:b/>
                <w:bCs/>
                <w:color w:val="000000"/>
                <w:sz w:val="20"/>
                <w:szCs w:val="20"/>
                <w:lang w:eastAsia="en-GB"/>
              </w:rPr>
              <w:t>652</w:t>
            </w:r>
          </w:p>
        </w:tc>
        <w:tc>
          <w:tcPr>
            <w:tcW w:w="1272" w:type="dxa"/>
            <w:tcBorders>
              <w:top w:val="single" w:color="auto" w:sz="4" w:space="0"/>
              <w:bottom w:val="single" w:color="auto" w:sz="4" w:space="0"/>
            </w:tcBorders>
            <w:shd w:val="clear" w:color="auto" w:fill="DBE5F1" w:themeFill="accent1" w:themeFillTint="33"/>
            <w:noWrap/>
            <w:vAlign w:val="bottom"/>
            <w:hideMark/>
          </w:tcPr>
          <w:p w:rsidRPr="005F30CB" w:rsidR="005F30CB" w:rsidP="00C65763" w:rsidRDefault="005F30CB" w14:paraId="032698D9" w14:textId="59334EE5">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3</w:t>
            </w:r>
            <w:r w:rsidR="00722D78">
              <w:rPr>
                <w:rFonts w:eastAsia="Times New Roman" w:cs="Arial"/>
                <w:b/>
                <w:bCs/>
                <w:color w:val="000000"/>
                <w:sz w:val="20"/>
                <w:szCs w:val="20"/>
                <w:lang w:eastAsia="en-GB"/>
              </w:rPr>
              <w:t>47</w:t>
            </w:r>
          </w:p>
        </w:tc>
        <w:tc>
          <w:tcPr>
            <w:tcW w:w="240" w:type="dxa"/>
            <w:tcBorders>
              <w:top w:val="single" w:color="auto" w:sz="4" w:space="0"/>
              <w:bottom w:val="single" w:color="auto" w:sz="4" w:space="0"/>
            </w:tcBorders>
            <w:shd w:val="clear" w:color="auto" w:fill="DBE5F1" w:themeFill="accent1" w:themeFillTint="33"/>
            <w:vAlign w:val="bottom"/>
          </w:tcPr>
          <w:p w:rsidRPr="005F30CB" w:rsidR="005F30CB" w:rsidP="00C65763" w:rsidRDefault="005F30CB" w14:paraId="7AC27E51" w14:textId="77777777">
            <w:pPr>
              <w:spacing w:after="0" w:line="240" w:lineRule="auto"/>
              <w:jc w:val="center"/>
              <w:rPr>
                <w:rFonts w:eastAsia="Times New Roman" w:cs="Arial"/>
                <w:b/>
                <w:bCs/>
                <w:color w:val="000000"/>
                <w:sz w:val="20"/>
                <w:szCs w:val="20"/>
                <w:lang w:eastAsia="en-GB"/>
              </w:rPr>
            </w:pPr>
          </w:p>
        </w:tc>
        <w:tc>
          <w:tcPr>
            <w:tcW w:w="1890" w:type="dxa"/>
            <w:gridSpan w:val="2"/>
            <w:tcBorders>
              <w:top w:val="single" w:color="auto" w:sz="4" w:space="0"/>
              <w:bottom w:val="single" w:color="auto" w:sz="4" w:space="0"/>
            </w:tcBorders>
            <w:shd w:val="clear" w:color="auto" w:fill="DBE5F1" w:themeFill="accent1" w:themeFillTint="33"/>
            <w:noWrap/>
            <w:vAlign w:val="bottom"/>
            <w:hideMark/>
          </w:tcPr>
          <w:p w:rsidRPr="005F30CB" w:rsidR="005F30CB" w:rsidP="00C65763" w:rsidRDefault="00722D78" w14:paraId="1274E031" w14:textId="50DF6173">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1,999</w:t>
            </w:r>
          </w:p>
        </w:tc>
      </w:tr>
      <w:tr w:rsidRPr="00614894" w:rsidR="005F30CB" w:rsidTr="00C65763" w14:paraId="6CBDCF8B" w14:textId="77777777">
        <w:trPr>
          <w:trHeight w:val="300"/>
        </w:trPr>
        <w:tc>
          <w:tcPr>
            <w:tcW w:w="4013" w:type="dxa"/>
            <w:tcBorders>
              <w:top w:val="single" w:color="auto" w:sz="4" w:space="0"/>
            </w:tcBorders>
            <w:shd w:val="clear" w:color="auto" w:fill="auto"/>
            <w:noWrap/>
            <w:vAlign w:val="bottom"/>
            <w:hideMark/>
          </w:tcPr>
          <w:p w:rsidRPr="005F30CB" w:rsidR="005F30CB" w:rsidP="00C65763" w:rsidRDefault="005F30CB" w14:paraId="5505335B" w14:textId="77777777">
            <w:pPr>
              <w:spacing w:after="0" w:line="240" w:lineRule="auto"/>
              <w:rPr>
                <w:rFonts w:eastAsia="Times New Roman" w:cs="Arial"/>
                <w:b/>
                <w:color w:val="000000"/>
                <w:sz w:val="20"/>
                <w:szCs w:val="20"/>
                <w:u w:val="single"/>
                <w:lang w:eastAsia="en-GB"/>
              </w:rPr>
            </w:pPr>
          </w:p>
          <w:p w:rsidRPr="005F30CB" w:rsidR="005F30CB" w:rsidP="00C65763" w:rsidRDefault="005F30CB" w14:paraId="439016A1" w14:textId="77777777">
            <w:pPr>
              <w:spacing w:after="0" w:line="240" w:lineRule="auto"/>
              <w:rPr>
                <w:rFonts w:eastAsia="Times New Roman" w:cs="Arial"/>
                <w:b/>
                <w:color w:val="000000"/>
                <w:sz w:val="20"/>
                <w:szCs w:val="20"/>
                <w:u w:val="single"/>
                <w:lang w:eastAsia="en-GB"/>
              </w:rPr>
            </w:pPr>
            <w:r w:rsidRPr="005F30CB">
              <w:rPr>
                <w:rFonts w:eastAsia="Times New Roman" w:cs="Arial"/>
                <w:b/>
                <w:color w:val="000000"/>
                <w:sz w:val="20"/>
                <w:szCs w:val="20"/>
                <w:u w:val="single"/>
                <w:lang w:eastAsia="en-GB"/>
              </w:rPr>
              <w:t>Financing and Investment Income and  Expenditure</w:t>
            </w:r>
          </w:p>
        </w:tc>
        <w:tc>
          <w:tcPr>
            <w:tcW w:w="1701" w:type="dxa"/>
            <w:tcBorders>
              <w:top w:val="single" w:color="auto" w:sz="4" w:space="0"/>
            </w:tcBorders>
            <w:shd w:val="clear" w:color="auto" w:fill="auto"/>
            <w:noWrap/>
            <w:vAlign w:val="bottom"/>
            <w:hideMark/>
          </w:tcPr>
          <w:p w:rsidRPr="005F30CB" w:rsidR="005F30CB" w:rsidP="00C65763" w:rsidRDefault="005F30CB" w14:paraId="09C0FFE6" w14:textId="77777777">
            <w:pPr>
              <w:spacing w:after="0" w:line="240" w:lineRule="auto"/>
              <w:jc w:val="right"/>
              <w:rPr>
                <w:rFonts w:eastAsia="Times New Roman" w:cs="Arial"/>
                <w:color w:val="000000"/>
                <w:sz w:val="20"/>
                <w:szCs w:val="20"/>
                <w:lang w:eastAsia="en-GB"/>
              </w:rPr>
            </w:pPr>
          </w:p>
        </w:tc>
        <w:tc>
          <w:tcPr>
            <w:tcW w:w="1272" w:type="dxa"/>
            <w:tcBorders>
              <w:top w:val="single" w:color="auto" w:sz="4" w:space="0"/>
            </w:tcBorders>
            <w:shd w:val="clear" w:color="auto" w:fill="auto"/>
            <w:noWrap/>
            <w:vAlign w:val="bottom"/>
            <w:hideMark/>
          </w:tcPr>
          <w:p w:rsidRPr="005F30CB" w:rsidR="005F30CB" w:rsidP="00C65763" w:rsidRDefault="005F30CB" w14:paraId="4C25D320" w14:textId="77777777">
            <w:pPr>
              <w:spacing w:after="0" w:line="240" w:lineRule="auto"/>
              <w:jc w:val="right"/>
              <w:rPr>
                <w:rFonts w:eastAsia="Times New Roman" w:cs="Arial"/>
                <w:color w:val="000000"/>
                <w:sz w:val="20"/>
                <w:szCs w:val="20"/>
                <w:lang w:eastAsia="en-GB"/>
              </w:rPr>
            </w:pPr>
          </w:p>
        </w:tc>
        <w:tc>
          <w:tcPr>
            <w:tcW w:w="240" w:type="dxa"/>
            <w:tcBorders>
              <w:top w:val="single" w:color="auto" w:sz="4" w:space="0"/>
            </w:tcBorders>
            <w:shd w:val="clear" w:color="auto" w:fill="auto"/>
            <w:vAlign w:val="bottom"/>
          </w:tcPr>
          <w:p w:rsidRPr="005F30CB" w:rsidR="005F30CB" w:rsidP="00C65763" w:rsidRDefault="005F30CB" w14:paraId="622151C8" w14:textId="77777777">
            <w:pPr>
              <w:spacing w:after="0" w:line="240" w:lineRule="auto"/>
              <w:jc w:val="right"/>
              <w:rPr>
                <w:rFonts w:eastAsia="Times New Roman" w:cs="Arial"/>
                <w:color w:val="000000"/>
                <w:sz w:val="20"/>
                <w:szCs w:val="20"/>
                <w:lang w:eastAsia="en-GB"/>
              </w:rPr>
            </w:pPr>
          </w:p>
        </w:tc>
        <w:tc>
          <w:tcPr>
            <w:tcW w:w="1890" w:type="dxa"/>
            <w:gridSpan w:val="2"/>
            <w:tcBorders>
              <w:top w:val="single" w:color="auto" w:sz="4" w:space="0"/>
            </w:tcBorders>
            <w:shd w:val="clear" w:color="auto" w:fill="auto"/>
            <w:noWrap/>
            <w:vAlign w:val="bottom"/>
            <w:hideMark/>
          </w:tcPr>
          <w:p w:rsidRPr="005F30CB" w:rsidR="005F30CB" w:rsidP="00C65763" w:rsidRDefault="005F30CB" w14:paraId="334B59B9"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5F30CB" w:rsidTr="00C65763" w14:paraId="60D38A01" w14:textId="77777777">
        <w:trPr>
          <w:trHeight w:val="296"/>
        </w:trPr>
        <w:tc>
          <w:tcPr>
            <w:tcW w:w="4013" w:type="dxa"/>
            <w:tcBorders>
              <w:bottom w:val="nil"/>
            </w:tcBorders>
            <w:shd w:val="clear" w:color="auto" w:fill="auto"/>
            <w:vAlign w:val="bottom"/>
            <w:hideMark/>
          </w:tcPr>
          <w:p w:rsidRPr="005F30CB" w:rsidR="005F30CB" w:rsidP="00C65763" w:rsidRDefault="005F30CB" w14:paraId="48CFF052"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Contribution from Other Local Authorities</w:t>
            </w:r>
          </w:p>
        </w:tc>
        <w:tc>
          <w:tcPr>
            <w:tcW w:w="1701" w:type="dxa"/>
            <w:tcBorders>
              <w:bottom w:val="nil"/>
            </w:tcBorders>
            <w:shd w:val="clear" w:color="auto" w:fill="auto"/>
            <w:noWrap/>
            <w:vAlign w:val="bottom"/>
            <w:hideMark/>
          </w:tcPr>
          <w:p w:rsidRPr="005F30CB" w:rsidR="005F30CB" w:rsidP="00C65763" w:rsidRDefault="005F30CB" w14:paraId="6C43581F" w14:textId="489C11F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(1,</w:t>
            </w:r>
            <w:r>
              <w:rPr>
                <w:rFonts w:eastAsia="Times New Roman" w:cs="Arial"/>
                <w:color w:val="000000"/>
                <w:sz w:val="20"/>
                <w:szCs w:val="20"/>
                <w:lang w:eastAsia="en-GB"/>
              </w:rPr>
              <w:t>738</w:t>
            </w:r>
            <w:r w:rsidRPr="005F30CB">
              <w:rPr>
                <w:rFonts w:eastAsia="Times New Roman" w:cs="Arial"/>
                <w:color w:val="000000"/>
                <w:sz w:val="20"/>
                <w:szCs w:val="20"/>
                <w:lang w:eastAsia="en-GB"/>
              </w:rPr>
              <w:t>)</w:t>
            </w:r>
          </w:p>
        </w:tc>
        <w:tc>
          <w:tcPr>
            <w:tcW w:w="1272" w:type="dxa"/>
            <w:tcBorders>
              <w:bottom w:val="nil"/>
            </w:tcBorders>
            <w:shd w:val="clear" w:color="auto" w:fill="auto"/>
            <w:noWrap/>
            <w:vAlign w:val="bottom"/>
            <w:hideMark/>
          </w:tcPr>
          <w:p w:rsidRPr="005F30CB" w:rsidR="005F30CB" w:rsidP="00C65763" w:rsidRDefault="005F30CB" w14:paraId="6E989166"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tcBorders>
              <w:bottom w:val="nil"/>
            </w:tcBorders>
            <w:shd w:val="clear" w:color="auto" w:fill="auto"/>
            <w:vAlign w:val="bottom"/>
          </w:tcPr>
          <w:p w:rsidRPr="005F30CB" w:rsidR="005F30CB" w:rsidP="00C65763" w:rsidRDefault="005F30CB" w14:paraId="6E0EE4DF"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hideMark/>
          </w:tcPr>
          <w:p w:rsidRPr="005F30CB" w:rsidR="005F30CB" w:rsidP="00C65763" w:rsidRDefault="005F30CB" w14:paraId="4C6F31BA" w14:textId="1B4F532D">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(1,</w:t>
            </w:r>
            <w:r>
              <w:rPr>
                <w:rFonts w:eastAsia="Times New Roman" w:cs="Arial"/>
                <w:color w:val="000000"/>
                <w:sz w:val="20"/>
                <w:szCs w:val="20"/>
                <w:lang w:eastAsia="en-GB"/>
              </w:rPr>
              <w:t>738</w:t>
            </w:r>
            <w:r w:rsidRPr="005F30CB">
              <w:rPr>
                <w:rFonts w:eastAsia="Times New Roman" w:cs="Arial"/>
                <w:color w:val="000000"/>
                <w:sz w:val="20"/>
                <w:szCs w:val="20"/>
                <w:lang w:eastAsia="en-GB"/>
              </w:rPr>
              <w:t>)</w:t>
            </w:r>
          </w:p>
        </w:tc>
      </w:tr>
      <w:tr w:rsidRPr="00614894" w:rsidR="005F30CB" w:rsidTr="00C65763" w14:paraId="12217FEB" w14:textId="77777777">
        <w:trPr>
          <w:trHeight w:val="233"/>
        </w:trPr>
        <w:tc>
          <w:tcPr>
            <w:tcW w:w="4013" w:type="dxa"/>
            <w:tcBorders>
              <w:bottom w:val="nil"/>
            </w:tcBorders>
            <w:shd w:val="clear" w:color="auto" w:fill="auto"/>
            <w:vAlign w:val="bottom"/>
          </w:tcPr>
          <w:p w:rsidRPr="005F30CB" w:rsidR="005F30CB" w:rsidP="00C65763" w:rsidRDefault="005F30CB" w14:paraId="2E62359C"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 xml:space="preserve">Interest Receivable </w:t>
            </w:r>
          </w:p>
        </w:tc>
        <w:tc>
          <w:tcPr>
            <w:tcW w:w="1701" w:type="dxa"/>
            <w:tcBorders>
              <w:bottom w:val="nil"/>
            </w:tcBorders>
            <w:shd w:val="clear" w:color="auto" w:fill="auto"/>
            <w:noWrap/>
            <w:vAlign w:val="bottom"/>
          </w:tcPr>
          <w:p w:rsidRPr="005F30CB" w:rsidR="005F30CB" w:rsidP="00C65763" w:rsidRDefault="005F30CB" w14:paraId="08AF7512"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1272" w:type="dxa"/>
            <w:tcBorders>
              <w:bottom w:val="nil"/>
            </w:tcBorders>
            <w:shd w:val="clear" w:color="auto" w:fill="auto"/>
            <w:noWrap/>
            <w:vAlign w:val="bottom"/>
          </w:tcPr>
          <w:p w:rsidRPr="005F30CB" w:rsidR="005F30CB" w:rsidP="00C65763" w:rsidRDefault="005F30CB" w14:paraId="4E2AED62"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tcBorders>
              <w:bottom w:val="nil"/>
            </w:tcBorders>
            <w:shd w:val="clear" w:color="auto" w:fill="auto"/>
            <w:vAlign w:val="bottom"/>
          </w:tcPr>
          <w:p w:rsidRPr="005F30CB" w:rsidR="005F30CB" w:rsidP="00C65763" w:rsidRDefault="005F30CB" w14:paraId="5FE1AB21"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tcPr>
          <w:p w:rsidRPr="005F30CB" w:rsidR="005F30CB" w:rsidP="00C65763" w:rsidRDefault="005F30CB" w14:paraId="6F6F0BB8"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r>
      <w:tr w:rsidRPr="00614894" w:rsidR="005F30CB" w:rsidTr="00C65763" w14:paraId="16C8A8F3" w14:textId="77777777">
        <w:trPr>
          <w:trHeight w:val="267"/>
        </w:trPr>
        <w:tc>
          <w:tcPr>
            <w:tcW w:w="4013" w:type="dxa"/>
            <w:tcBorders>
              <w:bottom w:val="nil"/>
            </w:tcBorders>
            <w:shd w:val="clear" w:color="auto" w:fill="auto"/>
            <w:vAlign w:val="bottom"/>
          </w:tcPr>
          <w:p w:rsidRPr="005F30CB" w:rsidR="005F30CB" w:rsidP="00C65763" w:rsidRDefault="005F30CB" w14:paraId="2A350768"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 xml:space="preserve">Repayment of Prior Year Underspend </w:t>
            </w:r>
          </w:p>
        </w:tc>
        <w:tc>
          <w:tcPr>
            <w:tcW w:w="1701" w:type="dxa"/>
            <w:tcBorders>
              <w:bottom w:val="nil"/>
            </w:tcBorders>
            <w:shd w:val="clear" w:color="auto" w:fill="auto"/>
            <w:noWrap/>
            <w:vAlign w:val="bottom"/>
          </w:tcPr>
          <w:p w:rsidRPr="005F30CB" w:rsidR="005F30CB" w:rsidP="00C65763" w:rsidRDefault="005F30CB" w14:paraId="4F69DAA0"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1272" w:type="dxa"/>
            <w:tcBorders>
              <w:bottom w:val="nil"/>
            </w:tcBorders>
            <w:shd w:val="clear" w:color="auto" w:fill="auto"/>
            <w:noWrap/>
            <w:vAlign w:val="bottom"/>
          </w:tcPr>
          <w:p w:rsidRPr="005F30CB" w:rsidR="005F30CB" w:rsidP="00C65763" w:rsidRDefault="005F30CB" w14:paraId="2AF50EA8"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240" w:type="dxa"/>
            <w:tcBorders>
              <w:bottom w:val="nil"/>
            </w:tcBorders>
            <w:shd w:val="clear" w:color="auto" w:fill="auto"/>
            <w:vAlign w:val="bottom"/>
          </w:tcPr>
          <w:p w:rsidRPr="005F30CB" w:rsidR="005F30CB" w:rsidP="00C65763" w:rsidRDefault="005F30CB" w14:paraId="16401767"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tcPr>
          <w:p w:rsidRPr="005F30CB" w:rsidR="005F30CB" w:rsidP="00C65763" w:rsidRDefault="005F30CB" w14:paraId="33CE9220"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r>
      <w:tr w:rsidRPr="00614894" w:rsidR="005F30CB" w:rsidTr="00C65763" w14:paraId="1CC28D6E" w14:textId="77777777">
        <w:trPr>
          <w:trHeight w:val="287"/>
        </w:trPr>
        <w:tc>
          <w:tcPr>
            <w:tcW w:w="4013" w:type="dxa"/>
            <w:tcBorders>
              <w:bottom w:val="nil"/>
            </w:tcBorders>
            <w:shd w:val="clear" w:color="auto" w:fill="auto"/>
            <w:vAlign w:val="bottom"/>
          </w:tcPr>
          <w:p w:rsidRPr="005F30CB" w:rsidR="005F30CB" w:rsidP="00C65763" w:rsidRDefault="005F30CB" w14:paraId="2B062528" w14:textId="77777777">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Pensions Interest Payable</w:t>
            </w:r>
          </w:p>
        </w:tc>
        <w:tc>
          <w:tcPr>
            <w:tcW w:w="1701" w:type="dxa"/>
            <w:tcBorders>
              <w:bottom w:val="nil"/>
            </w:tcBorders>
            <w:shd w:val="clear" w:color="auto" w:fill="auto"/>
            <w:noWrap/>
            <w:vAlign w:val="bottom"/>
          </w:tcPr>
          <w:p w:rsidRPr="005F30CB" w:rsidR="005F30CB" w:rsidP="00C65763" w:rsidRDefault="005F30CB" w14:paraId="25CC2FD2"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0</w:t>
            </w:r>
          </w:p>
        </w:tc>
        <w:tc>
          <w:tcPr>
            <w:tcW w:w="1272" w:type="dxa"/>
            <w:tcBorders>
              <w:bottom w:val="nil"/>
            </w:tcBorders>
            <w:shd w:val="clear" w:color="auto" w:fill="auto"/>
            <w:noWrap/>
            <w:vAlign w:val="bottom"/>
          </w:tcPr>
          <w:p w:rsidRPr="005F30CB" w:rsidR="005F30CB" w:rsidP="00C65763" w:rsidRDefault="005F30CB" w14:paraId="25535F49"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90</w:t>
            </w:r>
          </w:p>
        </w:tc>
        <w:tc>
          <w:tcPr>
            <w:tcW w:w="240" w:type="dxa"/>
            <w:tcBorders>
              <w:bottom w:val="nil"/>
            </w:tcBorders>
            <w:shd w:val="clear" w:color="auto" w:fill="auto"/>
            <w:vAlign w:val="bottom"/>
          </w:tcPr>
          <w:p w:rsidRPr="005F30CB" w:rsidR="005F30CB" w:rsidP="00C65763" w:rsidRDefault="005F30CB" w14:paraId="0A7B3EC0"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tcPr>
          <w:p w:rsidRPr="005F30CB" w:rsidR="005F30CB" w:rsidP="00C65763" w:rsidRDefault="005F30CB" w14:paraId="35230D50"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90</w:t>
            </w:r>
          </w:p>
        </w:tc>
      </w:tr>
      <w:tr w:rsidRPr="00614894" w:rsidR="005F30CB" w:rsidTr="00C65763" w14:paraId="091500B6" w14:textId="77777777">
        <w:trPr>
          <w:trHeight w:val="80"/>
        </w:trPr>
        <w:tc>
          <w:tcPr>
            <w:tcW w:w="4013" w:type="dxa"/>
            <w:tcBorders>
              <w:top w:val="nil"/>
              <w:bottom w:val="single" w:color="auto" w:sz="4" w:space="0"/>
            </w:tcBorders>
            <w:shd w:val="clear" w:color="auto" w:fill="auto"/>
            <w:noWrap/>
            <w:vAlign w:val="bottom"/>
            <w:hideMark/>
          </w:tcPr>
          <w:p w:rsidRPr="005F30CB" w:rsidR="005F30CB" w:rsidP="00C65763" w:rsidRDefault="005F30CB" w14:paraId="6EB886DB" w14:textId="77777777">
            <w:pPr>
              <w:spacing w:after="0" w:line="240" w:lineRule="auto"/>
              <w:rPr>
                <w:rFonts w:eastAsia="Times New Roman" w:cs="Arial"/>
                <w:color w:val="000000"/>
                <w:sz w:val="20"/>
                <w:szCs w:val="20"/>
                <w:lang w:eastAsia="en-GB"/>
              </w:rPr>
            </w:pPr>
          </w:p>
        </w:tc>
        <w:tc>
          <w:tcPr>
            <w:tcW w:w="1701" w:type="dxa"/>
            <w:tcBorders>
              <w:top w:val="nil"/>
              <w:bottom w:val="single" w:color="auto" w:sz="4" w:space="0"/>
            </w:tcBorders>
            <w:shd w:val="clear" w:color="auto" w:fill="auto"/>
            <w:noWrap/>
            <w:vAlign w:val="bottom"/>
            <w:hideMark/>
          </w:tcPr>
          <w:p w:rsidRPr="005F30CB" w:rsidR="005F30CB" w:rsidP="00C65763" w:rsidRDefault="005F30CB" w14:paraId="381A6DDB" w14:textId="77777777">
            <w:pPr>
              <w:spacing w:after="0" w:line="240" w:lineRule="auto"/>
              <w:jc w:val="right"/>
              <w:rPr>
                <w:rFonts w:eastAsia="Times New Roman" w:cs="Arial"/>
                <w:color w:val="000000"/>
                <w:sz w:val="20"/>
                <w:szCs w:val="20"/>
                <w:lang w:eastAsia="en-GB"/>
              </w:rPr>
            </w:pPr>
          </w:p>
        </w:tc>
        <w:tc>
          <w:tcPr>
            <w:tcW w:w="1272" w:type="dxa"/>
            <w:tcBorders>
              <w:top w:val="nil"/>
              <w:bottom w:val="single" w:color="auto" w:sz="4" w:space="0"/>
            </w:tcBorders>
            <w:shd w:val="clear" w:color="auto" w:fill="auto"/>
            <w:noWrap/>
            <w:vAlign w:val="bottom"/>
            <w:hideMark/>
          </w:tcPr>
          <w:p w:rsidRPr="005F30CB" w:rsidR="005F30CB" w:rsidP="00C65763" w:rsidRDefault="005F30CB" w14:paraId="68F52C6B" w14:textId="77777777">
            <w:pPr>
              <w:spacing w:after="0" w:line="240" w:lineRule="auto"/>
              <w:jc w:val="right"/>
              <w:rPr>
                <w:rFonts w:eastAsia="Times New Roman" w:cs="Arial"/>
                <w:color w:val="000000"/>
                <w:sz w:val="20"/>
                <w:szCs w:val="20"/>
                <w:lang w:eastAsia="en-GB"/>
              </w:rPr>
            </w:pPr>
          </w:p>
        </w:tc>
        <w:tc>
          <w:tcPr>
            <w:tcW w:w="240" w:type="dxa"/>
            <w:tcBorders>
              <w:top w:val="nil"/>
              <w:bottom w:val="single" w:color="auto" w:sz="4" w:space="0"/>
            </w:tcBorders>
            <w:shd w:val="clear" w:color="auto" w:fill="auto"/>
            <w:vAlign w:val="bottom"/>
          </w:tcPr>
          <w:p w:rsidRPr="005F30CB" w:rsidR="005F30CB" w:rsidP="00C65763" w:rsidRDefault="005F30CB" w14:paraId="20B5F81D" w14:textId="77777777">
            <w:pPr>
              <w:spacing w:after="0" w:line="240" w:lineRule="auto"/>
              <w:jc w:val="right"/>
              <w:rPr>
                <w:rFonts w:eastAsia="Times New Roman" w:cs="Arial"/>
                <w:color w:val="000000"/>
                <w:sz w:val="20"/>
                <w:szCs w:val="20"/>
                <w:lang w:eastAsia="en-GB"/>
              </w:rPr>
            </w:pPr>
          </w:p>
        </w:tc>
        <w:tc>
          <w:tcPr>
            <w:tcW w:w="1890" w:type="dxa"/>
            <w:gridSpan w:val="2"/>
            <w:tcBorders>
              <w:top w:val="nil"/>
              <w:bottom w:val="single" w:color="auto" w:sz="4" w:space="0"/>
            </w:tcBorders>
            <w:shd w:val="clear" w:color="auto" w:fill="auto"/>
            <w:noWrap/>
            <w:vAlign w:val="bottom"/>
            <w:hideMark/>
          </w:tcPr>
          <w:p w:rsidRPr="005F30CB" w:rsidR="005F30CB" w:rsidP="00C65763" w:rsidRDefault="005F30CB" w14:paraId="7FFC31F2"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5F30CB" w:rsidTr="00C65763" w14:paraId="2E9FB25A" w14:textId="77777777">
        <w:trPr>
          <w:trHeight w:val="300"/>
        </w:trPr>
        <w:tc>
          <w:tcPr>
            <w:tcW w:w="4013" w:type="dxa"/>
            <w:tcBorders>
              <w:top w:val="single" w:color="auto" w:sz="4" w:space="0"/>
              <w:bottom w:val="single" w:color="auto" w:sz="4" w:space="0"/>
            </w:tcBorders>
            <w:shd w:val="clear" w:color="auto" w:fill="DBE5F1" w:themeFill="accent1" w:themeFillTint="33"/>
            <w:noWrap/>
            <w:vAlign w:val="bottom"/>
            <w:hideMark/>
          </w:tcPr>
          <w:p w:rsidRPr="005F30CB" w:rsidR="005F30CB" w:rsidP="00C65763" w:rsidRDefault="005F30CB" w14:paraId="05C8F9E6" w14:textId="77777777">
            <w:pPr>
              <w:spacing w:after="0" w:line="240" w:lineRule="auto"/>
              <w:rPr>
                <w:rFonts w:eastAsia="Times New Roman" w:cs="Arial"/>
                <w:b/>
                <w:bCs/>
                <w:color w:val="000000"/>
                <w:sz w:val="20"/>
                <w:szCs w:val="20"/>
                <w:lang w:eastAsia="en-GB"/>
              </w:rPr>
            </w:pPr>
            <w:r w:rsidRPr="005F30CB">
              <w:rPr>
                <w:rFonts w:eastAsia="Times New Roman" w:cs="Arial"/>
                <w:b/>
                <w:bCs/>
                <w:color w:val="000000"/>
                <w:sz w:val="20"/>
                <w:szCs w:val="20"/>
                <w:lang w:eastAsia="en-GB"/>
              </w:rPr>
              <w:t>(Surplus) or Deficit on the Provision of Services</w:t>
            </w:r>
          </w:p>
        </w:tc>
        <w:tc>
          <w:tcPr>
            <w:tcW w:w="1701" w:type="dxa"/>
            <w:tcBorders>
              <w:top w:val="single" w:color="auto" w:sz="4" w:space="0"/>
              <w:bottom w:val="single" w:color="auto" w:sz="4" w:space="0"/>
            </w:tcBorders>
            <w:shd w:val="clear" w:color="auto" w:fill="DBE5F1" w:themeFill="accent1" w:themeFillTint="33"/>
            <w:noWrap/>
            <w:vAlign w:val="bottom"/>
            <w:hideMark/>
          </w:tcPr>
          <w:p w:rsidRPr="005F30CB" w:rsidR="005F30CB" w:rsidP="00C65763" w:rsidRDefault="00446C29" w14:paraId="0A278D60" w14:textId="503E6B68">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(86)</w:t>
            </w:r>
          </w:p>
        </w:tc>
        <w:tc>
          <w:tcPr>
            <w:tcW w:w="1272" w:type="dxa"/>
            <w:tcBorders>
              <w:top w:val="single" w:color="auto" w:sz="4" w:space="0"/>
              <w:bottom w:val="single" w:color="auto" w:sz="4" w:space="0"/>
            </w:tcBorders>
            <w:shd w:val="clear" w:color="auto" w:fill="DBE5F1" w:themeFill="accent1" w:themeFillTint="33"/>
            <w:noWrap/>
            <w:vAlign w:val="bottom"/>
            <w:hideMark/>
          </w:tcPr>
          <w:p w:rsidRPr="005F30CB" w:rsidR="005F30CB" w:rsidP="00C65763" w:rsidRDefault="00722D78" w14:paraId="2A6764C8" w14:textId="2E966742">
            <w:pPr>
              <w:spacing w:after="0" w:line="240" w:lineRule="auto"/>
              <w:ind w:right="-106"/>
              <w:jc w:val="right"/>
              <w:rPr>
                <w:rFonts w:eastAsia="Times New Roman" w:cs="Arial"/>
                <w:b/>
                <w:bCs/>
                <w:color w:val="000000"/>
                <w:sz w:val="20"/>
                <w:szCs w:val="20"/>
                <w:lang w:eastAsia="en-GB"/>
              </w:rPr>
            </w:pPr>
            <w:r>
              <w:rPr>
                <w:rFonts w:eastAsia="Times New Roman" w:cs="Arial"/>
                <w:b/>
                <w:bCs/>
                <w:color w:val="000000"/>
                <w:sz w:val="20"/>
                <w:szCs w:val="20"/>
                <w:lang w:eastAsia="en-GB"/>
              </w:rPr>
              <w:t>437</w:t>
            </w:r>
          </w:p>
        </w:tc>
        <w:tc>
          <w:tcPr>
            <w:tcW w:w="240" w:type="dxa"/>
            <w:tcBorders>
              <w:top w:val="single" w:color="auto" w:sz="4" w:space="0"/>
              <w:bottom w:val="single" w:color="auto" w:sz="4" w:space="0"/>
            </w:tcBorders>
            <w:shd w:val="clear" w:color="auto" w:fill="DBE5F1" w:themeFill="accent1" w:themeFillTint="33"/>
            <w:vAlign w:val="bottom"/>
          </w:tcPr>
          <w:p w:rsidRPr="005F30CB" w:rsidR="005F30CB" w:rsidP="00C65763" w:rsidRDefault="005F30CB" w14:paraId="5B921C61" w14:textId="77777777">
            <w:pPr>
              <w:spacing w:after="0" w:line="240" w:lineRule="auto"/>
              <w:jc w:val="right"/>
              <w:rPr>
                <w:rFonts w:eastAsia="Times New Roman" w:cs="Arial"/>
                <w:b/>
                <w:bCs/>
                <w:color w:val="000000"/>
                <w:sz w:val="20"/>
                <w:szCs w:val="20"/>
                <w:lang w:eastAsia="en-GB"/>
              </w:rPr>
            </w:pPr>
          </w:p>
        </w:tc>
        <w:tc>
          <w:tcPr>
            <w:tcW w:w="1890" w:type="dxa"/>
            <w:gridSpan w:val="2"/>
            <w:tcBorders>
              <w:top w:val="single" w:color="auto" w:sz="4" w:space="0"/>
              <w:bottom w:val="single" w:color="auto" w:sz="4" w:space="0"/>
            </w:tcBorders>
            <w:shd w:val="clear" w:color="auto" w:fill="DBE5F1" w:themeFill="accent1" w:themeFillTint="33"/>
            <w:noWrap/>
            <w:vAlign w:val="bottom"/>
            <w:hideMark/>
          </w:tcPr>
          <w:p w:rsidRPr="005F30CB" w:rsidR="005F30CB" w:rsidP="00C65763" w:rsidRDefault="00722D78" w14:paraId="0F579945" w14:textId="52241815">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351</w:t>
            </w:r>
          </w:p>
        </w:tc>
      </w:tr>
      <w:tr w:rsidRPr="00614894" w:rsidR="005F30CB" w:rsidTr="00C65763" w14:paraId="3F99F397" w14:textId="77777777">
        <w:trPr>
          <w:trHeight w:val="300"/>
        </w:trPr>
        <w:tc>
          <w:tcPr>
            <w:tcW w:w="4013" w:type="dxa"/>
            <w:tcBorders>
              <w:top w:val="single" w:color="auto" w:sz="4" w:space="0"/>
            </w:tcBorders>
            <w:shd w:val="clear" w:color="auto" w:fill="auto"/>
            <w:noWrap/>
            <w:vAlign w:val="bottom"/>
            <w:hideMark/>
          </w:tcPr>
          <w:p w:rsidRPr="005F30CB" w:rsidR="005F30CB" w:rsidP="00C65763" w:rsidRDefault="005F30CB" w14:paraId="3F89E8B5" w14:textId="77777777">
            <w:pPr>
              <w:spacing w:after="0" w:line="240" w:lineRule="auto"/>
              <w:rPr>
                <w:rFonts w:eastAsia="Times New Roman" w:cs="Arial"/>
                <w:color w:val="000000"/>
                <w:sz w:val="20"/>
                <w:szCs w:val="20"/>
                <w:lang w:eastAsia="en-GB"/>
              </w:rPr>
            </w:pPr>
          </w:p>
        </w:tc>
        <w:tc>
          <w:tcPr>
            <w:tcW w:w="1701" w:type="dxa"/>
            <w:tcBorders>
              <w:top w:val="single" w:color="auto" w:sz="4" w:space="0"/>
            </w:tcBorders>
            <w:shd w:val="clear" w:color="auto" w:fill="auto"/>
            <w:noWrap/>
            <w:vAlign w:val="bottom"/>
            <w:hideMark/>
          </w:tcPr>
          <w:p w:rsidRPr="005F30CB" w:rsidR="005F30CB" w:rsidP="00C65763" w:rsidRDefault="005F30CB" w14:paraId="28B14292" w14:textId="77777777">
            <w:pPr>
              <w:spacing w:after="0" w:line="240" w:lineRule="auto"/>
              <w:jc w:val="right"/>
              <w:rPr>
                <w:rFonts w:eastAsia="Times New Roman" w:cs="Arial"/>
                <w:color w:val="000000"/>
                <w:sz w:val="20"/>
                <w:szCs w:val="20"/>
                <w:lang w:eastAsia="en-GB"/>
              </w:rPr>
            </w:pPr>
          </w:p>
        </w:tc>
        <w:tc>
          <w:tcPr>
            <w:tcW w:w="1272" w:type="dxa"/>
            <w:tcBorders>
              <w:top w:val="single" w:color="auto" w:sz="4" w:space="0"/>
            </w:tcBorders>
            <w:shd w:val="clear" w:color="auto" w:fill="auto"/>
            <w:noWrap/>
            <w:vAlign w:val="bottom"/>
            <w:hideMark/>
          </w:tcPr>
          <w:p w:rsidRPr="005F30CB" w:rsidR="005F30CB" w:rsidP="00C65763" w:rsidRDefault="005F30CB" w14:paraId="33539436" w14:textId="77777777">
            <w:pPr>
              <w:spacing w:after="0" w:line="240" w:lineRule="auto"/>
              <w:jc w:val="right"/>
              <w:rPr>
                <w:rFonts w:eastAsia="Times New Roman" w:cs="Arial"/>
                <w:color w:val="000000"/>
                <w:sz w:val="20"/>
                <w:szCs w:val="20"/>
                <w:lang w:eastAsia="en-GB"/>
              </w:rPr>
            </w:pPr>
          </w:p>
        </w:tc>
        <w:tc>
          <w:tcPr>
            <w:tcW w:w="240" w:type="dxa"/>
            <w:tcBorders>
              <w:top w:val="single" w:color="auto" w:sz="4" w:space="0"/>
            </w:tcBorders>
            <w:shd w:val="clear" w:color="auto" w:fill="auto"/>
            <w:vAlign w:val="bottom"/>
          </w:tcPr>
          <w:p w:rsidRPr="005F30CB" w:rsidR="005F30CB" w:rsidP="00C65763" w:rsidRDefault="005F30CB" w14:paraId="2869A5CC" w14:textId="77777777">
            <w:pPr>
              <w:spacing w:after="0" w:line="240" w:lineRule="auto"/>
              <w:jc w:val="right"/>
              <w:rPr>
                <w:rFonts w:eastAsia="Times New Roman" w:cs="Arial"/>
                <w:color w:val="000000"/>
                <w:sz w:val="20"/>
                <w:szCs w:val="20"/>
                <w:lang w:eastAsia="en-GB"/>
              </w:rPr>
            </w:pPr>
          </w:p>
        </w:tc>
        <w:tc>
          <w:tcPr>
            <w:tcW w:w="1890" w:type="dxa"/>
            <w:gridSpan w:val="2"/>
            <w:tcBorders>
              <w:top w:val="single" w:color="auto" w:sz="4" w:space="0"/>
            </w:tcBorders>
            <w:shd w:val="clear" w:color="auto" w:fill="auto"/>
            <w:noWrap/>
            <w:vAlign w:val="bottom"/>
            <w:hideMark/>
          </w:tcPr>
          <w:p w:rsidRPr="005F30CB" w:rsidR="005F30CB" w:rsidP="00C65763" w:rsidRDefault="005F30CB" w14:paraId="780A5634"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5F30CB" w:rsidTr="00C65763" w14:paraId="6675FF42" w14:textId="77777777">
        <w:trPr>
          <w:trHeight w:val="300"/>
        </w:trPr>
        <w:tc>
          <w:tcPr>
            <w:tcW w:w="4013" w:type="dxa"/>
            <w:shd w:val="clear" w:color="auto" w:fill="auto"/>
            <w:vAlign w:val="bottom"/>
            <w:hideMark/>
          </w:tcPr>
          <w:p w:rsidRPr="005F30CB" w:rsidR="005F30CB" w:rsidP="00C65763" w:rsidRDefault="005F30CB" w14:paraId="1022B483" w14:textId="73DD71FF">
            <w:pPr>
              <w:spacing w:after="0" w:line="240" w:lineRule="auto"/>
              <w:rPr>
                <w:rFonts w:eastAsia="Times New Roman" w:cs="Arial"/>
                <w:color w:val="000000"/>
                <w:sz w:val="20"/>
                <w:szCs w:val="20"/>
                <w:lang w:eastAsia="en-GB"/>
              </w:rPr>
            </w:pPr>
            <w:r w:rsidRPr="005F30CB">
              <w:rPr>
                <w:rFonts w:eastAsia="Times New Roman" w:cs="Arial"/>
                <w:color w:val="000000"/>
                <w:sz w:val="20"/>
                <w:szCs w:val="20"/>
                <w:lang w:eastAsia="en-GB"/>
              </w:rPr>
              <w:t xml:space="preserve">Opening General Fund Balance </w:t>
            </w:r>
            <w:proofErr w:type="gramStart"/>
            <w:r w:rsidRPr="005F30CB">
              <w:rPr>
                <w:rFonts w:eastAsia="Times New Roman" w:cs="Arial"/>
                <w:color w:val="000000"/>
                <w:sz w:val="20"/>
                <w:szCs w:val="20"/>
                <w:lang w:eastAsia="en-GB"/>
              </w:rPr>
              <w:t>at</w:t>
            </w:r>
            <w:proofErr w:type="gramEnd"/>
            <w:r w:rsidRPr="005F30CB">
              <w:rPr>
                <w:rFonts w:eastAsia="Times New Roman" w:cs="Arial"/>
                <w:color w:val="000000"/>
                <w:sz w:val="20"/>
                <w:szCs w:val="20"/>
                <w:lang w:eastAsia="en-GB"/>
              </w:rPr>
              <w:t xml:space="preserve"> 31 March 202</w:t>
            </w:r>
            <w:r w:rsidR="00B6353C">
              <w:rPr>
                <w:rFonts w:eastAsia="Times New Roman" w:cs="Arial"/>
                <w:color w:val="000000"/>
                <w:sz w:val="20"/>
                <w:szCs w:val="20"/>
                <w:lang w:eastAsia="en-GB"/>
              </w:rPr>
              <w:t>1</w:t>
            </w:r>
          </w:p>
        </w:tc>
        <w:tc>
          <w:tcPr>
            <w:tcW w:w="1701" w:type="dxa"/>
            <w:shd w:val="clear" w:color="auto" w:fill="auto"/>
            <w:noWrap/>
            <w:vAlign w:val="bottom"/>
            <w:hideMark/>
          </w:tcPr>
          <w:p w:rsidRPr="005F30CB" w:rsidR="005F30CB" w:rsidP="00C65763" w:rsidRDefault="00446C29" w14:paraId="1E73B21A" w14:textId="70466165">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77</w:t>
            </w:r>
          </w:p>
        </w:tc>
        <w:tc>
          <w:tcPr>
            <w:tcW w:w="1272" w:type="dxa"/>
            <w:shd w:val="clear" w:color="auto" w:fill="auto"/>
            <w:noWrap/>
            <w:vAlign w:val="bottom"/>
            <w:hideMark/>
          </w:tcPr>
          <w:p w:rsidRPr="005F30CB" w:rsidR="005F30CB" w:rsidP="00C65763" w:rsidRDefault="005F30CB" w14:paraId="57843EE0" w14:textId="77777777">
            <w:pPr>
              <w:spacing w:after="0" w:line="240" w:lineRule="auto"/>
              <w:jc w:val="right"/>
              <w:rPr>
                <w:rFonts w:eastAsia="Times New Roman" w:cs="Arial"/>
                <w:color w:val="000000"/>
                <w:sz w:val="20"/>
                <w:szCs w:val="20"/>
                <w:lang w:eastAsia="en-GB"/>
              </w:rPr>
            </w:pPr>
          </w:p>
        </w:tc>
        <w:tc>
          <w:tcPr>
            <w:tcW w:w="240" w:type="dxa"/>
            <w:shd w:val="clear" w:color="auto" w:fill="auto"/>
            <w:vAlign w:val="bottom"/>
          </w:tcPr>
          <w:p w:rsidRPr="005F30CB" w:rsidR="005F30CB" w:rsidP="00C65763" w:rsidRDefault="005F30CB" w14:paraId="076CF065" w14:textId="77777777">
            <w:pPr>
              <w:spacing w:after="0" w:line="240" w:lineRule="auto"/>
              <w:jc w:val="right"/>
              <w:rPr>
                <w:rFonts w:eastAsia="Times New Roman" w:cs="Arial"/>
                <w:color w:val="000000"/>
                <w:sz w:val="20"/>
                <w:szCs w:val="20"/>
                <w:lang w:eastAsia="en-GB"/>
              </w:rPr>
            </w:pPr>
          </w:p>
        </w:tc>
        <w:tc>
          <w:tcPr>
            <w:tcW w:w="1890" w:type="dxa"/>
            <w:gridSpan w:val="2"/>
            <w:shd w:val="clear" w:color="auto" w:fill="auto"/>
            <w:noWrap/>
            <w:vAlign w:val="bottom"/>
            <w:hideMark/>
          </w:tcPr>
          <w:p w:rsidRPr="005F30CB" w:rsidR="005F30CB" w:rsidP="00C65763" w:rsidRDefault="005F30CB" w14:paraId="794EFE12"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5F30CB" w:rsidTr="00C65763" w14:paraId="0F02860E" w14:textId="77777777">
        <w:trPr>
          <w:trHeight w:val="300"/>
        </w:trPr>
        <w:tc>
          <w:tcPr>
            <w:tcW w:w="4013" w:type="dxa"/>
            <w:tcBorders>
              <w:bottom w:val="nil"/>
            </w:tcBorders>
            <w:shd w:val="clear" w:color="auto" w:fill="auto"/>
            <w:vAlign w:val="bottom"/>
            <w:hideMark/>
          </w:tcPr>
          <w:p w:rsidRPr="005F30CB" w:rsidR="005F30CB" w:rsidP="00C65763" w:rsidRDefault="00446C29" w14:paraId="57CE7798" w14:textId="2B2AD8BE">
            <w:pPr>
              <w:spacing w:after="0" w:line="240" w:lineRule="auto"/>
              <w:rPr>
                <w:rFonts w:eastAsia="Times New Roman" w:cs="Arial"/>
                <w:color w:val="000000"/>
                <w:sz w:val="20"/>
                <w:szCs w:val="20"/>
                <w:lang w:eastAsia="en-GB"/>
              </w:rPr>
            </w:pPr>
            <w:proofErr w:type="gramStart"/>
            <w:r w:rsidRPr="00446C29">
              <w:rPr>
                <w:rFonts w:eastAsia="Times New Roman" w:cs="Arial"/>
                <w:color w:val="000000"/>
                <w:sz w:val="20"/>
                <w:szCs w:val="20"/>
                <w:lang w:eastAsia="en-GB"/>
              </w:rPr>
              <w:t>Plus</w:t>
            </w:r>
            <w:proofErr w:type="gramEnd"/>
            <w:r w:rsidRPr="00446C29">
              <w:rPr>
                <w:rFonts w:eastAsia="Times New Roman" w:cs="Arial"/>
                <w:color w:val="000000"/>
                <w:sz w:val="20"/>
                <w:szCs w:val="20"/>
                <w:lang w:eastAsia="en-GB"/>
              </w:rPr>
              <w:t xml:space="preserve"> Surplus on General Fund Balance in Year</w:t>
            </w:r>
          </w:p>
        </w:tc>
        <w:tc>
          <w:tcPr>
            <w:tcW w:w="1701" w:type="dxa"/>
            <w:tcBorders>
              <w:bottom w:val="nil"/>
            </w:tcBorders>
            <w:shd w:val="clear" w:color="auto" w:fill="auto"/>
            <w:noWrap/>
            <w:vAlign w:val="bottom"/>
            <w:hideMark/>
          </w:tcPr>
          <w:p w:rsidRPr="005F30CB" w:rsidR="005F30CB" w:rsidP="00C65763" w:rsidRDefault="00446C29" w14:paraId="26CEDC49" w14:textId="62AE2592">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86</w:t>
            </w:r>
          </w:p>
        </w:tc>
        <w:tc>
          <w:tcPr>
            <w:tcW w:w="1272" w:type="dxa"/>
            <w:tcBorders>
              <w:bottom w:val="nil"/>
            </w:tcBorders>
            <w:shd w:val="clear" w:color="auto" w:fill="auto"/>
            <w:noWrap/>
            <w:vAlign w:val="bottom"/>
            <w:hideMark/>
          </w:tcPr>
          <w:p w:rsidRPr="005F30CB" w:rsidR="005F30CB" w:rsidP="00C65763" w:rsidRDefault="005F30CB" w14:paraId="68E59CBB" w14:textId="77777777">
            <w:pPr>
              <w:spacing w:after="0" w:line="240" w:lineRule="auto"/>
              <w:jc w:val="right"/>
              <w:rPr>
                <w:rFonts w:eastAsia="Times New Roman" w:cs="Arial"/>
                <w:color w:val="000000"/>
                <w:sz w:val="20"/>
                <w:szCs w:val="20"/>
                <w:lang w:eastAsia="en-GB"/>
              </w:rPr>
            </w:pPr>
          </w:p>
        </w:tc>
        <w:tc>
          <w:tcPr>
            <w:tcW w:w="240" w:type="dxa"/>
            <w:tcBorders>
              <w:bottom w:val="nil"/>
            </w:tcBorders>
            <w:shd w:val="clear" w:color="auto" w:fill="auto"/>
            <w:vAlign w:val="bottom"/>
          </w:tcPr>
          <w:p w:rsidRPr="005F30CB" w:rsidR="005F30CB" w:rsidP="00C65763" w:rsidRDefault="005F30CB" w14:paraId="4BBAA553" w14:textId="77777777">
            <w:pPr>
              <w:spacing w:after="0" w:line="240" w:lineRule="auto"/>
              <w:jc w:val="right"/>
              <w:rPr>
                <w:rFonts w:eastAsia="Times New Roman" w:cs="Arial"/>
                <w:color w:val="000000"/>
                <w:sz w:val="20"/>
                <w:szCs w:val="20"/>
                <w:lang w:eastAsia="en-GB"/>
              </w:rPr>
            </w:pPr>
          </w:p>
        </w:tc>
        <w:tc>
          <w:tcPr>
            <w:tcW w:w="1890" w:type="dxa"/>
            <w:gridSpan w:val="2"/>
            <w:tcBorders>
              <w:bottom w:val="nil"/>
            </w:tcBorders>
            <w:shd w:val="clear" w:color="auto" w:fill="auto"/>
            <w:noWrap/>
            <w:vAlign w:val="bottom"/>
            <w:hideMark/>
          </w:tcPr>
          <w:p w:rsidRPr="005F30CB" w:rsidR="005F30CB" w:rsidP="00C65763" w:rsidRDefault="005F30CB" w14:paraId="52653080"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5F30CB" w:rsidTr="00C65763" w14:paraId="79DFD514" w14:textId="77777777">
        <w:trPr>
          <w:trHeight w:val="80"/>
        </w:trPr>
        <w:tc>
          <w:tcPr>
            <w:tcW w:w="4013" w:type="dxa"/>
            <w:tcBorders>
              <w:top w:val="nil"/>
              <w:bottom w:val="single" w:color="auto" w:sz="4" w:space="0"/>
            </w:tcBorders>
            <w:shd w:val="clear" w:color="auto" w:fill="auto"/>
            <w:noWrap/>
            <w:vAlign w:val="bottom"/>
            <w:hideMark/>
          </w:tcPr>
          <w:p w:rsidRPr="005F30CB" w:rsidR="005F30CB" w:rsidP="00C65763" w:rsidRDefault="005F30CB" w14:paraId="6EDD7B9C" w14:textId="77777777">
            <w:pPr>
              <w:spacing w:after="0" w:line="240" w:lineRule="auto"/>
              <w:rPr>
                <w:rFonts w:eastAsia="Times New Roman" w:cs="Arial"/>
                <w:color w:val="000000"/>
                <w:sz w:val="20"/>
                <w:szCs w:val="20"/>
                <w:lang w:eastAsia="en-GB"/>
              </w:rPr>
            </w:pPr>
          </w:p>
        </w:tc>
        <w:tc>
          <w:tcPr>
            <w:tcW w:w="1701" w:type="dxa"/>
            <w:tcBorders>
              <w:top w:val="nil"/>
              <w:bottom w:val="single" w:color="auto" w:sz="4" w:space="0"/>
            </w:tcBorders>
            <w:shd w:val="clear" w:color="auto" w:fill="auto"/>
            <w:noWrap/>
            <w:vAlign w:val="bottom"/>
            <w:hideMark/>
          </w:tcPr>
          <w:p w:rsidRPr="005F30CB" w:rsidR="005F30CB" w:rsidP="00C65763" w:rsidRDefault="005F30CB" w14:paraId="41DBF62D" w14:textId="77777777">
            <w:pPr>
              <w:spacing w:after="0" w:line="240" w:lineRule="auto"/>
              <w:jc w:val="right"/>
              <w:rPr>
                <w:rFonts w:eastAsia="Times New Roman" w:cs="Arial"/>
                <w:color w:val="000000"/>
                <w:sz w:val="20"/>
                <w:szCs w:val="20"/>
                <w:lang w:eastAsia="en-GB"/>
              </w:rPr>
            </w:pPr>
          </w:p>
        </w:tc>
        <w:tc>
          <w:tcPr>
            <w:tcW w:w="1272" w:type="dxa"/>
            <w:tcBorders>
              <w:top w:val="nil"/>
              <w:bottom w:val="single" w:color="auto" w:sz="4" w:space="0"/>
            </w:tcBorders>
            <w:shd w:val="clear" w:color="auto" w:fill="auto"/>
            <w:noWrap/>
            <w:vAlign w:val="bottom"/>
            <w:hideMark/>
          </w:tcPr>
          <w:p w:rsidRPr="005F30CB" w:rsidR="005F30CB" w:rsidP="00C65763" w:rsidRDefault="005F30CB" w14:paraId="2E7FE268" w14:textId="77777777">
            <w:pPr>
              <w:spacing w:after="0" w:line="240" w:lineRule="auto"/>
              <w:jc w:val="right"/>
              <w:rPr>
                <w:rFonts w:eastAsia="Times New Roman" w:cs="Arial"/>
                <w:color w:val="000000"/>
                <w:sz w:val="20"/>
                <w:szCs w:val="20"/>
                <w:lang w:eastAsia="en-GB"/>
              </w:rPr>
            </w:pPr>
          </w:p>
        </w:tc>
        <w:tc>
          <w:tcPr>
            <w:tcW w:w="240" w:type="dxa"/>
            <w:tcBorders>
              <w:top w:val="nil"/>
              <w:bottom w:val="single" w:color="auto" w:sz="4" w:space="0"/>
            </w:tcBorders>
            <w:shd w:val="clear" w:color="auto" w:fill="auto"/>
            <w:vAlign w:val="bottom"/>
          </w:tcPr>
          <w:p w:rsidRPr="005F30CB" w:rsidR="005F30CB" w:rsidP="00C65763" w:rsidRDefault="005F30CB" w14:paraId="7B1D8340" w14:textId="77777777">
            <w:pPr>
              <w:spacing w:after="0" w:line="240" w:lineRule="auto"/>
              <w:jc w:val="right"/>
              <w:rPr>
                <w:rFonts w:eastAsia="Times New Roman" w:cs="Arial"/>
                <w:color w:val="000000"/>
                <w:sz w:val="20"/>
                <w:szCs w:val="20"/>
                <w:lang w:eastAsia="en-GB"/>
              </w:rPr>
            </w:pPr>
          </w:p>
        </w:tc>
        <w:tc>
          <w:tcPr>
            <w:tcW w:w="1890" w:type="dxa"/>
            <w:gridSpan w:val="2"/>
            <w:tcBorders>
              <w:top w:val="nil"/>
              <w:bottom w:val="single" w:color="auto" w:sz="4" w:space="0"/>
            </w:tcBorders>
            <w:shd w:val="clear" w:color="auto" w:fill="auto"/>
            <w:noWrap/>
            <w:vAlign w:val="bottom"/>
            <w:hideMark/>
          </w:tcPr>
          <w:p w:rsidRPr="005F30CB" w:rsidR="005F30CB" w:rsidP="00C65763" w:rsidRDefault="005F30CB" w14:paraId="3641156D" w14:textId="77777777">
            <w:pPr>
              <w:spacing w:after="0" w:line="240" w:lineRule="auto"/>
              <w:jc w:val="right"/>
              <w:rPr>
                <w:rFonts w:eastAsia="Times New Roman" w:cs="Arial"/>
                <w:color w:val="000000"/>
                <w:sz w:val="20"/>
                <w:szCs w:val="20"/>
                <w:lang w:eastAsia="en-GB"/>
              </w:rPr>
            </w:pPr>
            <w:r w:rsidRPr="005F30CB">
              <w:rPr>
                <w:rFonts w:eastAsia="Times New Roman" w:cs="Arial"/>
                <w:color w:val="000000"/>
                <w:sz w:val="20"/>
                <w:szCs w:val="20"/>
                <w:lang w:eastAsia="en-GB"/>
              </w:rPr>
              <w:t> </w:t>
            </w:r>
          </w:p>
        </w:tc>
      </w:tr>
      <w:tr w:rsidRPr="00614894" w:rsidR="005F30CB" w:rsidTr="00C65763" w14:paraId="4542CCA1" w14:textId="77777777">
        <w:trPr>
          <w:trHeight w:val="300"/>
        </w:trPr>
        <w:tc>
          <w:tcPr>
            <w:tcW w:w="4013" w:type="dxa"/>
            <w:tcBorders>
              <w:top w:val="single" w:color="auto" w:sz="4" w:space="0"/>
            </w:tcBorders>
            <w:shd w:val="clear" w:color="auto" w:fill="DBE5F1" w:themeFill="accent1" w:themeFillTint="33"/>
            <w:noWrap/>
            <w:vAlign w:val="bottom"/>
            <w:hideMark/>
          </w:tcPr>
          <w:p w:rsidRPr="005F30CB" w:rsidR="005F30CB" w:rsidP="00C65763" w:rsidRDefault="005F30CB" w14:paraId="1AFE6258" w14:textId="5B7AFC66">
            <w:pPr>
              <w:spacing w:after="0" w:line="240" w:lineRule="auto"/>
              <w:rPr>
                <w:rFonts w:eastAsia="Times New Roman" w:cs="Arial"/>
                <w:b/>
                <w:bCs/>
                <w:color w:val="000000"/>
                <w:sz w:val="20"/>
                <w:szCs w:val="20"/>
                <w:lang w:eastAsia="en-GB"/>
              </w:rPr>
            </w:pPr>
            <w:r w:rsidRPr="005F30CB">
              <w:rPr>
                <w:rFonts w:eastAsia="Times New Roman" w:cs="Arial"/>
                <w:b/>
                <w:bCs/>
                <w:color w:val="000000"/>
                <w:sz w:val="20"/>
                <w:szCs w:val="20"/>
                <w:lang w:eastAsia="en-GB"/>
              </w:rPr>
              <w:t xml:space="preserve">Closing General Fund Balance </w:t>
            </w:r>
            <w:proofErr w:type="gramStart"/>
            <w:r w:rsidRPr="005F30CB">
              <w:rPr>
                <w:rFonts w:eastAsia="Times New Roman" w:cs="Arial"/>
                <w:b/>
                <w:bCs/>
                <w:color w:val="000000"/>
                <w:sz w:val="20"/>
                <w:szCs w:val="20"/>
                <w:lang w:eastAsia="en-GB"/>
              </w:rPr>
              <w:t>at</w:t>
            </w:r>
            <w:proofErr w:type="gramEnd"/>
            <w:r w:rsidRPr="005F30CB">
              <w:rPr>
                <w:rFonts w:eastAsia="Times New Roman" w:cs="Arial"/>
                <w:b/>
                <w:bCs/>
                <w:color w:val="000000"/>
                <w:sz w:val="20"/>
                <w:szCs w:val="20"/>
                <w:lang w:eastAsia="en-GB"/>
              </w:rPr>
              <w:t xml:space="preserve"> 31 March 202</w:t>
            </w:r>
            <w:r w:rsidR="00B6353C">
              <w:rPr>
                <w:rFonts w:eastAsia="Times New Roman" w:cs="Arial"/>
                <w:b/>
                <w:bCs/>
                <w:color w:val="000000"/>
                <w:sz w:val="20"/>
                <w:szCs w:val="20"/>
                <w:lang w:eastAsia="en-GB"/>
              </w:rPr>
              <w:t>2</w:t>
            </w:r>
          </w:p>
        </w:tc>
        <w:tc>
          <w:tcPr>
            <w:tcW w:w="1701" w:type="dxa"/>
            <w:tcBorders>
              <w:top w:val="single" w:color="auto" w:sz="4" w:space="0"/>
            </w:tcBorders>
            <w:shd w:val="clear" w:color="auto" w:fill="DBE5F1" w:themeFill="accent1" w:themeFillTint="33"/>
            <w:noWrap/>
            <w:vAlign w:val="bottom"/>
            <w:hideMark/>
          </w:tcPr>
          <w:p w:rsidRPr="005F30CB" w:rsidR="005F30CB" w:rsidP="00C65763" w:rsidRDefault="00446C29" w14:paraId="2C0F8A09" w14:textId="52490935">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163</w:t>
            </w:r>
          </w:p>
        </w:tc>
        <w:tc>
          <w:tcPr>
            <w:tcW w:w="1272" w:type="dxa"/>
            <w:tcBorders>
              <w:top w:val="single" w:color="auto" w:sz="4" w:space="0"/>
            </w:tcBorders>
            <w:shd w:val="clear" w:color="auto" w:fill="DBE5F1" w:themeFill="accent1" w:themeFillTint="33"/>
            <w:noWrap/>
            <w:vAlign w:val="bottom"/>
            <w:hideMark/>
          </w:tcPr>
          <w:p w:rsidRPr="005F30CB" w:rsidR="005F30CB" w:rsidP="00C65763" w:rsidRDefault="005F30CB" w14:paraId="6B2F3A5B" w14:textId="77777777">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 </w:t>
            </w:r>
          </w:p>
        </w:tc>
        <w:tc>
          <w:tcPr>
            <w:tcW w:w="240" w:type="dxa"/>
            <w:tcBorders>
              <w:top w:val="single" w:color="auto" w:sz="4" w:space="0"/>
            </w:tcBorders>
            <w:shd w:val="clear" w:color="auto" w:fill="DBE5F1" w:themeFill="accent1" w:themeFillTint="33"/>
            <w:vAlign w:val="bottom"/>
          </w:tcPr>
          <w:p w:rsidRPr="005F30CB" w:rsidR="005F30CB" w:rsidP="00C65763" w:rsidRDefault="005F30CB" w14:paraId="0DDEB304" w14:textId="77777777">
            <w:pPr>
              <w:spacing w:after="0" w:line="240" w:lineRule="auto"/>
              <w:jc w:val="right"/>
              <w:rPr>
                <w:rFonts w:eastAsia="Times New Roman" w:cs="Arial"/>
                <w:b/>
                <w:bCs/>
                <w:color w:val="000000"/>
                <w:sz w:val="20"/>
                <w:szCs w:val="20"/>
                <w:lang w:eastAsia="en-GB"/>
              </w:rPr>
            </w:pPr>
          </w:p>
        </w:tc>
        <w:tc>
          <w:tcPr>
            <w:tcW w:w="1890" w:type="dxa"/>
            <w:gridSpan w:val="2"/>
            <w:tcBorders>
              <w:top w:val="single" w:color="auto" w:sz="4" w:space="0"/>
            </w:tcBorders>
            <w:shd w:val="clear" w:color="auto" w:fill="DBE5F1" w:themeFill="accent1" w:themeFillTint="33"/>
            <w:noWrap/>
            <w:vAlign w:val="bottom"/>
            <w:hideMark/>
          </w:tcPr>
          <w:p w:rsidRPr="005F30CB" w:rsidR="005F30CB" w:rsidP="00C65763" w:rsidRDefault="005F30CB" w14:paraId="338660F8" w14:textId="77777777">
            <w:pPr>
              <w:spacing w:after="0" w:line="240" w:lineRule="auto"/>
              <w:jc w:val="right"/>
              <w:rPr>
                <w:rFonts w:eastAsia="Times New Roman" w:cs="Arial"/>
                <w:b/>
                <w:bCs/>
                <w:color w:val="000000"/>
                <w:sz w:val="20"/>
                <w:szCs w:val="20"/>
                <w:lang w:eastAsia="en-GB"/>
              </w:rPr>
            </w:pPr>
            <w:r w:rsidRPr="005F30CB">
              <w:rPr>
                <w:rFonts w:eastAsia="Times New Roman" w:cs="Arial"/>
                <w:b/>
                <w:bCs/>
                <w:color w:val="000000"/>
                <w:sz w:val="20"/>
                <w:szCs w:val="20"/>
                <w:lang w:eastAsia="en-GB"/>
              </w:rPr>
              <w:t> </w:t>
            </w:r>
          </w:p>
        </w:tc>
      </w:tr>
    </w:tbl>
    <w:p w:rsidRPr="00614894" w:rsidR="000B0680" w:rsidP="00F75A6B" w:rsidRDefault="000B0680" w14:paraId="60826E27" w14:textId="77777777">
      <w:pPr>
        <w:jc w:val="both"/>
        <w:rPr>
          <w:rFonts w:cs="Arial"/>
          <w:b/>
          <w:sz w:val="24"/>
          <w:szCs w:val="24"/>
          <w:highlight w:val="yellow"/>
        </w:rPr>
      </w:pPr>
    </w:p>
    <w:p w:rsidRPr="00614894" w:rsidR="00221949" w:rsidRDefault="00221949" w14:paraId="06C8C070" w14:textId="77777777">
      <w:pPr>
        <w:rPr>
          <w:rFonts w:cs="Arial"/>
          <w:b/>
          <w:sz w:val="24"/>
          <w:szCs w:val="24"/>
          <w:highlight w:val="yellow"/>
        </w:rPr>
      </w:pPr>
    </w:p>
    <w:p w:rsidRPr="00614894" w:rsidR="00C41A82" w:rsidRDefault="00C41A82" w14:paraId="5E8B3C3D" w14:textId="77777777">
      <w:pPr>
        <w:rPr>
          <w:rFonts w:cs="Arial"/>
          <w:b/>
          <w:sz w:val="24"/>
          <w:szCs w:val="24"/>
          <w:highlight w:val="yellow"/>
        </w:rPr>
        <w:sectPr w:rsidRPr="00614894" w:rsidR="00C41A82" w:rsidSect="00221949">
          <w:pgSz w:w="11906" w:h="16838" w:code="9"/>
          <w:pgMar w:top="1440" w:right="1440" w:bottom="1440" w:left="1440" w:header="709" w:footer="709" w:gutter="0"/>
          <w:cols w:space="708"/>
          <w:titlePg/>
          <w:docGrid w:linePitch="360"/>
        </w:sectPr>
      </w:pPr>
    </w:p>
    <w:p w:rsidRPr="006B6EAA" w:rsidR="00646569" w:rsidP="000746B4" w:rsidRDefault="003C4DCD" w14:paraId="1E92C8CD" w14:textId="63A494C8">
      <w:pPr>
        <w:pStyle w:val="Heading1"/>
      </w:pPr>
      <w:bookmarkStart w:name="_Toc485903700" w:id="15"/>
      <w:bookmarkStart w:name="_Toc158193765" w:id="16"/>
      <w:r>
        <w:lastRenderedPageBreak/>
        <w:t xml:space="preserve">VVC </w:t>
      </w:r>
      <w:r w:rsidRPr="006B6EAA" w:rsidR="006B6EAA">
        <w:t>Adoption</w:t>
      </w:r>
      <w:r w:rsidR="001E2079">
        <w:t xml:space="preserve"> Col</w:t>
      </w:r>
      <w:r w:rsidR="004C5D94">
        <w:t>l</w:t>
      </w:r>
      <w:r w:rsidR="001E2079">
        <w:t>aborative</w:t>
      </w:r>
      <w:r w:rsidRPr="006B6EAA" w:rsidR="009E5DD7">
        <w:t xml:space="preserve"> </w:t>
      </w:r>
      <w:r w:rsidRPr="006B6EAA" w:rsidR="009A32C6">
        <w:t>Movement in Reserves Statement</w:t>
      </w:r>
      <w:r w:rsidRPr="006B6EAA" w:rsidR="00365E0B">
        <w:t xml:space="preserve"> </w:t>
      </w:r>
      <w:r w:rsidRPr="006B6EAA" w:rsidR="00DD3318">
        <w:t>202</w:t>
      </w:r>
      <w:r w:rsidRPr="006B6EAA" w:rsidR="007E2299">
        <w:t>1</w:t>
      </w:r>
      <w:r w:rsidRPr="006B6EAA" w:rsidR="00027C5F">
        <w:t>/</w:t>
      </w:r>
      <w:r w:rsidRPr="006B6EAA" w:rsidR="00553054">
        <w:t>2</w:t>
      </w:r>
      <w:r w:rsidRPr="006B6EAA" w:rsidR="007E2299">
        <w:t>2</w:t>
      </w:r>
      <w:r w:rsidRPr="006B6EAA" w:rsidR="00553054">
        <w:t xml:space="preserve"> and 202</w:t>
      </w:r>
      <w:r w:rsidRPr="006B6EAA" w:rsidR="007E2299">
        <w:t>2</w:t>
      </w:r>
      <w:r w:rsidRPr="006B6EAA" w:rsidR="00027C5F">
        <w:t>/</w:t>
      </w:r>
      <w:bookmarkEnd w:id="15"/>
      <w:r w:rsidRPr="006B6EAA" w:rsidR="004B7DF1">
        <w:t>2</w:t>
      </w:r>
      <w:r w:rsidRPr="006B6EAA" w:rsidR="007E2299">
        <w:t>3</w:t>
      </w:r>
      <w:bookmarkEnd w:id="16"/>
      <w:r w:rsidRPr="006B6EAA" w:rsidR="008B0CDC">
        <w:t xml:space="preserve"> </w:t>
      </w:r>
    </w:p>
    <w:p w:rsidRPr="00BC4212" w:rsidR="008D4016" w:rsidP="00BC4212" w:rsidRDefault="00646569" w14:paraId="5FAA9C7D" w14:textId="15BD69E1">
      <w:pPr>
        <w:jc w:val="both"/>
        <w:rPr>
          <w:rFonts w:cs="Arial"/>
          <w:highlight w:val="yellow"/>
        </w:rPr>
      </w:pPr>
      <w:r w:rsidRPr="00063BFD">
        <w:rPr>
          <w:rFonts w:cs="Arial"/>
        </w:rPr>
        <w:t xml:space="preserve">This statement shows the movement in the year on the different reserves held by </w:t>
      </w:r>
      <w:r w:rsidRPr="00386566" w:rsidR="003C4DCD">
        <w:rPr>
          <w:bCs/>
        </w:rPr>
        <w:t>VVC</w:t>
      </w:r>
      <w:r w:rsidRPr="00063BFD" w:rsidR="00D141BA">
        <w:rPr>
          <w:rFonts w:cs="Arial"/>
        </w:rPr>
        <w:t>, analysed into “Us</w:t>
      </w:r>
      <w:r w:rsidRPr="00063BFD">
        <w:rPr>
          <w:rFonts w:cs="Arial"/>
        </w:rPr>
        <w:t xml:space="preserve">able Reserves” (i.e. those that can be applied to fund expenditure) and “Unusable </w:t>
      </w:r>
      <w:r w:rsidRPr="002F5639">
        <w:rPr>
          <w:rFonts w:cs="Arial"/>
        </w:rPr>
        <w:t>Reserves”</w:t>
      </w:r>
      <w:r w:rsidRPr="002F5639" w:rsidR="00A90C19">
        <w:rPr>
          <w:rFonts w:cs="Arial"/>
        </w:rPr>
        <w:t>.</w:t>
      </w:r>
      <w:r w:rsidRPr="002F5639" w:rsidR="00685898">
        <w:rPr>
          <w:rFonts w:cs="Arial"/>
        </w:rPr>
        <w:t xml:space="preserve">  Further information on this statement is shown on page</w:t>
      </w:r>
      <w:r w:rsidRPr="002F5639" w:rsidR="00210DD1">
        <w:rPr>
          <w:rFonts w:cs="Arial"/>
        </w:rPr>
        <w:t xml:space="preserve"> </w:t>
      </w:r>
      <w:r w:rsidRPr="002F5639" w:rsidR="002F5639">
        <w:rPr>
          <w:rFonts w:cs="Arial"/>
        </w:rPr>
        <w:t>1</w:t>
      </w:r>
      <w:r w:rsidR="00B42AAF">
        <w:rPr>
          <w:rFonts w:cs="Arial"/>
        </w:rPr>
        <w:t>6</w:t>
      </w:r>
      <w:r w:rsidRPr="002F5639" w:rsidR="00685898">
        <w:rPr>
          <w:rFonts w:cs="Arial"/>
        </w:rPr>
        <w:t>.</w:t>
      </w:r>
      <w:r w:rsidRPr="002F5639" w:rsidR="00210E25">
        <w:rPr>
          <w:rFonts w:cs="Arial"/>
        </w:rPr>
        <w:t xml:space="preserve"> </w:t>
      </w:r>
    </w:p>
    <w:tbl>
      <w:tblPr>
        <w:tblW w:w="13756" w:type="dxa"/>
        <w:tblLook w:val="04A0" w:firstRow="1" w:lastRow="0" w:firstColumn="1" w:lastColumn="0" w:noHBand="0" w:noVBand="1"/>
      </w:tblPr>
      <w:tblGrid>
        <w:gridCol w:w="5582"/>
        <w:gridCol w:w="1377"/>
        <w:gridCol w:w="950"/>
        <w:gridCol w:w="1862"/>
        <w:gridCol w:w="1192"/>
        <w:gridCol w:w="185"/>
        <w:gridCol w:w="1311"/>
        <w:gridCol w:w="1297"/>
      </w:tblGrid>
      <w:tr w:rsidRPr="00BC4212" w:rsidR="004B3B1A" w:rsidTr="009C5DC5" w14:paraId="470654C1" w14:textId="77777777">
        <w:trPr>
          <w:trHeight w:val="444"/>
        </w:trPr>
        <w:tc>
          <w:tcPr>
            <w:tcW w:w="5582" w:type="dxa"/>
            <w:tcBorders>
              <w:top w:val="single" w:color="auto" w:sz="8" w:space="0"/>
              <w:left w:val="single" w:color="auto" w:sz="8" w:space="0"/>
              <w:bottom w:val="nil"/>
              <w:right w:val="nil"/>
            </w:tcBorders>
            <w:shd w:val="clear" w:color="000000" w:fill="DBE5F1"/>
            <w:noWrap/>
            <w:vAlign w:val="center"/>
            <w:hideMark/>
          </w:tcPr>
          <w:p w:rsidRPr="00BC4212" w:rsidR="004B3B1A" w:rsidP="00BC4212" w:rsidRDefault="004B3B1A" w14:paraId="03627DA3"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 </w:t>
            </w:r>
          </w:p>
        </w:tc>
        <w:tc>
          <w:tcPr>
            <w:tcW w:w="1377" w:type="dxa"/>
            <w:tcBorders>
              <w:top w:val="single" w:color="auto" w:sz="8" w:space="0"/>
              <w:left w:val="single" w:color="auto" w:sz="8" w:space="0"/>
              <w:bottom w:val="nil"/>
              <w:right w:val="single" w:color="auto" w:sz="8" w:space="0"/>
            </w:tcBorders>
            <w:shd w:val="clear" w:color="000000" w:fill="DBE5F1"/>
            <w:noWrap/>
            <w:vAlign w:val="center"/>
            <w:hideMark/>
          </w:tcPr>
          <w:p w:rsidRPr="00BC4212" w:rsidR="004B3B1A" w:rsidP="00BC4212" w:rsidRDefault="004B3B1A" w14:paraId="19E1D56B"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p>
        </w:tc>
        <w:tc>
          <w:tcPr>
            <w:tcW w:w="950" w:type="dxa"/>
            <w:tcBorders>
              <w:top w:val="single" w:color="auto" w:sz="8" w:space="0"/>
              <w:left w:val="nil"/>
              <w:bottom w:val="nil"/>
              <w:right w:val="nil"/>
            </w:tcBorders>
            <w:shd w:val="clear" w:color="000000" w:fill="DBE5F1"/>
            <w:noWrap/>
            <w:vAlign w:val="center"/>
            <w:hideMark/>
          </w:tcPr>
          <w:p w:rsidRPr="00BC4212" w:rsidR="004B3B1A" w:rsidP="00BC4212" w:rsidRDefault="004B3B1A" w14:paraId="07C52897"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p>
        </w:tc>
        <w:tc>
          <w:tcPr>
            <w:tcW w:w="4550" w:type="dxa"/>
            <w:gridSpan w:val="4"/>
            <w:tcBorders>
              <w:top w:val="single" w:color="auto" w:sz="8" w:space="0"/>
              <w:left w:val="single" w:color="auto" w:sz="8" w:space="0"/>
              <w:bottom w:val="nil"/>
              <w:right w:val="single" w:color="000000" w:sz="8" w:space="0"/>
            </w:tcBorders>
            <w:shd w:val="clear" w:color="000000" w:fill="DBE5F1"/>
            <w:noWrap/>
            <w:vAlign w:val="center"/>
            <w:hideMark/>
          </w:tcPr>
          <w:p w:rsidRPr="00BC4212" w:rsidR="004B3B1A" w:rsidP="00BC4212" w:rsidRDefault="004B3B1A" w14:paraId="31B2DD9B" w14:textId="77777777">
            <w:pPr>
              <w:spacing w:after="0" w:line="240" w:lineRule="auto"/>
              <w:jc w:val="center"/>
              <w:rPr>
                <w:rFonts w:eastAsia="Times New Roman" w:cs="Arial"/>
                <w:b/>
                <w:bCs/>
                <w:color w:val="000000"/>
                <w:lang w:eastAsia="en-GB"/>
              </w:rPr>
            </w:pPr>
            <w:r w:rsidRPr="00BC4212">
              <w:rPr>
                <w:rFonts w:eastAsia="Times New Roman" w:cs="Arial"/>
                <w:b/>
                <w:bCs/>
                <w:color w:val="000000"/>
                <w:lang w:eastAsia="en-GB"/>
              </w:rPr>
              <w:t xml:space="preserve">Unusable Reserves </w:t>
            </w:r>
          </w:p>
        </w:tc>
        <w:tc>
          <w:tcPr>
            <w:tcW w:w="1297" w:type="dxa"/>
            <w:tcBorders>
              <w:top w:val="single" w:color="auto" w:sz="8" w:space="0"/>
              <w:left w:val="nil"/>
              <w:bottom w:val="nil"/>
              <w:right w:val="single" w:color="auto" w:sz="8" w:space="0"/>
            </w:tcBorders>
            <w:shd w:val="clear" w:color="000000" w:fill="DBE5F1"/>
            <w:noWrap/>
            <w:vAlign w:val="center"/>
            <w:hideMark/>
          </w:tcPr>
          <w:p w:rsidRPr="00BC4212" w:rsidR="004B3B1A" w:rsidP="00BC4212" w:rsidRDefault="004B3B1A" w14:paraId="35EC585A"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p>
        </w:tc>
      </w:tr>
      <w:tr w:rsidRPr="00BC4212" w:rsidR="004B3B1A" w:rsidTr="009C5DC5" w14:paraId="02BA5109" w14:textId="77777777">
        <w:trPr>
          <w:trHeight w:val="828"/>
        </w:trPr>
        <w:tc>
          <w:tcPr>
            <w:tcW w:w="5582" w:type="dxa"/>
            <w:tcBorders>
              <w:top w:val="nil"/>
              <w:left w:val="single" w:color="auto" w:sz="8" w:space="0"/>
              <w:bottom w:val="nil"/>
              <w:right w:val="nil"/>
            </w:tcBorders>
            <w:shd w:val="clear" w:color="000000" w:fill="DBE5F1"/>
            <w:noWrap/>
            <w:vAlign w:val="center"/>
            <w:hideMark/>
          </w:tcPr>
          <w:p w:rsidRPr="00BC4212" w:rsidR="004B3B1A" w:rsidP="00BC4212" w:rsidRDefault="004B3B1A" w14:paraId="58EE44B5"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 xml:space="preserve">Movement in Reserves Statement </w:t>
            </w:r>
          </w:p>
        </w:tc>
        <w:tc>
          <w:tcPr>
            <w:tcW w:w="1377" w:type="dxa"/>
            <w:tcBorders>
              <w:top w:val="nil"/>
              <w:left w:val="single" w:color="auto" w:sz="8" w:space="0"/>
              <w:bottom w:val="nil"/>
              <w:right w:val="single" w:color="auto" w:sz="8" w:space="0"/>
            </w:tcBorders>
            <w:shd w:val="clear" w:color="000000" w:fill="DBE5F1"/>
            <w:vAlign w:val="center"/>
            <w:hideMark/>
          </w:tcPr>
          <w:p w:rsidRPr="00BC4212" w:rsidR="004B3B1A" w:rsidP="00BC4212" w:rsidRDefault="004B3B1A" w14:paraId="5F50CD1B"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xml:space="preserve">  Total Usable Reserves</w:t>
            </w:r>
          </w:p>
        </w:tc>
        <w:tc>
          <w:tcPr>
            <w:tcW w:w="950" w:type="dxa"/>
            <w:tcBorders>
              <w:top w:val="nil"/>
              <w:left w:val="nil"/>
              <w:bottom w:val="nil"/>
              <w:right w:val="nil"/>
            </w:tcBorders>
            <w:shd w:val="clear" w:color="000000" w:fill="DBE5F1"/>
            <w:vAlign w:val="center"/>
            <w:hideMark/>
          </w:tcPr>
          <w:p w:rsidRPr="00BC4212" w:rsidR="004B3B1A" w:rsidP="00BC4212" w:rsidRDefault="004B3B1A" w14:paraId="39D95F2C" w14:textId="71A55412">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r w:rsidRPr="00B42AAF" w:rsidR="00A266DC">
              <w:rPr>
                <w:rFonts w:eastAsia="Times New Roman" w:cs="Arial"/>
                <w:color w:val="000000"/>
                <w:lang w:eastAsia="en-GB"/>
              </w:rPr>
              <w:t> </w:t>
            </w:r>
            <w:r w:rsidRPr="00B42AAF" w:rsidR="00A266DC">
              <w:rPr>
                <w:rFonts w:eastAsia="Times New Roman" w:cs="Arial"/>
                <w:b/>
                <w:bCs/>
                <w:color w:val="000000"/>
                <w:lang w:eastAsia="en-GB"/>
              </w:rPr>
              <w:t>Notes</w:t>
            </w:r>
          </w:p>
        </w:tc>
        <w:tc>
          <w:tcPr>
            <w:tcW w:w="1862" w:type="dxa"/>
            <w:tcBorders>
              <w:top w:val="nil"/>
              <w:left w:val="single" w:color="auto" w:sz="8" w:space="0"/>
              <w:bottom w:val="nil"/>
              <w:right w:val="nil"/>
            </w:tcBorders>
            <w:shd w:val="clear" w:color="000000" w:fill="DBE5F1"/>
            <w:vAlign w:val="center"/>
            <w:hideMark/>
          </w:tcPr>
          <w:p w:rsidRPr="00BC4212" w:rsidR="004B3B1A" w:rsidP="00BC4212" w:rsidRDefault="004B3B1A" w14:paraId="6324F712"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Accumulated Absence Account</w:t>
            </w:r>
          </w:p>
        </w:tc>
        <w:tc>
          <w:tcPr>
            <w:tcW w:w="1377" w:type="dxa"/>
            <w:gridSpan w:val="2"/>
            <w:tcBorders>
              <w:top w:val="nil"/>
              <w:left w:val="nil"/>
              <w:bottom w:val="nil"/>
              <w:right w:val="nil"/>
            </w:tcBorders>
            <w:shd w:val="clear" w:color="000000" w:fill="DBE5F1"/>
            <w:vAlign w:val="center"/>
            <w:hideMark/>
          </w:tcPr>
          <w:p w:rsidRPr="00BC4212" w:rsidR="004B3B1A" w:rsidP="00BC4212" w:rsidRDefault="004B3B1A" w14:paraId="1C275072"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xml:space="preserve"> Pensions Reserve</w:t>
            </w:r>
          </w:p>
        </w:tc>
        <w:tc>
          <w:tcPr>
            <w:tcW w:w="1311" w:type="dxa"/>
            <w:tcBorders>
              <w:top w:val="nil"/>
              <w:left w:val="nil"/>
              <w:bottom w:val="nil"/>
              <w:right w:val="single" w:color="auto" w:sz="8" w:space="0"/>
            </w:tcBorders>
            <w:shd w:val="clear" w:color="000000" w:fill="DBE5F1"/>
            <w:vAlign w:val="center"/>
            <w:hideMark/>
          </w:tcPr>
          <w:p w:rsidRPr="00BC4212" w:rsidR="004B3B1A" w:rsidP="00BC4212" w:rsidRDefault="004B3B1A" w14:paraId="2B45F643"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xml:space="preserve"> Total Unusable Reserves</w:t>
            </w:r>
          </w:p>
        </w:tc>
        <w:tc>
          <w:tcPr>
            <w:tcW w:w="1297" w:type="dxa"/>
            <w:tcBorders>
              <w:top w:val="nil"/>
              <w:left w:val="nil"/>
              <w:bottom w:val="nil"/>
              <w:right w:val="single" w:color="auto" w:sz="8" w:space="0"/>
            </w:tcBorders>
            <w:shd w:val="clear" w:color="000000" w:fill="DBE5F1"/>
            <w:vAlign w:val="center"/>
            <w:hideMark/>
          </w:tcPr>
          <w:p w:rsidRPr="00BC4212" w:rsidR="004B3B1A" w:rsidP="00BC4212" w:rsidRDefault="004B3B1A" w14:paraId="360541CE"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xml:space="preserve"> Total Reserves</w:t>
            </w:r>
          </w:p>
        </w:tc>
      </w:tr>
      <w:tr w:rsidRPr="00BC4212" w:rsidR="004B3B1A" w:rsidTr="009C5DC5" w14:paraId="091B1C4C" w14:textId="77777777">
        <w:trPr>
          <w:trHeight w:val="288"/>
        </w:trPr>
        <w:tc>
          <w:tcPr>
            <w:tcW w:w="5582" w:type="dxa"/>
            <w:tcBorders>
              <w:top w:val="nil"/>
              <w:left w:val="single" w:color="auto" w:sz="8" w:space="0"/>
              <w:bottom w:val="nil"/>
              <w:right w:val="nil"/>
            </w:tcBorders>
            <w:shd w:val="clear" w:color="000000" w:fill="DBE5F1"/>
            <w:noWrap/>
            <w:vAlign w:val="center"/>
            <w:hideMark/>
          </w:tcPr>
          <w:p w:rsidRPr="00BC4212" w:rsidR="004B3B1A" w:rsidP="00BC4212" w:rsidRDefault="004B3B1A" w14:paraId="40C3678A"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Regional Adoption Service</w:t>
            </w:r>
          </w:p>
        </w:tc>
        <w:tc>
          <w:tcPr>
            <w:tcW w:w="1377" w:type="dxa"/>
            <w:tcBorders>
              <w:top w:val="nil"/>
              <w:left w:val="single" w:color="auto" w:sz="8" w:space="0"/>
              <w:bottom w:val="nil"/>
              <w:right w:val="single" w:color="auto" w:sz="8" w:space="0"/>
            </w:tcBorders>
            <w:shd w:val="clear" w:color="000000" w:fill="DBE5F1"/>
            <w:vAlign w:val="center"/>
            <w:hideMark/>
          </w:tcPr>
          <w:p w:rsidRPr="00BC4212" w:rsidR="004B3B1A" w:rsidP="00BC4212" w:rsidRDefault="004B3B1A" w14:paraId="63DBBA69"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£’000</w:t>
            </w:r>
          </w:p>
        </w:tc>
        <w:tc>
          <w:tcPr>
            <w:tcW w:w="950" w:type="dxa"/>
            <w:tcBorders>
              <w:top w:val="nil"/>
              <w:left w:val="nil"/>
              <w:bottom w:val="nil"/>
              <w:right w:val="nil"/>
            </w:tcBorders>
            <w:shd w:val="clear" w:color="000000" w:fill="DBE5F1"/>
            <w:vAlign w:val="center"/>
            <w:hideMark/>
          </w:tcPr>
          <w:p w:rsidRPr="00BC4212" w:rsidR="004B3B1A" w:rsidP="00BC4212" w:rsidRDefault="004B3B1A" w14:paraId="7F8B2B5A"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p>
        </w:tc>
        <w:tc>
          <w:tcPr>
            <w:tcW w:w="1862" w:type="dxa"/>
            <w:tcBorders>
              <w:top w:val="nil"/>
              <w:left w:val="single" w:color="auto" w:sz="8" w:space="0"/>
              <w:bottom w:val="nil"/>
              <w:right w:val="nil"/>
            </w:tcBorders>
            <w:shd w:val="clear" w:color="000000" w:fill="DBE5F1"/>
            <w:vAlign w:val="center"/>
            <w:hideMark/>
          </w:tcPr>
          <w:p w:rsidRPr="00BC4212" w:rsidR="004B3B1A" w:rsidP="00BC4212" w:rsidRDefault="004B3B1A" w14:paraId="190B1A67"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£’000</w:t>
            </w:r>
          </w:p>
        </w:tc>
        <w:tc>
          <w:tcPr>
            <w:tcW w:w="1192" w:type="dxa"/>
            <w:tcBorders>
              <w:top w:val="nil"/>
              <w:left w:val="nil"/>
              <w:bottom w:val="nil"/>
              <w:right w:val="nil"/>
            </w:tcBorders>
            <w:shd w:val="clear" w:color="000000" w:fill="DBE5F1"/>
            <w:vAlign w:val="center"/>
            <w:hideMark/>
          </w:tcPr>
          <w:p w:rsidRPr="00BC4212" w:rsidR="004B3B1A" w:rsidP="00BC4212" w:rsidRDefault="004B3B1A" w14:paraId="5A009AE3"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£’000</w:t>
            </w:r>
          </w:p>
        </w:tc>
        <w:tc>
          <w:tcPr>
            <w:tcW w:w="1496" w:type="dxa"/>
            <w:gridSpan w:val="2"/>
            <w:tcBorders>
              <w:top w:val="nil"/>
              <w:left w:val="nil"/>
              <w:bottom w:val="nil"/>
              <w:right w:val="single" w:color="auto" w:sz="8" w:space="0"/>
            </w:tcBorders>
            <w:shd w:val="clear" w:color="000000" w:fill="DBE5F1"/>
            <w:vAlign w:val="center"/>
            <w:hideMark/>
          </w:tcPr>
          <w:p w:rsidRPr="00BC4212" w:rsidR="004B3B1A" w:rsidP="00BC4212" w:rsidRDefault="004B3B1A" w14:paraId="6442DC84"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£’000</w:t>
            </w:r>
          </w:p>
        </w:tc>
        <w:tc>
          <w:tcPr>
            <w:tcW w:w="1297" w:type="dxa"/>
            <w:tcBorders>
              <w:top w:val="nil"/>
              <w:left w:val="nil"/>
              <w:bottom w:val="nil"/>
              <w:right w:val="single" w:color="auto" w:sz="8" w:space="0"/>
            </w:tcBorders>
            <w:shd w:val="clear" w:color="000000" w:fill="DBE5F1"/>
            <w:vAlign w:val="center"/>
            <w:hideMark/>
          </w:tcPr>
          <w:p w:rsidRPr="00BC4212" w:rsidR="004B3B1A" w:rsidP="00BC4212" w:rsidRDefault="004B3B1A" w14:paraId="74129CED"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£’000</w:t>
            </w:r>
          </w:p>
        </w:tc>
      </w:tr>
      <w:tr w:rsidRPr="00BC4212" w:rsidR="004B3B1A" w:rsidTr="009C5DC5" w14:paraId="389F99BE" w14:textId="77777777">
        <w:trPr>
          <w:trHeight w:val="300"/>
        </w:trPr>
        <w:tc>
          <w:tcPr>
            <w:tcW w:w="5582" w:type="dxa"/>
            <w:tcBorders>
              <w:top w:val="nil"/>
              <w:left w:val="single" w:color="auto" w:sz="8" w:space="0"/>
              <w:bottom w:val="single" w:color="auto" w:sz="8" w:space="0"/>
              <w:right w:val="nil"/>
            </w:tcBorders>
            <w:shd w:val="clear" w:color="000000" w:fill="DBE5F1"/>
            <w:noWrap/>
            <w:vAlign w:val="center"/>
            <w:hideMark/>
          </w:tcPr>
          <w:p w:rsidRPr="00BC4212" w:rsidR="004B3B1A" w:rsidP="00BC4212" w:rsidRDefault="004B3B1A" w14:paraId="70194E2C"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 </w:t>
            </w:r>
          </w:p>
        </w:tc>
        <w:tc>
          <w:tcPr>
            <w:tcW w:w="1377" w:type="dxa"/>
            <w:tcBorders>
              <w:top w:val="nil"/>
              <w:left w:val="single" w:color="auto" w:sz="8" w:space="0"/>
              <w:bottom w:val="single" w:color="auto" w:sz="8" w:space="0"/>
              <w:right w:val="single" w:color="auto" w:sz="8" w:space="0"/>
            </w:tcBorders>
            <w:shd w:val="clear" w:color="000000" w:fill="DBE5F1"/>
            <w:vAlign w:val="center"/>
            <w:hideMark/>
          </w:tcPr>
          <w:p w:rsidRPr="00BC4212" w:rsidR="004B3B1A" w:rsidP="00BC4212" w:rsidRDefault="004B3B1A" w14:paraId="3C50AF1E" w14:textId="77777777">
            <w:pPr>
              <w:spacing w:after="0" w:line="240" w:lineRule="auto"/>
              <w:rPr>
                <w:rFonts w:eastAsia="Times New Roman" w:cs="Arial"/>
                <w:color w:val="000000"/>
                <w:sz w:val="20"/>
                <w:szCs w:val="20"/>
                <w:lang w:eastAsia="en-GB"/>
              </w:rPr>
            </w:pPr>
            <w:r w:rsidRPr="00BC4212">
              <w:rPr>
                <w:rFonts w:eastAsia="Times New Roman" w:cs="Arial"/>
                <w:color w:val="000000"/>
                <w:sz w:val="20"/>
                <w:szCs w:val="20"/>
                <w:lang w:eastAsia="en-GB"/>
              </w:rPr>
              <w:t> </w:t>
            </w:r>
          </w:p>
        </w:tc>
        <w:tc>
          <w:tcPr>
            <w:tcW w:w="950" w:type="dxa"/>
            <w:tcBorders>
              <w:top w:val="nil"/>
              <w:left w:val="nil"/>
              <w:bottom w:val="single" w:color="auto" w:sz="8" w:space="0"/>
              <w:right w:val="nil"/>
            </w:tcBorders>
            <w:shd w:val="clear" w:color="000000" w:fill="DBE5F1"/>
            <w:vAlign w:val="center"/>
            <w:hideMark/>
          </w:tcPr>
          <w:p w:rsidRPr="00BC4212" w:rsidR="004B3B1A" w:rsidP="00BC4212" w:rsidRDefault="004B3B1A" w14:paraId="7E5AD8C7" w14:textId="77777777">
            <w:pPr>
              <w:spacing w:after="0" w:line="240" w:lineRule="auto"/>
              <w:rPr>
                <w:rFonts w:eastAsia="Times New Roman" w:cs="Arial"/>
                <w:color w:val="000000"/>
                <w:sz w:val="20"/>
                <w:szCs w:val="20"/>
                <w:lang w:eastAsia="en-GB"/>
              </w:rPr>
            </w:pPr>
            <w:r w:rsidRPr="00BC4212">
              <w:rPr>
                <w:rFonts w:eastAsia="Times New Roman" w:cs="Arial"/>
                <w:color w:val="000000"/>
                <w:sz w:val="20"/>
                <w:szCs w:val="20"/>
                <w:lang w:eastAsia="en-GB"/>
              </w:rPr>
              <w:t> </w:t>
            </w:r>
          </w:p>
        </w:tc>
        <w:tc>
          <w:tcPr>
            <w:tcW w:w="1862" w:type="dxa"/>
            <w:tcBorders>
              <w:top w:val="nil"/>
              <w:left w:val="single" w:color="auto" w:sz="8" w:space="0"/>
              <w:bottom w:val="single" w:color="auto" w:sz="8" w:space="0"/>
              <w:right w:val="nil"/>
            </w:tcBorders>
            <w:shd w:val="clear" w:color="000000" w:fill="DBE5F1"/>
            <w:vAlign w:val="center"/>
            <w:hideMark/>
          </w:tcPr>
          <w:p w:rsidRPr="00BC4212" w:rsidR="004B3B1A" w:rsidP="00BC4212" w:rsidRDefault="004B3B1A" w14:paraId="7E3B440C" w14:textId="77777777">
            <w:pPr>
              <w:spacing w:after="0" w:line="240" w:lineRule="auto"/>
              <w:rPr>
                <w:rFonts w:eastAsia="Times New Roman" w:cs="Arial"/>
                <w:color w:val="000000"/>
                <w:sz w:val="20"/>
                <w:szCs w:val="20"/>
                <w:lang w:eastAsia="en-GB"/>
              </w:rPr>
            </w:pPr>
            <w:r w:rsidRPr="00BC4212">
              <w:rPr>
                <w:rFonts w:eastAsia="Times New Roman" w:cs="Arial"/>
                <w:color w:val="000000"/>
                <w:sz w:val="20"/>
                <w:szCs w:val="20"/>
                <w:lang w:eastAsia="en-GB"/>
              </w:rPr>
              <w:t> </w:t>
            </w:r>
          </w:p>
        </w:tc>
        <w:tc>
          <w:tcPr>
            <w:tcW w:w="1192" w:type="dxa"/>
            <w:tcBorders>
              <w:top w:val="nil"/>
              <w:left w:val="nil"/>
              <w:bottom w:val="single" w:color="auto" w:sz="8" w:space="0"/>
              <w:right w:val="nil"/>
            </w:tcBorders>
            <w:shd w:val="clear" w:color="000000" w:fill="DBE5F1"/>
            <w:vAlign w:val="center"/>
            <w:hideMark/>
          </w:tcPr>
          <w:p w:rsidRPr="00BC4212" w:rsidR="004B3B1A" w:rsidP="00BC4212" w:rsidRDefault="004B3B1A" w14:paraId="42AE8701" w14:textId="77777777">
            <w:pPr>
              <w:spacing w:after="0" w:line="240" w:lineRule="auto"/>
              <w:rPr>
                <w:rFonts w:eastAsia="Times New Roman" w:cs="Arial"/>
                <w:color w:val="000000"/>
                <w:sz w:val="20"/>
                <w:szCs w:val="20"/>
                <w:lang w:eastAsia="en-GB"/>
              </w:rPr>
            </w:pPr>
            <w:r w:rsidRPr="00BC4212">
              <w:rPr>
                <w:rFonts w:eastAsia="Times New Roman" w:cs="Arial"/>
                <w:color w:val="000000"/>
                <w:sz w:val="20"/>
                <w:szCs w:val="20"/>
                <w:lang w:eastAsia="en-GB"/>
              </w:rPr>
              <w:t> </w:t>
            </w:r>
          </w:p>
        </w:tc>
        <w:tc>
          <w:tcPr>
            <w:tcW w:w="1496" w:type="dxa"/>
            <w:gridSpan w:val="2"/>
            <w:tcBorders>
              <w:top w:val="nil"/>
              <w:left w:val="nil"/>
              <w:bottom w:val="single" w:color="auto" w:sz="8" w:space="0"/>
              <w:right w:val="single" w:color="auto" w:sz="8" w:space="0"/>
            </w:tcBorders>
            <w:shd w:val="clear" w:color="000000" w:fill="DBE5F1"/>
            <w:vAlign w:val="center"/>
            <w:hideMark/>
          </w:tcPr>
          <w:p w:rsidRPr="00BC4212" w:rsidR="004B3B1A" w:rsidP="00BC4212" w:rsidRDefault="004B3B1A" w14:paraId="3C7E1AF0"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p>
        </w:tc>
        <w:tc>
          <w:tcPr>
            <w:tcW w:w="1297" w:type="dxa"/>
            <w:tcBorders>
              <w:top w:val="nil"/>
              <w:left w:val="nil"/>
              <w:bottom w:val="single" w:color="auto" w:sz="8" w:space="0"/>
              <w:right w:val="single" w:color="auto" w:sz="8" w:space="0"/>
            </w:tcBorders>
            <w:shd w:val="clear" w:color="000000" w:fill="DBE5F1"/>
            <w:vAlign w:val="center"/>
            <w:hideMark/>
          </w:tcPr>
          <w:p w:rsidRPr="00BC4212" w:rsidR="004B3B1A" w:rsidP="00BC4212" w:rsidRDefault="004B3B1A" w14:paraId="4CDC4067" w14:textId="77777777">
            <w:pPr>
              <w:spacing w:after="0" w:line="240" w:lineRule="auto"/>
              <w:rPr>
                <w:rFonts w:eastAsia="Times New Roman" w:cs="Arial"/>
                <w:color w:val="000000"/>
                <w:sz w:val="20"/>
                <w:szCs w:val="20"/>
                <w:lang w:eastAsia="en-GB"/>
              </w:rPr>
            </w:pPr>
            <w:r w:rsidRPr="00BC4212">
              <w:rPr>
                <w:rFonts w:eastAsia="Times New Roman" w:cs="Arial"/>
                <w:color w:val="000000"/>
                <w:sz w:val="20"/>
                <w:szCs w:val="20"/>
                <w:lang w:eastAsia="en-GB"/>
              </w:rPr>
              <w:t> </w:t>
            </w:r>
          </w:p>
        </w:tc>
      </w:tr>
      <w:tr w:rsidRPr="00BC4212" w:rsidR="004B3B1A" w:rsidTr="009C5DC5" w14:paraId="67BD5034" w14:textId="77777777">
        <w:trPr>
          <w:trHeight w:val="300"/>
        </w:trPr>
        <w:tc>
          <w:tcPr>
            <w:tcW w:w="5582" w:type="dxa"/>
            <w:tcBorders>
              <w:top w:val="nil"/>
              <w:left w:val="single" w:color="auto" w:sz="8" w:space="0"/>
              <w:bottom w:val="single" w:color="auto" w:sz="8" w:space="0"/>
              <w:right w:val="nil"/>
            </w:tcBorders>
            <w:shd w:val="clear" w:color="auto" w:fill="auto"/>
            <w:noWrap/>
            <w:vAlign w:val="center"/>
            <w:hideMark/>
          </w:tcPr>
          <w:p w:rsidRPr="00BC4212" w:rsidR="004B3B1A" w:rsidP="00BC4212" w:rsidRDefault="004B3B1A" w14:paraId="5DD9DE32"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377" w:type="dxa"/>
            <w:tcBorders>
              <w:top w:val="nil"/>
              <w:left w:val="single" w:color="auto" w:sz="8" w:space="0"/>
              <w:bottom w:val="single" w:color="auto" w:sz="8" w:space="0"/>
              <w:right w:val="single" w:color="auto" w:sz="8" w:space="0"/>
            </w:tcBorders>
            <w:shd w:val="clear" w:color="auto" w:fill="auto"/>
            <w:vAlign w:val="center"/>
            <w:hideMark/>
          </w:tcPr>
          <w:p w:rsidRPr="00BC4212" w:rsidR="004B3B1A" w:rsidP="00BC4212" w:rsidRDefault="004B3B1A" w14:paraId="23816680"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950" w:type="dxa"/>
            <w:tcBorders>
              <w:top w:val="nil"/>
              <w:left w:val="nil"/>
              <w:bottom w:val="single" w:color="auto" w:sz="8" w:space="0"/>
              <w:right w:val="nil"/>
            </w:tcBorders>
            <w:shd w:val="clear" w:color="auto" w:fill="auto"/>
            <w:vAlign w:val="center"/>
            <w:hideMark/>
          </w:tcPr>
          <w:p w:rsidRPr="00BC4212" w:rsidR="004B3B1A" w:rsidP="00BC4212" w:rsidRDefault="004B3B1A" w14:paraId="364600C3"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862" w:type="dxa"/>
            <w:tcBorders>
              <w:top w:val="nil"/>
              <w:left w:val="single" w:color="auto" w:sz="8" w:space="0"/>
              <w:bottom w:val="single" w:color="auto" w:sz="8" w:space="0"/>
              <w:right w:val="nil"/>
            </w:tcBorders>
            <w:shd w:val="clear" w:color="auto" w:fill="auto"/>
            <w:vAlign w:val="center"/>
            <w:hideMark/>
          </w:tcPr>
          <w:p w:rsidRPr="00BC4212" w:rsidR="004B3B1A" w:rsidP="00BC4212" w:rsidRDefault="004B3B1A" w14:paraId="3697FE86"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192" w:type="dxa"/>
            <w:tcBorders>
              <w:top w:val="nil"/>
              <w:left w:val="nil"/>
              <w:bottom w:val="single" w:color="auto" w:sz="8" w:space="0"/>
              <w:right w:val="nil"/>
            </w:tcBorders>
            <w:shd w:val="clear" w:color="auto" w:fill="auto"/>
            <w:vAlign w:val="center"/>
            <w:hideMark/>
          </w:tcPr>
          <w:p w:rsidRPr="00BC4212" w:rsidR="004B3B1A" w:rsidP="00BC4212" w:rsidRDefault="004B3B1A" w14:paraId="000C31AD"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496" w:type="dxa"/>
            <w:gridSpan w:val="2"/>
            <w:tcBorders>
              <w:top w:val="nil"/>
              <w:left w:val="nil"/>
              <w:bottom w:val="single" w:color="auto" w:sz="8" w:space="0"/>
              <w:right w:val="single" w:color="auto" w:sz="8" w:space="0"/>
            </w:tcBorders>
            <w:shd w:val="clear" w:color="auto" w:fill="auto"/>
            <w:vAlign w:val="center"/>
            <w:hideMark/>
          </w:tcPr>
          <w:p w:rsidRPr="00BC4212" w:rsidR="004B3B1A" w:rsidP="00BC4212" w:rsidRDefault="004B3B1A" w14:paraId="6EDA68E6"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297" w:type="dxa"/>
            <w:tcBorders>
              <w:top w:val="nil"/>
              <w:left w:val="nil"/>
              <w:bottom w:val="single" w:color="auto" w:sz="8" w:space="0"/>
              <w:right w:val="single" w:color="auto" w:sz="8" w:space="0"/>
            </w:tcBorders>
            <w:shd w:val="clear" w:color="auto" w:fill="auto"/>
            <w:vAlign w:val="center"/>
            <w:hideMark/>
          </w:tcPr>
          <w:p w:rsidRPr="00BC4212" w:rsidR="004B3B1A" w:rsidP="00BC4212" w:rsidRDefault="004B3B1A" w14:paraId="4BF74275"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p>
        </w:tc>
      </w:tr>
      <w:tr w:rsidRPr="00BC4212" w:rsidR="004B3B1A" w:rsidTr="009C5DC5" w14:paraId="7C86A3CE" w14:textId="77777777">
        <w:trPr>
          <w:trHeight w:val="300"/>
        </w:trPr>
        <w:tc>
          <w:tcPr>
            <w:tcW w:w="5582" w:type="dxa"/>
            <w:tcBorders>
              <w:top w:val="nil"/>
              <w:left w:val="single" w:color="auto" w:sz="8" w:space="0"/>
              <w:bottom w:val="single" w:color="auto" w:sz="8" w:space="0"/>
              <w:right w:val="nil"/>
            </w:tcBorders>
            <w:shd w:val="clear" w:color="000000" w:fill="DBE5F1"/>
            <w:noWrap/>
            <w:vAlign w:val="center"/>
            <w:hideMark/>
          </w:tcPr>
          <w:p w:rsidRPr="00BC4212" w:rsidR="004B3B1A" w:rsidP="00BC4212" w:rsidRDefault="004B3B1A" w14:paraId="64BAC297"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 xml:space="preserve">Balance </w:t>
            </w:r>
            <w:proofErr w:type="gramStart"/>
            <w:r w:rsidRPr="00BC4212">
              <w:rPr>
                <w:rFonts w:eastAsia="Times New Roman" w:cs="Arial"/>
                <w:b/>
                <w:bCs/>
                <w:color w:val="000000"/>
                <w:lang w:eastAsia="en-GB"/>
              </w:rPr>
              <w:t>at</w:t>
            </w:r>
            <w:proofErr w:type="gramEnd"/>
            <w:r w:rsidRPr="00BC4212">
              <w:rPr>
                <w:rFonts w:eastAsia="Times New Roman" w:cs="Arial"/>
                <w:b/>
                <w:bCs/>
                <w:color w:val="000000"/>
                <w:lang w:eastAsia="en-GB"/>
              </w:rPr>
              <w:t xml:space="preserve"> 31 March 2021 Carried Forward</w:t>
            </w:r>
          </w:p>
        </w:tc>
        <w:tc>
          <w:tcPr>
            <w:tcW w:w="1377" w:type="dxa"/>
            <w:tcBorders>
              <w:top w:val="nil"/>
              <w:left w:val="single" w:color="auto" w:sz="8" w:space="0"/>
              <w:bottom w:val="single" w:color="auto" w:sz="8" w:space="0"/>
              <w:right w:val="single" w:color="auto" w:sz="8" w:space="0"/>
            </w:tcBorders>
            <w:shd w:val="clear" w:color="000000" w:fill="DBE5F1"/>
            <w:noWrap/>
            <w:vAlign w:val="center"/>
            <w:hideMark/>
          </w:tcPr>
          <w:p w:rsidRPr="00BC4212" w:rsidR="004B3B1A" w:rsidP="00BC4212" w:rsidRDefault="004B3B1A" w14:paraId="73420878" w14:textId="3501CB82">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77</w:t>
            </w:r>
          </w:p>
        </w:tc>
        <w:tc>
          <w:tcPr>
            <w:tcW w:w="950" w:type="dxa"/>
            <w:tcBorders>
              <w:top w:val="nil"/>
              <w:left w:val="nil"/>
              <w:bottom w:val="single" w:color="auto" w:sz="8" w:space="0"/>
              <w:right w:val="nil"/>
            </w:tcBorders>
            <w:shd w:val="clear" w:color="000000" w:fill="DBE5F1"/>
            <w:noWrap/>
            <w:vAlign w:val="center"/>
            <w:hideMark/>
          </w:tcPr>
          <w:p w:rsidRPr="00BC4212" w:rsidR="004B3B1A" w:rsidP="00BC4212" w:rsidRDefault="00A266DC" w14:paraId="474BD0EA" w14:textId="6B2085AB">
            <w:pPr>
              <w:spacing w:after="0" w:line="240" w:lineRule="auto"/>
              <w:jc w:val="right"/>
              <w:rPr>
                <w:rFonts w:eastAsia="Times New Roman" w:cs="Arial"/>
                <w:b/>
                <w:bCs/>
                <w:color w:val="000000"/>
                <w:lang w:eastAsia="en-GB"/>
              </w:rPr>
            </w:pPr>
            <w:r>
              <w:rPr>
                <w:rFonts w:eastAsia="Times New Roman" w:cs="Arial"/>
                <w:b/>
                <w:bCs/>
                <w:color w:val="000000"/>
                <w:lang w:eastAsia="en-GB"/>
              </w:rPr>
              <w:t>15</w:t>
            </w:r>
            <w:r w:rsidR="009C5DC5">
              <w:rPr>
                <w:rFonts w:eastAsia="Times New Roman" w:cs="Arial"/>
                <w:b/>
                <w:bCs/>
                <w:color w:val="000000"/>
                <w:lang w:eastAsia="en-GB"/>
              </w:rPr>
              <w:t>,16</w:t>
            </w:r>
            <w:r w:rsidRPr="00BC4212" w:rsidR="004B3B1A">
              <w:rPr>
                <w:rFonts w:eastAsia="Times New Roman" w:cs="Arial"/>
                <w:b/>
                <w:bCs/>
                <w:color w:val="000000"/>
                <w:lang w:eastAsia="en-GB"/>
              </w:rPr>
              <w:t> </w:t>
            </w:r>
          </w:p>
        </w:tc>
        <w:tc>
          <w:tcPr>
            <w:tcW w:w="1862" w:type="dxa"/>
            <w:tcBorders>
              <w:top w:val="nil"/>
              <w:left w:val="single" w:color="auto" w:sz="8" w:space="0"/>
              <w:bottom w:val="single" w:color="auto" w:sz="8" w:space="0"/>
              <w:right w:val="nil"/>
            </w:tcBorders>
            <w:shd w:val="clear" w:color="000000" w:fill="DBE5F1"/>
            <w:noWrap/>
            <w:vAlign w:val="center"/>
            <w:hideMark/>
          </w:tcPr>
          <w:p w:rsidRPr="00BC4212" w:rsidR="004B3B1A" w:rsidP="00BC4212" w:rsidRDefault="009F085B" w14:paraId="429A7B72" w14:textId="541131A3">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42</w:t>
            </w:r>
          </w:p>
        </w:tc>
        <w:tc>
          <w:tcPr>
            <w:tcW w:w="1192" w:type="dxa"/>
            <w:tcBorders>
              <w:top w:val="nil"/>
              <w:left w:val="nil"/>
              <w:bottom w:val="single" w:color="auto" w:sz="8" w:space="0"/>
              <w:right w:val="nil"/>
            </w:tcBorders>
            <w:shd w:val="clear" w:color="000000" w:fill="DBE5F1"/>
            <w:noWrap/>
            <w:vAlign w:val="center"/>
            <w:hideMark/>
          </w:tcPr>
          <w:p w:rsidRPr="00BC4212" w:rsidR="004B3B1A" w:rsidP="00BC4212" w:rsidRDefault="009F085B" w14:paraId="3B7EA778" w14:textId="7AEB28E3">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4,040</w:t>
            </w:r>
          </w:p>
        </w:tc>
        <w:tc>
          <w:tcPr>
            <w:tcW w:w="1496" w:type="dxa"/>
            <w:gridSpan w:val="2"/>
            <w:tcBorders>
              <w:top w:val="nil"/>
              <w:left w:val="nil"/>
              <w:bottom w:val="single" w:color="auto" w:sz="8" w:space="0"/>
              <w:right w:val="single" w:color="auto" w:sz="8" w:space="0"/>
            </w:tcBorders>
            <w:shd w:val="clear" w:color="000000" w:fill="DBE5F1"/>
            <w:noWrap/>
            <w:vAlign w:val="center"/>
            <w:hideMark/>
          </w:tcPr>
          <w:p w:rsidRPr="00BC4212" w:rsidR="004B3B1A" w:rsidP="00BC4212" w:rsidRDefault="009F085B" w14:paraId="04EB8562" w14:textId="12A3A8D9">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4,082</w:t>
            </w:r>
          </w:p>
        </w:tc>
        <w:tc>
          <w:tcPr>
            <w:tcW w:w="1297" w:type="dxa"/>
            <w:tcBorders>
              <w:top w:val="nil"/>
              <w:left w:val="nil"/>
              <w:bottom w:val="single" w:color="auto" w:sz="8" w:space="0"/>
              <w:right w:val="single" w:color="auto" w:sz="8" w:space="0"/>
            </w:tcBorders>
            <w:shd w:val="clear" w:color="000000" w:fill="DBE5F1"/>
            <w:noWrap/>
            <w:vAlign w:val="center"/>
            <w:hideMark/>
          </w:tcPr>
          <w:p w:rsidRPr="00BC4212" w:rsidR="004B3B1A" w:rsidP="00BC4212" w:rsidRDefault="009F085B" w14:paraId="5A68AB76" w14:textId="0E3E7B13">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4,005</w:t>
            </w:r>
          </w:p>
        </w:tc>
      </w:tr>
      <w:tr w:rsidRPr="00BC4212" w:rsidR="004B3B1A" w:rsidTr="009C5DC5" w14:paraId="7AF6AF6D" w14:textId="77777777">
        <w:trPr>
          <w:trHeight w:val="300"/>
        </w:trPr>
        <w:tc>
          <w:tcPr>
            <w:tcW w:w="5582" w:type="dxa"/>
            <w:tcBorders>
              <w:top w:val="nil"/>
              <w:left w:val="single" w:color="auto" w:sz="8" w:space="0"/>
              <w:bottom w:val="nil"/>
              <w:right w:val="nil"/>
            </w:tcBorders>
            <w:shd w:val="clear" w:color="auto" w:fill="auto"/>
            <w:noWrap/>
            <w:vAlign w:val="center"/>
            <w:hideMark/>
          </w:tcPr>
          <w:p w:rsidRPr="00BC4212" w:rsidR="004B3B1A" w:rsidP="00BC4212" w:rsidRDefault="004B3B1A" w14:paraId="54472326" w14:textId="77777777">
            <w:pPr>
              <w:spacing w:after="0" w:line="240" w:lineRule="auto"/>
              <w:rPr>
                <w:rFonts w:eastAsia="Times New Roman" w:cs="Arial"/>
                <w:color w:val="000000"/>
                <w:lang w:eastAsia="en-GB"/>
              </w:rPr>
            </w:pPr>
            <w:r w:rsidRPr="00BC4212">
              <w:rPr>
                <w:rFonts w:eastAsia="Times New Roman" w:cs="Arial"/>
                <w:color w:val="000000"/>
                <w:lang w:eastAsia="en-GB"/>
              </w:rPr>
              <w:t>Movement in Reserves during 2021/22</w:t>
            </w:r>
          </w:p>
        </w:tc>
        <w:tc>
          <w:tcPr>
            <w:tcW w:w="1377" w:type="dxa"/>
            <w:tcBorders>
              <w:top w:val="nil"/>
              <w:left w:val="single" w:color="auto" w:sz="8" w:space="0"/>
              <w:bottom w:val="nil"/>
              <w:right w:val="single" w:color="auto" w:sz="8" w:space="0"/>
            </w:tcBorders>
            <w:shd w:val="clear" w:color="auto" w:fill="auto"/>
            <w:noWrap/>
            <w:vAlign w:val="center"/>
            <w:hideMark/>
          </w:tcPr>
          <w:p w:rsidRPr="00BC4212" w:rsidR="004B3B1A" w:rsidP="00BC4212" w:rsidRDefault="004B3B1A" w14:paraId="02885F56"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950" w:type="dxa"/>
            <w:tcBorders>
              <w:top w:val="nil"/>
              <w:left w:val="nil"/>
              <w:bottom w:val="nil"/>
              <w:right w:val="nil"/>
            </w:tcBorders>
            <w:shd w:val="clear" w:color="auto" w:fill="auto"/>
            <w:noWrap/>
            <w:vAlign w:val="center"/>
            <w:hideMark/>
          </w:tcPr>
          <w:p w:rsidRPr="00BC4212" w:rsidR="004B3B1A" w:rsidP="00BC4212" w:rsidRDefault="004B3B1A" w14:paraId="44BE2110" w14:textId="77777777">
            <w:pPr>
              <w:spacing w:after="0" w:line="240" w:lineRule="auto"/>
              <w:rPr>
                <w:rFonts w:eastAsia="Times New Roman" w:cs="Arial"/>
                <w:color w:val="000000"/>
                <w:lang w:eastAsia="en-GB"/>
              </w:rPr>
            </w:pPr>
          </w:p>
        </w:tc>
        <w:tc>
          <w:tcPr>
            <w:tcW w:w="1862" w:type="dxa"/>
            <w:tcBorders>
              <w:top w:val="nil"/>
              <w:left w:val="single" w:color="auto" w:sz="8" w:space="0"/>
              <w:bottom w:val="nil"/>
              <w:right w:val="nil"/>
            </w:tcBorders>
            <w:shd w:val="clear" w:color="auto" w:fill="auto"/>
            <w:noWrap/>
            <w:vAlign w:val="center"/>
            <w:hideMark/>
          </w:tcPr>
          <w:p w:rsidRPr="00BC4212" w:rsidR="004B3B1A" w:rsidP="00BC4212" w:rsidRDefault="004B3B1A" w14:paraId="4D072CD8"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192" w:type="dxa"/>
            <w:tcBorders>
              <w:top w:val="nil"/>
              <w:left w:val="nil"/>
              <w:bottom w:val="nil"/>
              <w:right w:val="nil"/>
            </w:tcBorders>
            <w:shd w:val="clear" w:color="auto" w:fill="auto"/>
            <w:noWrap/>
            <w:vAlign w:val="center"/>
            <w:hideMark/>
          </w:tcPr>
          <w:p w:rsidRPr="00BC4212" w:rsidR="004B3B1A" w:rsidP="00BC4212" w:rsidRDefault="004B3B1A" w14:paraId="275036A2" w14:textId="77777777">
            <w:pPr>
              <w:spacing w:after="0" w:line="240" w:lineRule="auto"/>
              <w:rPr>
                <w:rFonts w:eastAsia="Times New Roman" w:cs="Arial"/>
                <w:color w:val="000000"/>
                <w:lang w:eastAsia="en-GB"/>
              </w:rPr>
            </w:pPr>
          </w:p>
        </w:tc>
        <w:tc>
          <w:tcPr>
            <w:tcW w:w="1496" w:type="dxa"/>
            <w:gridSpan w:val="2"/>
            <w:tcBorders>
              <w:top w:val="nil"/>
              <w:left w:val="nil"/>
              <w:bottom w:val="nil"/>
              <w:right w:val="single" w:color="auto" w:sz="8" w:space="0"/>
            </w:tcBorders>
            <w:shd w:val="clear" w:color="auto" w:fill="auto"/>
            <w:noWrap/>
            <w:vAlign w:val="center"/>
            <w:hideMark/>
          </w:tcPr>
          <w:p w:rsidRPr="00BC4212" w:rsidR="004B3B1A" w:rsidP="00BC4212" w:rsidRDefault="004B3B1A" w14:paraId="4B4CA85D"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297" w:type="dxa"/>
            <w:tcBorders>
              <w:top w:val="nil"/>
              <w:left w:val="nil"/>
              <w:bottom w:val="nil"/>
              <w:right w:val="single" w:color="auto" w:sz="8" w:space="0"/>
            </w:tcBorders>
            <w:shd w:val="clear" w:color="auto" w:fill="auto"/>
            <w:noWrap/>
            <w:vAlign w:val="center"/>
            <w:hideMark/>
          </w:tcPr>
          <w:p w:rsidRPr="00BC4212" w:rsidR="004B3B1A" w:rsidP="00BC4212" w:rsidRDefault="004B3B1A" w14:paraId="56E3C483"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p>
        </w:tc>
      </w:tr>
      <w:tr w:rsidRPr="00BC4212" w:rsidR="004B3B1A" w:rsidTr="009C5DC5" w14:paraId="611A670C" w14:textId="77777777">
        <w:trPr>
          <w:trHeight w:val="300"/>
        </w:trPr>
        <w:tc>
          <w:tcPr>
            <w:tcW w:w="5582" w:type="dxa"/>
            <w:tcBorders>
              <w:top w:val="single" w:color="auto" w:sz="8" w:space="0"/>
              <w:left w:val="single" w:color="auto" w:sz="8" w:space="0"/>
              <w:bottom w:val="single" w:color="auto" w:sz="8" w:space="0"/>
              <w:right w:val="nil"/>
            </w:tcBorders>
            <w:shd w:val="clear" w:color="auto" w:fill="auto"/>
            <w:noWrap/>
            <w:vAlign w:val="center"/>
            <w:hideMark/>
          </w:tcPr>
          <w:p w:rsidRPr="00BC4212" w:rsidR="004B3B1A" w:rsidP="00BC4212" w:rsidRDefault="004B3B1A" w14:paraId="64B4E0A2"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Total Comprehensive Income &amp; Expenditure</w:t>
            </w:r>
          </w:p>
        </w:tc>
        <w:tc>
          <w:tcPr>
            <w:tcW w:w="1377"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BC4212" w:rsidR="004B3B1A" w:rsidP="00BC4212" w:rsidRDefault="009F085B" w14:paraId="35BC587E" w14:textId="20E9048F">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351</w:t>
            </w:r>
          </w:p>
        </w:tc>
        <w:tc>
          <w:tcPr>
            <w:tcW w:w="950" w:type="dxa"/>
            <w:tcBorders>
              <w:top w:val="single" w:color="auto" w:sz="8" w:space="0"/>
              <w:left w:val="nil"/>
              <w:bottom w:val="single" w:color="auto" w:sz="8" w:space="0"/>
              <w:right w:val="nil"/>
            </w:tcBorders>
            <w:shd w:val="clear" w:color="auto" w:fill="auto"/>
            <w:noWrap/>
            <w:vAlign w:val="center"/>
            <w:hideMark/>
          </w:tcPr>
          <w:p w:rsidRPr="00BC4212" w:rsidR="004B3B1A" w:rsidP="00BC4212" w:rsidRDefault="004B3B1A" w14:paraId="159B9D49"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p>
        </w:tc>
        <w:tc>
          <w:tcPr>
            <w:tcW w:w="1862" w:type="dxa"/>
            <w:tcBorders>
              <w:top w:val="single" w:color="auto" w:sz="8" w:space="0"/>
              <w:left w:val="single" w:color="auto" w:sz="8" w:space="0"/>
              <w:bottom w:val="single" w:color="auto" w:sz="8" w:space="0"/>
              <w:right w:val="nil"/>
            </w:tcBorders>
            <w:shd w:val="clear" w:color="auto" w:fill="auto"/>
            <w:noWrap/>
            <w:vAlign w:val="center"/>
            <w:hideMark/>
          </w:tcPr>
          <w:p w:rsidRPr="00BC4212" w:rsidR="004B3B1A" w:rsidP="00BC4212" w:rsidRDefault="004B3B1A" w14:paraId="0DEDC640"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0</w:t>
            </w:r>
          </w:p>
        </w:tc>
        <w:tc>
          <w:tcPr>
            <w:tcW w:w="1192" w:type="dxa"/>
            <w:tcBorders>
              <w:top w:val="single" w:color="auto" w:sz="8" w:space="0"/>
              <w:left w:val="nil"/>
              <w:bottom w:val="single" w:color="auto" w:sz="8" w:space="0"/>
              <w:right w:val="nil"/>
            </w:tcBorders>
            <w:shd w:val="clear" w:color="auto" w:fill="auto"/>
            <w:noWrap/>
            <w:vAlign w:val="center"/>
            <w:hideMark/>
          </w:tcPr>
          <w:p w:rsidRPr="00BC4212" w:rsidR="004B3B1A" w:rsidP="00BC4212" w:rsidRDefault="004B3B1A" w14:paraId="75DB38B9" w14:textId="2A8C73F2">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1,020</w:t>
            </w:r>
          </w:p>
        </w:tc>
        <w:tc>
          <w:tcPr>
            <w:tcW w:w="1496" w:type="dxa"/>
            <w:gridSpan w:val="2"/>
            <w:tcBorders>
              <w:top w:val="single" w:color="auto" w:sz="8" w:space="0"/>
              <w:left w:val="nil"/>
              <w:bottom w:val="single" w:color="auto" w:sz="8" w:space="0"/>
              <w:right w:val="single" w:color="auto" w:sz="8" w:space="0"/>
            </w:tcBorders>
            <w:shd w:val="clear" w:color="auto" w:fill="auto"/>
            <w:noWrap/>
            <w:vAlign w:val="center"/>
            <w:hideMark/>
          </w:tcPr>
          <w:p w:rsidRPr="00BC4212" w:rsidR="004B3B1A" w:rsidP="00BC4212" w:rsidRDefault="004B3B1A" w14:paraId="761C093D" w14:textId="2B91366B">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1,020</w:t>
            </w:r>
          </w:p>
        </w:tc>
        <w:tc>
          <w:tcPr>
            <w:tcW w:w="1297" w:type="dxa"/>
            <w:tcBorders>
              <w:top w:val="single" w:color="auto" w:sz="8" w:space="0"/>
              <w:left w:val="nil"/>
              <w:bottom w:val="single" w:color="auto" w:sz="8" w:space="0"/>
              <w:right w:val="single" w:color="auto" w:sz="8" w:space="0"/>
            </w:tcBorders>
            <w:shd w:val="clear" w:color="auto" w:fill="auto"/>
            <w:noWrap/>
            <w:vAlign w:val="center"/>
            <w:hideMark/>
          </w:tcPr>
          <w:p w:rsidRPr="00BC4212" w:rsidR="004B3B1A" w:rsidP="00BC4212" w:rsidRDefault="004B3B1A" w14:paraId="2C9B6910" w14:textId="0E04378F">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669</w:t>
            </w:r>
          </w:p>
        </w:tc>
      </w:tr>
      <w:tr w:rsidRPr="00BC4212" w:rsidR="004B3B1A" w:rsidTr="009C5DC5" w14:paraId="421DA9BB" w14:textId="77777777">
        <w:trPr>
          <w:trHeight w:val="288"/>
        </w:trPr>
        <w:tc>
          <w:tcPr>
            <w:tcW w:w="5582" w:type="dxa"/>
            <w:tcBorders>
              <w:top w:val="nil"/>
              <w:left w:val="single" w:color="auto" w:sz="8" w:space="0"/>
              <w:bottom w:val="nil"/>
              <w:right w:val="nil"/>
            </w:tcBorders>
            <w:shd w:val="clear" w:color="auto" w:fill="auto"/>
            <w:noWrap/>
            <w:vAlign w:val="center"/>
            <w:hideMark/>
          </w:tcPr>
          <w:p w:rsidRPr="00BC4212" w:rsidR="004B3B1A" w:rsidP="00BC4212" w:rsidRDefault="004B3B1A" w14:paraId="4CF02833" w14:textId="77777777">
            <w:pPr>
              <w:spacing w:after="0" w:line="240" w:lineRule="auto"/>
              <w:rPr>
                <w:rFonts w:eastAsia="Times New Roman" w:cs="Arial"/>
                <w:color w:val="000000"/>
                <w:lang w:eastAsia="en-GB"/>
              </w:rPr>
            </w:pPr>
            <w:r w:rsidRPr="00BC4212">
              <w:rPr>
                <w:rFonts w:eastAsia="Times New Roman" w:cs="Arial"/>
                <w:color w:val="000000"/>
                <w:lang w:eastAsia="en-GB"/>
              </w:rPr>
              <w:t>Adjustments between Accounting Basis &amp; Funding Basis</w:t>
            </w:r>
          </w:p>
        </w:tc>
        <w:tc>
          <w:tcPr>
            <w:tcW w:w="1377" w:type="dxa"/>
            <w:tcBorders>
              <w:top w:val="nil"/>
              <w:left w:val="single" w:color="auto" w:sz="8" w:space="0"/>
              <w:bottom w:val="nil"/>
              <w:right w:val="single" w:color="auto" w:sz="8" w:space="0"/>
            </w:tcBorders>
            <w:shd w:val="clear" w:color="auto" w:fill="auto"/>
            <w:noWrap/>
            <w:vAlign w:val="center"/>
            <w:hideMark/>
          </w:tcPr>
          <w:p w:rsidRPr="00BC4212" w:rsidR="004B3B1A" w:rsidP="00BC4212" w:rsidRDefault="004B3B1A" w14:paraId="0D82B15B" w14:textId="69BDEB1C">
            <w:pPr>
              <w:spacing w:after="0" w:line="240" w:lineRule="auto"/>
              <w:jc w:val="right"/>
              <w:rPr>
                <w:rFonts w:eastAsia="Times New Roman" w:cs="Arial"/>
                <w:color w:val="000000"/>
                <w:lang w:eastAsia="en-GB"/>
              </w:rPr>
            </w:pPr>
            <w:r w:rsidRPr="00BC4212">
              <w:rPr>
                <w:rFonts w:eastAsia="Times New Roman" w:cs="Arial"/>
                <w:color w:val="000000"/>
                <w:lang w:eastAsia="en-GB"/>
              </w:rPr>
              <w:t>437</w:t>
            </w:r>
          </w:p>
        </w:tc>
        <w:tc>
          <w:tcPr>
            <w:tcW w:w="950" w:type="dxa"/>
            <w:tcBorders>
              <w:top w:val="nil"/>
              <w:left w:val="nil"/>
              <w:bottom w:val="nil"/>
              <w:right w:val="nil"/>
            </w:tcBorders>
            <w:shd w:val="clear" w:color="auto" w:fill="auto"/>
            <w:noWrap/>
            <w:vAlign w:val="center"/>
            <w:hideMark/>
          </w:tcPr>
          <w:p w:rsidRPr="00BC4212" w:rsidR="004B3B1A" w:rsidP="00BC4212" w:rsidRDefault="00A266DC" w14:paraId="69DA97D8" w14:textId="4326344B">
            <w:pPr>
              <w:spacing w:after="0" w:line="240" w:lineRule="auto"/>
              <w:jc w:val="right"/>
              <w:rPr>
                <w:rFonts w:eastAsia="Times New Roman" w:cs="Arial"/>
                <w:color w:val="000000"/>
                <w:lang w:eastAsia="en-GB"/>
              </w:rPr>
            </w:pPr>
            <w:r>
              <w:rPr>
                <w:rFonts w:eastAsia="Times New Roman" w:cs="Arial"/>
                <w:color w:val="000000"/>
                <w:lang w:eastAsia="en-GB"/>
              </w:rPr>
              <w:t>9</w:t>
            </w:r>
          </w:p>
        </w:tc>
        <w:tc>
          <w:tcPr>
            <w:tcW w:w="1862" w:type="dxa"/>
            <w:tcBorders>
              <w:top w:val="nil"/>
              <w:left w:val="single" w:color="auto" w:sz="8" w:space="0"/>
              <w:bottom w:val="nil"/>
              <w:right w:val="nil"/>
            </w:tcBorders>
            <w:shd w:val="clear" w:color="auto" w:fill="auto"/>
            <w:noWrap/>
            <w:vAlign w:val="center"/>
            <w:hideMark/>
          </w:tcPr>
          <w:p w:rsidRPr="00BC4212" w:rsidR="004B3B1A" w:rsidP="00BC4212" w:rsidRDefault="004B3B1A" w14:paraId="0200249F" w14:textId="32AA1986">
            <w:pPr>
              <w:spacing w:after="0" w:line="240" w:lineRule="auto"/>
              <w:jc w:val="right"/>
              <w:rPr>
                <w:rFonts w:eastAsia="Times New Roman" w:cs="Arial"/>
                <w:color w:val="000000"/>
                <w:lang w:eastAsia="en-GB"/>
              </w:rPr>
            </w:pPr>
            <w:r w:rsidRPr="00BC4212">
              <w:rPr>
                <w:rFonts w:eastAsia="Times New Roman" w:cs="Arial"/>
                <w:color w:val="000000"/>
                <w:lang w:eastAsia="en-GB"/>
              </w:rPr>
              <w:t>23</w:t>
            </w:r>
          </w:p>
        </w:tc>
        <w:tc>
          <w:tcPr>
            <w:tcW w:w="1192" w:type="dxa"/>
            <w:tcBorders>
              <w:top w:val="nil"/>
              <w:left w:val="nil"/>
              <w:bottom w:val="nil"/>
              <w:right w:val="nil"/>
            </w:tcBorders>
            <w:shd w:val="clear" w:color="auto" w:fill="auto"/>
            <w:noWrap/>
            <w:vAlign w:val="center"/>
            <w:hideMark/>
          </w:tcPr>
          <w:p w:rsidRPr="00BC4212" w:rsidR="004B3B1A" w:rsidP="00BC4212" w:rsidRDefault="009F085B" w14:paraId="5A89917F" w14:textId="6948C6EE">
            <w:pPr>
              <w:spacing w:after="0" w:line="240" w:lineRule="auto"/>
              <w:jc w:val="right"/>
              <w:rPr>
                <w:rFonts w:eastAsia="Times New Roman" w:cs="Arial"/>
                <w:color w:val="000000"/>
                <w:lang w:eastAsia="en-GB"/>
              </w:rPr>
            </w:pPr>
            <w:r>
              <w:rPr>
                <w:rFonts w:eastAsia="Times New Roman" w:cs="Arial"/>
                <w:color w:val="000000"/>
                <w:lang w:eastAsia="en-GB"/>
              </w:rPr>
              <w:t>-</w:t>
            </w:r>
            <w:r w:rsidRPr="00BC4212" w:rsidR="004B3B1A">
              <w:rPr>
                <w:rFonts w:eastAsia="Times New Roman" w:cs="Arial"/>
                <w:color w:val="000000"/>
                <w:lang w:eastAsia="en-GB"/>
              </w:rPr>
              <w:t>460</w:t>
            </w:r>
          </w:p>
        </w:tc>
        <w:tc>
          <w:tcPr>
            <w:tcW w:w="1496" w:type="dxa"/>
            <w:gridSpan w:val="2"/>
            <w:tcBorders>
              <w:top w:val="nil"/>
              <w:left w:val="nil"/>
              <w:bottom w:val="nil"/>
              <w:right w:val="single" w:color="auto" w:sz="8" w:space="0"/>
            </w:tcBorders>
            <w:shd w:val="clear" w:color="auto" w:fill="auto"/>
            <w:noWrap/>
            <w:vAlign w:val="center"/>
            <w:hideMark/>
          </w:tcPr>
          <w:p w:rsidRPr="00BC4212" w:rsidR="004B3B1A" w:rsidP="00BC4212" w:rsidRDefault="009F085B" w14:paraId="6A9F95A5" w14:textId="7CE17970">
            <w:pPr>
              <w:spacing w:after="0" w:line="240" w:lineRule="auto"/>
              <w:jc w:val="right"/>
              <w:rPr>
                <w:rFonts w:eastAsia="Times New Roman" w:cs="Arial"/>
                <w:color w:val="000000"/>
                <w:lang w:eastAsia="en-GB"/>
              </w:rPr>
            </w:pPr>
            <w:r>
              <w:rPr>
                <w:rFonts w:eastAsia="Times New Roman" w:cs="Arial"/>
                <w:color w:val="000000"/>
                <w:lang w:eastAsia="en-GB"/>
              </w:rPr>
              <w:t>-</w:t>
            </w:r>
            <w:r w:rsidRPr="00BC4212" w:rsidR="004B3B1A">
              <w:rPr>
                <w:rFonts w:eastAsia="Times New Roman" w:cs="Arial"/>
                <w:color w:val="000000"/>
                <w:lang w:eastAsia="en-GB"/>
              </w:rPr>
              <w:t>437</w:t>
            </w:r>
          </w:p>
        </w:tc>
        <w:tc>
          <w:tcPr>
            <w:tcW w:w="1297" w:type="dxa"/>
            <w:tcBorders>
              <w:top w:val="nil"/>
              <w:left w:val="nil"/>
              <w:bottom w:val="nil"/>
              <w:right w:val="single" w:color="auto" w:sz="8" w:space="0"/>
            </w:tcBorders>
            <w:shd w:val="clear" w:color="auto" w:fill="auto"/>
            <w:noWrap/>
            <w:vAlign w:val="center"/>
            <w:hideMark/>
          </w:tcPr>
          <w:p w:rsidRPr="00BC4212" w:rsidR="004B3B1A" w:rsidP="00BC4212" w:rsidRDefault="004B3B1A" w14:paraId="073CC9FD" w14:textId="77777777">
            <w:pPr>
              <w:spacing w:after="0" w:line="240" w:lineRule="auto"/>
              <w:jc w:val="right"/>
              <w:rPr>
                <w:rFonts w:eastAsia="Times New Roman" w:cs="Arial"/>
                <w:color w:val="000000"/>
                <w:lang w:eastAsia="en-GB"/>
              </w:rPr>
            </w:pPr>
            <w:r w:rsidRPr="00BC4212">
              <w:rPr>
                <w:rFonts w:eastAsia="Times New Roman" w:cs="Arial"/>
                <w:color w:val="000000"/>
                <w:lang w:eastAsia="en-GB"/>
              </w:rPr>
              <w:t>0</w:t>
            </w:r>
          </w:p>
        </w:tc>
      </w:tr>
      <w:tr w:rsidRPr="00BC4212" w:rsidR="004B3B1A" w:rsidTr="009C5DC5" w14:paraId="2973336C" w14:textId="77777777">
        <w:trPr>
          <w:trHeight w:val="288"/>
        </w:trPr>
        <w:tc>
          <w:tcPr>
            <w:tcW w:w="5582" w:type="dxa"/>
            <w:tcBorders>
              <w:top w:val="nil"/>
              <w:left w:val="single" w:color="auto" w:sz="8" w:space="0"/>
              <w:bottom w:val="nil"/>
              <w:right w:val="nil"/>
            </w:tcBorders>
            <w:shd w:val="clear" w:color="auto" w:fill="auto"/>
            <w:noWrap/>
            <w:vAlign w:val="center"/>
            <w:hideMark/>
          </w:tcPr>
          <w:p w:rsidRPr="00BC4212" w:rsidR="004B3B1A" w:rsidP="00BC4212" w:rsidRDefault="004B3B1A" w14:paraId="070534F7"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377" w:type="dxa"/>
            <w:tcBorders>
              <w:top w:val="nil"/>
              <w:left w:val="single" w:color="auto" w:sz="8" w:space="0"/>
              <w:bottom w:val="nil"/>
              <w:right w:val="single" w:color="auto" w:sz="8" w:space="0"/>
            </w:tcBorders>
            <w:shd w:val="clear" w:color="auto" w:fill="auto"/>
            <w:noWrap/>
            <w:vAlign w:val="center"/>
            <w:hideMark/>
          </w:tcPr>
          <w:p w:rsidRPr="00BC4212" w:rsidR="004B3B1A" w:rsidP="00BC4212" w:rsidRDefault="004B3B1A" w14:paraId="066E7369"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950" w:type="dxa"/>
            <w:tcBorders>
              <w:top w:val="nil"/>
              <w:left w:val="nil"/>
              <w:bottom w:val="nil"/>
              <w:right w:val="nil"/>
            </w:tcBorders>
            <w:shd w:val="clear" w:color="auto" w:fill="auto"/>
            <w:noWrap/>
            <w:vAlign w:val="center"/>
            <w:hideMark/>
          </w:tcPr>
          <w:p w:rsidRPr="00BC4212" w:rsidR="004B3B1A" w:rsidP="00BC4212" w:rsidRDefault="004B3B1A" w14:paraId="564E28D5" w14:textId="77777777">
            <w:pPr>
              <w:spacing w:after="0" w:line="240" w:lineRule="auto"/>
              <w:rPr>
                <w:rFonts w:eastAsia="Times New Roman" w:cs="Arial"/>
                <w:color w:val="000000"/>
                <w:lang w:eastAsia="en-GB"/>
              </w:rPr>
            </w:pPr>
          </w:p>
        </w:tc>
        <w:tc>
          <w:tcPr>
            <w:tcW w:w="1862" w:type="dxa"/>
            <w:tcBorders>
              <w:top w:val="nil"/>
              <w:left w:val="single" w:color="auto" w:sz="8" w:space="0"/>
              <w:bottom w:val="nil"/>
              <w:right w:val="nil"/>
            </w:tcBorders>
            <w:shd w:val="clear" w:color="auto" w:fill="auto"/>
            <w:noWrap/>
            <w:vAlign w:val="center"/>
            <w:hideMark/>
          </w:tcPr>
          <w:p w:rsidRPr="00BC4212" w:rsidR="004B3B1A" w:rsidP="00BC4212" w:rsidRDefault="004B3B1A" w14:paraId="0F815B3C"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192" w:type="dxa"/>
            <w:tcBorders>
              <w:top w:val="nil"/>
              <w:left w:val="nil"/>
              <w:bottom w:val="nil"/>
              <w:right w:val="nil"/>
            </w:tcBorders>
            <w:shd w:val="clear" w:color="auto" w:fill="auto"/>
            <w:noWrap/>
            <w:vAlign w:val="center"/>
            <w:hideMark/>
          </w:tcPr>
          <w:p w:rsidRPr="00BC4212" w:rsidR="004B3B1A" w:rsidP="00BC4212" w:rsidRDefault="004B3B1A" w14:paraId="7095B6D4" w14:textId="77777777">
            <w:pPr>
              <w:spacing w:after="0" w:line="240" w:lineRule="auto"/>
              <w:rPr>
                <w:rFonts w:eastAsia="Times New Roman" w:cs="Arial"/>
                <w:color w:val="000000"/>
                <w:lang w:eastAsia="en-GB"/>
              </w:rPr>
            </w:pPr>
          </w:p>
        </w:tc>
        <w:tc>
          <w:tcPr>
            <w:tcW w:w="1496" w:type="dxa"/>
            <w:gridSpan w:val="2"/>
            <w:tcBorders>
              <w:top w:val="nil"/>
              <w:left w:val="nil"/>
              <w:bottom w:val="nil"/>
              <w:right w:val="single" w:color="auto" w:sz="8" w:space="0"/>
            </w:tcBorders>
            <w:shd w:val="clear" w:color="auto" w:fill="auto"/>
            <w:noWrap/>
            <w:vAlign w:val="center"/>
            <w:hideMark/>
          </w:tcPr>
          <w:p w:rsidRPr="00BC4212" w:rsidR="004B3B1A" w:rsidP="00BC4212" w:rsidRDefault="004B3B1A" w14:paraId="3A93DF66"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297" w:type="dxa"/>
            <w:tcBorders>
              <w:top w:val="nil"/>
              <w:left w:val="nil"/>
              <w:bottom w:val="nil"/>
              <w:right w:val="single" w:color="auto" w:sz="8" w:space="0"/>
            </w:tcBorders>
            <w:shd w:val="clear" w:color="auto" w:fill="auto"/>
            <w:noWrap/>
            <w:vAlign w:val="center"/>
            <w:hideMark/>
          </w:tcPr>
          <w:p w:rsidRPr="00BC4212" w:rsidR="004B3B1A" w:rsidP="00BC4212" w:rsidRDefault="004B3B1A" w14:paraId="55EE139C" w14:textId="77777777">
            <w:pPr>
              <w:spacing w:after="0" w:line="240" w:lineRule="auto"/>
              <w:jc w:val="right"/>
              <w:rPr>
                <w:rFonts w:eastAsia="Times New Roman" w:cs="Arial"/>
                <w:color w:val="000000"/>
                <w:lang w:eastAsia="en-GB"/>
              </w:rPr>
            </w:pPr>
            <w:r w:rsidRPr="00BC4212">
              <w:rPr>
                <w:rFonts w:eastAsia="Times New Roman" w:cs="Arial"/>
                <w:color w:val="000000"/>
                <w:lang w:eastAsia="en-GB"/>
              </w:rPr>
              <w:t> </w:t>
            </w:r>
          </w:p>
        </w:tc>
      </w:tr>
      <w:tr w:rsidRPr="00BC4212" w:rsidR="004B3B1A" w:rsidTr="009C5DC5" w14:paraId="6921C1BA" w14:textId="77777777">
        <w:trPr>
          <w:trHeight w:val="300"/>
        </w:trPr>
        <w:tc>
          <w:tcPr>
            <w:tcW w:w="5582" w:type="dxa"/>
            <w:tcBorders>
              <w:top w:val="nil"/>
              <w:left w:val="single" w:color="auto" w:sz="8" w:space="0"/>
              <w:bottom w:val="nil"/>
              <w:right w:val="nil"/>
            </w:tcBorders>
            <w:shd w:val="clear" w:color="auto" w:fill="auto"/>
            <w:noWrap/>
            <w:vAlign w:val="center"/>
            <w:hideMark/>
          </w:tcPr>
          <w:p w:rsidRPr="00BC4212" w:rsidR="004B3B1A" w:rsidP="00BC4212" w:rsidRDefault="004B3B1A" w14:paraId="4388715A"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Increase / (Decrease) in Year</w:t>
            </w:r>
          </w:p>
        </w:tc>
        <w:tc>
          <w:tcPr>
            <w:tcW w:w="1377" w:type="dxa"/>
            <w:tcBorders>
              <w:top w:val="nil"/>
              <w:left w:val="single" w:color="auto" w:sz="8" w:space="0"/>
              <w:bottom w:val="nil"/>
              <w:right w:val="single" w:color="auto" w:sz="8" w:space="0"/>
            </w:tcBorders>
            <w:shd w:val="clear" w:color="auto" w:fill="auto"/>
            <w:noWrap/>
            <w:vAlign w:val="center"/>
            <w:hideMark/>
          </w:tcPr>
          <w:p w:rsidRPr="00BC4212" w:rsidR="004B3B1A" w:rsidP="00BC4212" w:rsidRDefault="004B3B1A" w14:paraId="6ED31B9E" w14:textId="35F16DEF">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86</w:t>
            </w:r>
          </w:p>
        </w:tc>
        <w:tc>
          <w:tcPr>
            <w:tcW w:w="950" w:type="dxa"/>
            <w:tcBorders>
              <w:top w:val="nil"/>
              <w:left w:val="nil"/>
              <w:bottom w:val="nil"/>
              <w:right w:val="nil"/>
            </w:tcBorders>
            <w:shd w:val="clear" w:color="auto" w:fill="auto"/>
            <w:noWrap/>
            <w:vAlign w:val="center"/>
            <w:hideMark/>
          </w:tcPr>
          <w:p w:rsidRPr="00BC4212" w:rsidR="004B3B1A" w:rsidP="00BC4212" w:rsidRDefault="004B3B1A" w14:paraId="33D770D7" w14:textId="77777777">
            <w:pPr>
              <w:spacing w:after="0" w:line="240" w:lineRule="auto"/>
              <w:jc w:val="right"/>
              <w:rPr>
                <w:rFonts w:eastAsia="Times New Roman" w:cs="Arial"/>
                <w:b/>
                <w:bCs/>
                <w:color w:val="000000"/>
                <w:lang w:eastAsia="en-GB"/>
              </w:rPr>
            </w:pPr>
          </w:p>
        </w:tc>
        <w:tc>
          <w:tcPr>
            <w:tcW w:w="1862" w:type="dxa"/>
            <w:tcBorders>
              <w:top w:val="nil"/>
              <w:left w:val="single" w:color="auto" w:sz="8" w:space="0"/>
              <w:bottom w:val="nil"/>
              <w:right w:val="nil"/>
            </w:tcBorders>
            <w:shd w:val="clear" w:color="auto" w:fill="auto"/>
            <w:noWrap/>
            <w:vAlign w:val="center"/>
            <w:hideMark/>
          </w:tcPr>
          <w:p w:rsidRPr="00BC4212" w:rsidR="004B3B1A" w:rsidP="00BC4212" w:rsidRDefault="004B3B1A" w14:paraId="6B10A612" w14:textId="42A20551">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23</w:t>
            </w:r>
          </w:p>
        </w:tc>
        <w:tc>
          <w:tcPr>
            <w:tcW w:w="1192" w:type="dxa"/>
            <w:tcBorders>
              <w:top w:val="nil"/>
              <w:left w:val="nil"/>
              <w:bottom w:val="nil"/>
              <w:right w:val="nil"/>
            </w:tcBorders>
            <w:shd w:val="clear" w:color="auto" w:fill="auto"/>
            <w:noWrap/>
            <w:vAlign w:val="center"/>
            <w:hideMark/>
          </w:tcPr>
          <w:p w:rsidRPr="00BC4212" w:rsidR="004B3B1A" w:rsidP="00BC4212" w:rsidRDefault="004B3B1A" w14:paraId="78BFE2B1" w14:textId="28048542">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560</w:t>
            </w:r>
          </w:p>
        </w:tc>
        <w:tc>
          <w:tcPr>
            <w:tcW w:w="1496" w:type="dxa"/>
            <w:gridSpan w:val="2"/>
            <w:tcBorders>
              <w:top w:val="nil"/>
              <w:left w:val="nil"/>
              <w:bottom w:val="nil"/>
              <w:right w:val="single" w:color="auto" w:sz="8" w:space="0"/>
            </w:tcBorders>
            <w:shd w:val="clear" w:color="auto" w:fill="auto"/>
            <w:noWrap/>
            <w:vAlign w:val="center"/>
            <w:hideMark/>
          </w:tcPr>
          <w:p w:rsidRPr="00BC4212" w:rsidR="004B3B1A" w:rsidP="00BC4212" w:rsidRDefault="004B3B1A" w14:paraId="74689EB4" w14:textId="70FCC455">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583</w:t>
            </w:r>
          </w:p>
        </w:tc>
        <w:tc>
          <w:tcPr>
            <w:tcW w:w="1297" w:type="dxa"/>
            <w:tcBorders>
              <w:top w:val="nil"/>
              <w:left w:val="nil"/>
              <w:bottom w:val="nil"/>
              <w:right w:val="single" w:color="auto" w:sz="8" w:space="0"/>
            </w:tcBorders>
            <w:shd w:val="clear" w:color="auto" w:fill="auto"/>
            <w:noWrap/>
            <w:vAlign w:val="center"/>
            <w:hideMark/>
          </w:tcPr>
          <w:p w:rsidRPr="00BC4212" w:rsidR="004B3B1A" w:rsidP="00BC4212" w:rsidRDefault="004B3B1A" w14:paraId="6C9D49B6" w14:textId="52D43081">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669</w:t>
            </w:r>
          </w:p>
        </w:tc>
      </w:tr>
      <w:tr w:rsidRPr="00BC4212" w:rsidR="004B3B1A" w:rsidTr="009C5DC5" w14:paraId="09DB0EF0" w14:textId="77777777">
        <w:trPr>
          <w:trHeight w:val="300"/>
        </w:trPr>
        <w:tc>
          <w:tcPr>
            <w:tcW w:w="5582" w:type="dxa"/>
            <w:tcBorders>
              <w:top w:val="single" w:color="auto" w:sz="8" w:space="0"/>
              <w:left w:val="single" w:color="auto" w:sz="8" w:space="0"/>
              <w:bottom w:val="single" w:color="auto" w:sz="8" w:space="0"/>
              <w:right w:val="nil"/>
            </w:tcBorders>
            <w:shd w:val="clear" w:color="000000" w:fill="DBE5F1"/>
            <w:noWrap/>
            <w:vAlign w:val="center"/>
            <w:hideMark/>
          </w:tcPr>
          <w:p w:rsidRPr="00BC4212" w:rsidR="004B3B1A" w:rsidP="00BC4212" w:rsidRDefault="004B3B1A" w14:paraId="4F11EB17"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 xml:space="preserve">Balance as </w:t>
            </w:r>
            <w:proofErr w:type="gramStart"/>
            <w:r w:rsidRPr="00BC4212">
              <w:rPr>
                <w:rFonts w:eastAsia="Times New Roman" w:cs="Arial"/>
                <w:b/>
                <w:bCs/>
                <w:color w:val="000000"/>
                <w:lang w:eastAsia="en-GB"/>
              </w:rPr>
              <w:t>at</w:t>
            </w:r>
            <w:proofErr w:type="gramEnd"/>
            <w:r w:rsidRPr="00BC4212">
              <w:rPr>
                <w:rFonts w:eastAsia="Times New Roman" w:cs="Arial"/>
                <w:b/>
                <w:bCs/>
                <w:color w:val="000000"/>
                <w:lang w:eastAsia="en-GB"/>
              </w:rPr>
              <w:t xml:space="preserve"> 31st March 2022 Carried Forward</w:t>
            </w:r>
          </w:p>
        </w:tc>
        <w:tc>
          <w:tcPr>
            <w:tcW w:w="1377" w:type="dxa"/>
            <w:tcBorders>
              <w:top w:val="single" w:color="auto" w:sz="8" w:space="0"/>
              <w:left w:val="single" w:color="auto" w:sz="8" w:space="0"/>
              <w:bottom w:val="single" w:color="auto" w:sz="8" w:space="0"/>
              <w:right w:val="single" w:color="auto" w:sz="8" w:space="0"/>
            </w:tcBorders>
            <w:shd w:val="clear" w:color="000000" w:fill="DBE5F1"/>
            <w:noWrap/>
            <w:vAlign w:val="center"/>
            <w:hideMark/>
          </w:tcPr>
          <w:p w:rsidRPr="00BC4212" w:rsidR="004B3B1A" w:rsidP="00BC4212" w:rsidRDefault="004B3B1A" w14:paraId="7F629422" w14:textId="0A133EB9">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163</w:t>
            </w:r>
          </w:p>
        </w:tc>
        <w:tc>
          <w:tcPr>
            <w:tcW w:w="950" w:type="dxa"/>
            <w:tcBorders>
              <w:top w:val="single" w:color="auto" w:sz="8" w:space="0"/>
              <w:left w:val="nil"/>
              <w:bottom w:val="single" w:color="auto" w:sz="8" w:space="0"/>
              <w:right w:val="nil"/>
            </w:tcBorders>
            <w:shd w:val="clear" w:color="000000" w:fill="DBE5F1"/>
            <w:noWrap/>
            <w:vAlign w:val="center"/>
            <w:hideMark/>
          </w:tcPr>
          <w:p w:rsidRPr="00BC4212" w:rsidR="004B3B1A" w:rsidP="00BC4212" w:rsidRDefault="009C5DC5" w14:paraId="03D9EBB2" w14:textId="77C90D66">
            <w:pPr>
              <w:spacing w:after="0" w:line="240" w:lineRule="auto"/>
              <w:jc w:val="right"/>
              <w:rPr>
                <w:rFonts w:eastAsia="Times New Roman" w:cs="Arial"/>
                <w:b/>
                <w:bCs/>
                <w:color w:val="000000"/>
                <w:lang w:eastAsia="en-GB"/>
              </w:rPr>
            </w:pPr>
            <w:r>
              <w:rPr>
                <w:rFonts w:eastAsia="Times New Roman" w:cs="Arial"/>
                <w:b/>
                <w:bCs/>
                <w:color w:val="000000"/>
                <w:lang w:eastAsia="en-GB"/>
              </w:rPr>
              <w:t>15,16</w:t>
            </w:r>
            <w:r w:rsidRPr="00BC4212">
              <w:rPr>
                <w:rFonts w:eastAsia="Times New Roman" w:cs="Arial"/>
                <w:b/>
                <w:bCs/>
                <w:color w:val="000000"/>
                <w:lang w:eastAsia="en-GB"/>
              </w:rPr>
              <w:t> </w:t>
            </w:r>
            <w:r w:rsidRPr="00BC4212" w:rsidR="004B3B1A">
              <w:rPr>
                <w:rFonts w:eastAsia="Times New Roman" w:cs="Arial"/>
                <w:b/>
                <w:bCs/>
                <w:color w:val="000000"/>
                <w:lang w:eastAsia="en-GB"/>
              </w:rPr>
              <w:t> </w:t>
            </w:r>
          </w:p>
        </w:tc>
        <w:tc>
          <w:tcPr>
            <w:tcW w:w="1862" w:type="dxa"/>
            <w:tcBorders>
              <w:top w:val="single" w:color="auto" w:sz="8" w:space="0"/>
              <w:left w:val="single" w:color="auto" w:sz="8" w:space="0"/>
              <w:bottom w:val="single" w:color="auto" w:sz="8" w:space="0"/>
              <w:right w:val="nil"/>
            </w:tcBorders>
            <w:shd w:val="clear" w:color="000000" w:fill="DBE5F1"/>
            <w:noWrap/>
            <w:vAlign w:val="center"/>
            <w:hideMark/>
          </w:tcPr>
          <w:p w:rsidRPr="00BC4212" w:rsidR="004B3B1A" w:rsidP="00BC4212" w:rsidRDefault="009F085B" w14:paraId="5A33AB35" w14:textId="5CB2D3E2">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19</w:t>
            </w:r>
          </w:p>
        </w:tc>
        <w:tc>
          <w:tcPr>
            <w:tcW w:w="1192" w:type="dxa"/>
            <w:tcBorders>
              <w:top w:val="single" w:color="auto" w:sz="8" w:space="0"/>
              <w:left w:val="nil"/>
              <w:bottom w:val="single" w:color="auto" w:sz="8" w:space="0"/>
              <w:right w:val="nil"/>
            </w:tcBorders>
            <w:shd w:val="clear" w:color="000000" w:fill="DBE5F1"/>
            <w:noWrap/>
            <w:vAlign w:val="center"/>
            <w:hideMark/>
          </w:tcPr>
          <w:p w:rsidRPr="00BC4212" w:rsidR="004B3B1A" w:rsidP="00BC4212" w:rsidRDefault="009F085B" w14:paraId="0B3BFC27" w14:textId="507904ED">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3,480</w:t>
            </w:r>
          </w:p>
        </w:tc>
        <w:tc>
          <w:tcPr>
            <w:tcW w:w="1496" w:type="dxa"/>
            <w:gridSpan w:val="2"/>
            <w:tcBorders>
              <w:top w:val="single" w:color="auto" w:sz="8" w:space="0"/>
              <w:left w:val="nil"/>
              <w:bottom w:val="single" w:color="auto" w:sz="8" w:space="0"/>
              <w:right w:val="single" w:color="auto" w:sz="8" w:space="0"/>
            </w:tcBorders>
            <w:shd w:val="clear" w:color="000000" w:fill="DBE5F1"/>
            <w:noWrap/>
            <w:vAlign w:val="center"/>
            <w:hideMark/>
          </w:tcPr>
          <w:p w:rsidRPr="00BC4212" w:rsidR="004B3B1A" w:rsidP="00BC4212" w:rsidRDefault="009F085B" w14:paraId="17452D3A" w14:textId="2C04DA74">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3,499</w:t>
            </w:r>
          </w:p>
        </w:tc>
        <w:tc>
          <w:tcPr>
            <w:tcW w:w="1297" w:type="dxa"/>
            <w:tcBorders>
              <w:top w:val="single" w:color="auto" w:sz="8" w:space="0"/>
              <w:left w:val="nil"/>
              <w:bottom w:val="single" w:color="auto" w:sz="8" w:space="0"/>
              <w:right w:val="single" w:color="auto" w:sz="8" w:space="0"/>
            </w:tcBorders>
            <w:shd w:val="clear" w:color="000000" w:fill="DBE5F1"/>
            <w:noWrap/>
            <w:vAlign w:val="center"/>
            <w:hideMark/>
          </w:tcPr>
          <w:p w:rsidRPr="00BC4212" w:rsidR="004B3B1A" w:rsidP="00BC4212" w:rsidRDefault="009F085B" w14:paraId="53E4C15E" w14:textId="3155B09D">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3,336</w:t>
            </w:r>
          </w:p>
        </w:tc>
      </w:tr>
      <w:tr w:rsidRPr="00BC4212" w:rsidR="004B3B1A" w:rsidTr="009C5DC5" w14:paraId="53C16850" w14:textId="77777777">
        <w:trPr>
          <w:trHeight w:val="300"/>
        </w:trPr>
        <w:tc>
          <w:tcPr>
            <w:tcW w:w="5582" w:type="dxa"/>
            <w:tcBorders>
              <w:top w:val="nil"/>
              <w:left w:val="single" w:color="auto" w:sz="8" w:space="0"/>
              <w:bottom w:val="nil"/>
              <w:right w:val="nil"/>
            </w:tcBorders>
            <w:shd w:val="clear" w:color="auto" w:fill="auto"/>
            <w:noWrap/>
            <w:vAlign w:val="center"/>
            <w:hideMark/>
          </w:tcPr>
          <w:p w:rsidRPr="00BC4212" w:rsidR="004B3B1A" w:rsidP="00BC4212" w:rsidRDefault="004B3B1A" w14:paraId="33D8D438" w14:textId="77777777">
            <w:pPr>
              <w:spacing w:after="0" w:line="240" w:lineRule="auto"/>
              <w:rPr>
                <w:rFonts w:eastAsia="Times New Roman" w:cs="Arial"/>
                <w:color w:val="000000"/>
                <w:lang w:eastAsia="en-GB"/>
              </w:rPr>
            </w:pPr>
            <w:r w:rsidRPr="00BC4212">
              <w:rPr>
                <w:rFonts w:eastAsia="Times New Roman" w:cs="Arial"/>
                <w:color w:val="000000"/>
                <w:lang w:eastAsia="en-GB"/>
              </w:rPr>
              <w:t>Movement in Reserves during 2022/23</w:t>
            </w:r>
          </w:p>
        </w:tc>
        <w:tc>
          <w:tcPr>
            <w:tcW w:w="1377" w:type="dxa"/>
            <w:tcBorders>
              <w:top w:val="nil"/>
              <w:left w:val="single" w:color="auto" w:sz="8" w:space="0"/>
              <w:bottom w:val="nil"/>
              <w:right w:val="single" w:color="auto" w:sz="8" w:space="0"/>
            </w:tcBorders>
            <w:shd w:val="clear" w:color="auto" w:fill="auto"/>
            <w:noWrap/>
            <w:vAlign w:val="bottom"/>
            <w:hideMark/>
          </w:tcPr>
          <w:p w:rsidRPr="00BC4212" w:rsidR="004B3B1A" w:rsidP="00BC4212" w:rsidRDefault="004B3B1A" w14:paraId="0FE149D1"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950" w:type="dxa"/>
            <w:tcBorders>
              <w:top w:val="nil"/>
              <w:left w:val="nil"/>
              <w:bottom w:val="nil"/>
              <w:right w:val="nil"/>
            </w:tcBorders>
            <w:shd w:val="clear" w:color="auto" w:fill="auto"/>
            <w:noWrap/>
            <w:vAlign w:val="bottom"/>
            <w:hideMark/>
          </w:tcPr>
          <w:p w:rsidRPr="00BC4212" w:rsidR="004B3B1A" w:rsidP="00BC4212" w:rsidRDefault="004B3B1A" w14:paraId="50D993D7" w14:textId="77777777">
            <w:pPr>
              <w:spacing w:after="0" w:line="240" w:lineRule="auto"/>
              <w:rPr>
                <w:rFonts w:eastAsia="Times New Roman" w:cs="Arial"/>
                <w:color w:val="000000"/>
                <w:lang w:eastAsia="en-GB"/>
              </w:rPr>
            </w:pPr>
          </w:p>
        </w:tc>
        <w:tc>
          <w:tcPr>
            <w:tcW w:w="1862" w:type="dxa"/>
            <w:tcBorders>
              <w:top w:val="nil"/>
              <w:left w:val="single" w:color="auto" w:sz="8" w:space="0"/>
              <w:bottom w:val="nil"/>
              <w:right w:val="nil"/>
            </w:tcBorders>
            <w:shd w:val="clear" w:color="auto" w:fill="auto"/>
            <w:noWrap/>
            <w:vAlign w:val="center"/>
            <w:hideMark/>
          </w:tcPr>
          <w:p w:rsidRPr="00BC4212" w:rsidR="004B3B1A" w:rsidP="00BC4212" w:rsidRDefault="004B3B1A" w14:paraId="460992CB"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192" w:type="dxa"/>
            <w:tcBorders>
              <w:top w:val="nil"/>
              <w:left w:val="nil"/>
              <w:bottom w:val="nil"/>
              <w:right w:val="nil"/>
            </w:tcBorders>
            <w:shd w:val="clear" w:color="auto" w:fill="auto"/>
            <w:noWrap/>
            <w:vAlign w:val="bottom"/>
            <w:hideMark/>
          </w:tcPr>
          <w:p w:rsidRPr="00BC4212" w:rsidR="004B3B1A" w:rsidP="00BC4212" w:rsidRDefault="004B3B1A" w14:paraId="785160F7" w14:textId="77777777">
            <w:pPr>
              <w:spacing w:after="0" w:line="240" w:lineRule="auto"/>
              <w:rPr>
                <w:rFonts w:eastAsia="Times New Roman" w:cs="Arial"/>
                <w:color w:val="000000"/>
                <w:lang w:eastAsia="en-GB"/>
              </w:rPr>
            </w:pPr>
          </w:p>
        </w:tc>
        <w:tc>
          <w:tcPr>
            <w:tcW w:w="1496" w:type="dxa"/>
            <w:gridSpan w:val="2"/>
            <w:tcBorders>
              <w:top w:val="nil"/>
              <w:left w:val="nil"/>
              <w:bottom w:val="nil"/>
              <w:right w:val="single" w:color="auto" w:sz="8" w:space="0"/>
            </w:tcBorders>
            <w:shd w:val="clear" w:color="auto" w:fill="auto"/>
            <w:noWrap/>
            <w:vAlign w:val="bottom"/>
            <w:hideMark/>
          </w:tcPr>
          <w:p w:rsidRPr="00BC4212" w:rsidR="004B3B1A" w:rsidP="00BC4212" w:rsidRDefault="004B3B1A" w14:paraId="6501E129"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297" w:type="dxa"/>
            <w:tcBorders>
              <w:top w:val="nil"/>
              <w:left w:val="nil"/>
              <w:bottom w:val="nil"/>
              <w:right w:val="single" w:color="auto" w:sz="8" w:space="0"/>
            </w:tcBorders>
            <w:shd w:val="clear" w:color="auto" w:fill="auto"/>
            <w:noWrap/>
            <w:vAlign w:val="center"/>
            <w:hideMark/>
          </w:tcPr>
          <w:p w:rsidRPr="00BC4212" w:rsidR="004B3B1A" w:rsidP="00BC4212" w:rsidRDefault="004B3B1A" w14:paraId="1427BE6F"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r>
      <w:tr w:rsidRPr="00BC4212" w:rsidR="004B3B1A" w:rsidTr="009C5DC5" w14:paraId="443CF1E8" w14:textId="77777777">
        <w:trPr>
          <w:trHeight w:val="300"/>
        </w:trPr>
        <w:tc>
          <w:tcPr>
            <w:tcW w:w="5582" w:type="dxa"/>
            <w:tcBorders>
              <w:top w:val="single" w:color="auto" w:sz="8" w:space="0"/>
              <w:left w:val="single" w:color="auto" w:sz="8" w:space="0"/>
              <w:bottom w:val="single" w:color="auto" w:sz="8" w:space="0"/>
              <w:right w:val="nil"/>
            </w:tcBorders>
            <w:shd w:val="clear" w:color="auto" w:fill="auto"/>
            <w:noWrap/>
            <w:vAlign w:val="center"/>
            <w:hideMark/>
          </w:tcPr>
          <w:p w:rsidRPr="00BC4212" w:rsidR="004B3B1A" w:rsidP="00BC4212" w:rsidRDefault="004B3B1A" w14:paraId="3DCBA38C"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Total Comprehensive Income &amp; Expenditure</w:t>
            </w:r>
          </w:p>
        </w:tc>
        <w:tc>
          <w:tcPr>
            <w:tcW w:w="1377"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BC4212" w:rsidR="004B3B1A" w:rsidP="00BC4212" w:rsidRDefault="009F085B" w14:paraId="756B8077" w14:textId="1F59EAF8">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413</w:t>
            </w:r>
          </w:p>
        </w:tc>
        <w:tc>
          <w:tcPr>
            <w:tcW w:w="950" w:type="dxa"/>
            <w:tcBorders>
              <w:top w:val="single" w:color="auto" w:sz="8" w:space="0"/>
              <w:left w:val="nil"/>
              <w:bottom w:val="single" w:color="auto" w:sz="8" w:space="0"/>
              <w:right w:val="nil"/>
            </w:tcBorders>
            <w:shd w:val="clear" w:color="auto" w:fill="auto"/>
            <w:noWrap/>
            <w:vAlign w:val="center"/>
            <w:hideMark/>
          </w:tcPr>
          <w:p w:rsidRPr="00BC4212" w:rsidR="004B3B1A" w:rsidP="00BC4212" w:rsidRDefault="004B3B1A" w14:paraId="382C3AAF"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 </w:t>
            </w:r>
          </w:p>
        </w:tc>
        <w:tc>
          <w:tcPr>
            <w:tcW w:w="1862" w:type="dxa"/>
            <w:tcBorders>
              <w:top w:val="single" w:color="auto" w:sz="8" w:space="0"/>
              <w:left w:val="single" w:color="auto" w:sz="8" w:space="0"/>
              <w:bottom w:val="single" w:color="auto" w:sz="8" w:space="0"/>
              <w:right w:val="nil"/>
            </w:tcBorders>
            <w:shd w:val="clear" w:color="auto" w:fill="auto"/>
            <w:noWrap/>
            <w:vAlign w:val="center"/>
            <w:hideMark/>
          </w:tcPr>
          <w:p w:rsidRPr="00BC4212" w:rsidR="004B3B1A" w:rsidP="00BC4212" w:rsidRDefault="004B3B1A" w14:paraId="13D42351" w14:textId="7777777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0</w:t>
            </w:r>
          </w:p>
        </w:tc>
        <w:tc>
          <w:tcPr>
            <w:tcW w:w="1192" w:type="dxa"/>
            <w:tcBorders>
              <w:top w:val="single" w:color="auto" w:sz="8" w:space="0"/>
              <w:left w:val="nil"/>
              <w:bottom w:val="single" w:color="auto" w:sz="8" w:space="0"/>
              <w:right w:val="nil"/>
            </w:tcBorders>
            <w:shd w:val="clear" w:color="auto" w:fill="auto"/>
            <w:noWrap/>
            <w:vAlign w:val="center"/>
            <w:hideMark/>
          </w:tcPr>
          <w:p w:rsidRPr="00BC4212" w:rsidR="004B3B1A" w:rsidP="00BC4212" w:rsidRDefault="004B3B1A" w14:paraId="4C5BA8CD" w14:textId="4DBECAAB">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3,350</w:t>
            </w:r>
          </w:p>
        </w:tc>
        <w:tc>
          <w:tcPr>
            <w:tcW w:w="1496" w:type="dxa"/>
            <w:gridSpan w:val="2"/>
            <w:tcBorders>
              <w:top w:val="single" w:color="auto" w:sz="8" w:space="0"/>
              <w:left w:val="nil"/>
              <w:bottom w:val="single" w:color="auto" w:sz="8" w:space="0"/>
              <w:right w:val="single" w:color="auto" w:sz="8" w:space="0"/>
            </w:tcBorders>
            <w:shd w:val="clear" w:color="auto" w:fill="auto"/>
            <w:noWrap/>
            <w:vAlign w:val="center"/>
            <w:hideMark/>
          </w:tcPr>
          <w:p w:rsidRPr="00BC4212" w:rsidR="004B3B1A" w:rsidP="00BC4212" w:rsidRDefault="004B3B1A" w14:paraId="73679A29" w14:textId="513D6B6E">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3,350</w:t>
            </w:r>
          </w:p>
        </w:tc>
        <w:tc>
          <w:tcPr>
            <w:tcW w:w="1297" w:type="dxa"/>
            <w:tcBorders>
              <w:top w:val="single" w:color="auto" w:sz="8" w:space="0"/>
              <w:left w:val="nil"/>
              <w:bottom w:val="single" w:color="auto" w:sz="8" w:space="0"/>
              <w:right w:val="single" w:color="auto" w:sz="8" w:space="0"/>
            </w:tcBorders>
            <w:shd w:val="clear" w:color="auto" w:fill="auto"/>
            <w:noWrap/>
            <w:vAlign w:val="center"/>
            <w:hideMark/>
          </w:tcPr>
          <w:p w:rsidRPr="00BC4212" w:rsidR="004B3B1A" w:rsidP="00BC4212" w:rsidRDefault="004B3B1A" w14:paraId="689200FE" w14:textId="3F653227">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2,937</w:t>
            </w:r>
          </w:p>
        </w:tc>
      </w:tr>
      <w:tr w:rsidRPr="00BC4212" w:rsidR="004B3B1A" w:rsidTr="009C5DC5" w14:paraId="2043DFB7" w14:textId="77777777">
        <w:trPr>
          <w:trHeight w:val="288"/>
        </w:trPr>
        <w:tc>
          <w:tcPr>
            <w:tcW w:w="5582" w:type="dxa"/>
            <w:tcBorders>
              <w:top w:val="nil"/>
              <w:left w:val="single" w:color="auto" w:sz="8" w:space="0"/>
              <w:bottom w:val="nil"/>
              <w:right w:val="nil"/>
            </w:tcBorders>
            <w:shd w:val="clear" w:color="auto" w:fill="auto"/>
            <w:noWrap/>
            <w:vAlign w:val="center"/>
            <w:hideMark/>
          </w:tcPr>
          <w:p w:rsidRPr="00BC4212" w:rsidR="004B3B1A" w:rsidP="00BC4212" w:rsidRDefault="004B3B1A" w14:paraId="71191EC1" w14:textId="77777777">
            <w:pPr>
              <w:spacing w:after="0" w:line="240" w:lineRule="auto"/>
              <w:rPr>
                <w:rFonts w:eastAsia="Times New Roman" w:cs="Arial"/>
                <w:color w:val="000000"/>
                <w:lang w:eastAsia="en-GB"/>
              </w:rPr>
            </w:pPr>
            <w:r w:rsidRPr="00BC4212">
              <w:rPr>
                <w:rFonts w:eastAsia="Times New Roman" w:cs="Arial"/>
                <w:color w:val="000000"/>
                <w:lang w:eastAsia="en-GB"/>
              </w:rPr>
              <w:t>Adjustments between Accounting Basis &amp; Funding Basis</w:t>
            </w:r>
          </w:p>
        </w:tc>
        <w:tc>
          <w:tcPr>
            <w:tcW w:w="1377" w:type="dxa"/>
            <w:tcBorders>
              <w:top w:val="nil"/>
              <w:left w:val="single" w:color="auto" w:sz="8" w:space="0"/>
              <w:bottom w:val="nil"/>
              <w:right w:val="single" w:color="auto" w:sz="8" w:space="0"/>
            </w:tcBorders>
            <w:shd w:val="clear" w:color="auto" w:fill="auto"/>
            <w:noWrap/>
            <w:vAlign w:val="center"/>
            <w:hideMark/>
          </w:tcPr>
          <w:p w:rsidRPr="00BC4212" w:rsidR="004B3B1A" w:rsidP="00BC4212" w:rsidRDefault="004B3B1A" w14:paraId="6B2C0B54" w14:textId="5797E291">
            <w:pPr>
              <w:spacing w:after="0" w:line="240" w:lineRule="auto"/>
              <w:jc w:val="right"/>
              <w:rPr>
                <w:rFonts w:eastAsia="Times New Roman" w:cs="Arial"/>
                <w:color w:val="000000"/>
                <w:lang w:eastAsia="en-GB"/>
              </w:rPr>
            </w:pPr>
            <w:r w:rsidRPr="00BC4212">
              <w:rPr>
                <w:rFonts w:eastAsia="Times New Roman" w:cs="Arial"/>
                <w:color w:val="000000"/>
                <w:lang w:eastAsia="en-GB"/>
              </w:rPr>
              <w:t>392</w:t>
            </w:r>
          </w:p>
        </w:tc>
        <w:tc>
          <w:tcPr>
            <w:tcW w:w="950" w:type="dxa"/>
            <w:tcBorders>
              <w:top w:val="nil"/>
              <w:left w:val="nil"/>
              <w:bottom w:val="nil"/>
              <w:right w:val="nil"/>
            </w:tcBorders>
            <w:shd w:val="clear" w:color="auto" w:fill="auto"/>
            <w:noWrap/>
            <w:vAlign w:val="center"/>
            <w:hideMark/>
          </w:tcPr>
          <w:p w:rsidRPr="00BC4212" w:rsidR="004B3B1A" w:rsidP="00BC4212" w:rsidRDefault="00A266DC" w14:paraId="13BB79B3" w14:textId="2BB0FDB6">
            <w:pPr>
              <w:spacing w:after="0" w:line="240" w:lineRule="auto"/>
              <w:jc w:val="right"/>
              <w:rPr>
                <w:rFonts w:eastAsia="Times New Roman" w:cs="Arial"/>
                <w:color w:val="000000"/>
                <w:lang w:eastAsia="en-GB"/>
              </w:rPr>
            </w:pPr>
            <w:r>
              <w:rPr>
                <w:rFonts w:eastAsia="Times New Roman" w:cs="Arial"/>
                <w:color w:val="000000"/>
                <w:lang w:eastAsia="en-GB"/>
              </w:rPr>
              <w:t>9</w:t>
            </w:r>
          </w:p>
        </w:tc>
        <w:tc>
          <w:tcPr>
            <w:tcW w:w="1862" w:type="dxa"/>
            <w:tcBorders>
              <w:top w:val="nil"/>
              <w:left w:val="single" w:color="auto" w:sz="8" w:space="0"/>
              <w:bottom w:val="nil"/>
              <w:right w:val="nil"/>
            </w:tcBorders>
            <w:shd w:val="clear" w:color="auto" w:fill="auto"/>
            <w:noWrap/>
            <w:vAlign w:val="center"/>
            <w:hideMark/>
          </w:tcPr>
          <w:p w:rsidRPr="00BC4212" w:rsidR="004B3B1A" w:rsidP="00BC4212" w:rsidRDefault="009F085B" w14:paraId="1A3875F6" w14:textId="53776EAD">
            <w:pPr>
              <w:spacing w:after="0" w:line="240" w:lineRule="auto"/>
              <w:jc w:val="right"/>
              <w:rPr>
                <w:rFonts w:eastAsia="Times New Roman" w:cs="Arial"/>
                <w:color w:val="000000"/>
                <w:lang w:eastAsia="en-GB"/>
              </w:rPr>
            </w:pPr>
            <w:r>
              <w:rPr>
                <w:rFonts w:eastAsia="Times New Roman" w:cs="Arial"/>
                <w:color w:val="000000"/>
                <w:lang w:eastAsia="en-GB"/>
              </w:rPr>
              <w:t>-</w:t>
            </w:r>
            <w:r w:rsidRPr="00BC4212" w:rsidR="004B3B1A">
              <w:rPr>
                <w:rFonts w:eastAsia="Times New Roman" w:cs="Arial"/>
                <w:color w:val="000000"/>
                <w:lang w:eastAsia="en-GB"/>
              </w:rPr>
              <w:t>2</w:t>
            </w:r>
          </w:p>
        </w:tc>
        <w:tc>
          <w:tcPr>
            <w:tcW w:w="1192" w:type="dxa"/>
            <w:tcBorders>
              <w:top w:val="nil"/>
              <w:left w:val="nil"/>
              <w:bottom w:val="nil"/>
              <w:right w:val="nil"/>
            </w:tcBorders>
            <w:shd w:val="clear" w:color="auto" w:fill="auto"/>
            <w:noWrap/>
            <w:vAlign w:val="center"/>
            <w:hideMark/>
          </w:tcPr>
          <w:p w:rsidRPr="00BC4212" w:rsidR="004B3B1A" w:rsidP="00BC4212" w:rsidRDefault="009F085B" w14:paraId="03121F1C" w14:textId="2B71E268">
            <w:pPr>
              <w:spacing w:after="0" w:line="240" w:lineRule="auto"/>
              <w:jc w:val="right"/>
              <w:rPr>
                <w:rFonts w:eastAsia="Times New Roman" w:cs="Arial"/>
                <w:color w:val="000000"/>
                <w:lang w:eastAsia="en-GB"/>
              </w:rPr>
            </w:pPr>
            <w:r>
              <w:rPr>
                <w:rFonts w:eastAsia="Times New Roman" w:cs="Arial"/>
                <w:color w:val="000000"/>
                <w:lang w:eastAsia="en-GB"/>
              </w:rPr>
              <w:t>-</w:t>
            </w:r>
            <w:r w:rsidRPr="00BC4212" w:rsidR="004B3B1A">
              <w:rPr>
                <w:rFonts w:eastAsia="Times New Roman" w:cs="Arial"/>
                <w:color w:val="000000"/>
                <w:lang w:eastAsia="en-GB"/>
              </w:rPr>
              <w:t>390</w:t>
            </w:r>
          </w:p>
        </w:tc>
        <w:tc>
          <w:tcPr>
            <w:tcW w:w="1496" w:type="dxa"/>
            <w:gridSpan w:val="2"/>
            <w:tcBorders>
              <w:top w:val="nil"/>
              <w:left w:val="nil"/>
              <w:bottom w:val="nil"/>
              <w:right w:val="single" w:color="auto" w:sz="8" w:space="0"/>
            </w:tcBorders>
            <w:shd w:val="clear" w:color="auto" w:fill="auto"/>
            <w:noWrap/>
            <w:vAlign w:val="center"/>
            <w:hideMark/>
          </w:tcPr>
          <w:p w:rsidRPr="00BC4212" w:rsidR="004B3B1A" w:rsidP="00BC4212" w:rsidRDefault="009F085B" w14:paraId="6940263F" w14:textId="3C4F4C41">
            <w:pPr>
              <w:spacing w:after="0" w:line="240" w:lineRule="auto"/>
              <w:jc w:val="right"/>
              <w:rPr>
                <w:rFonts w:eastAsia="Times New Roman" w:cs="Arial"/>
                <w:color w:val="000000"/>
                <w:lang w:eastAsia="en-GB"/>
              </w:rPr>
            </w:pPr>
            <w:r>
              <w:rPr>
                <w:rFonts w:eastAsia="Times New Roman" w:cs="Arial"/>
                <w:color w:val="000000"/>
                <w:lang w:eastAsia="en-GB"/>
              </w:rPr>
              <w:t>-</w:t>
            </w:r>
            <w:r w:rsidRPr="00BC4212" w:rsidR="004B3B1A">
              <w:rPr>
                <w:rFonts w:eastAsia="Times New Roman" w:cs="Arial"/>
                <w:color w:val="000000"/>
                <w:lang w:eastAsia="en-GB"/>
              </w:rPr>
              <w:t>392</w:t>
            </w:r>
          </w:p>
        </w:tc>
        <w:tc>
          <w:tcPr>
            <w:tcW w:w="1297" w:type="dxa"/>
            <w:tcBorders>
              <w:top w:val="nil"/>
              <w:left w:val="nil"/>
              <w:bottom w:val="nil"/>
              <w:right w:val="single" w:color="auto" w:sz="8" w:space="0"/>
            </w:tcBorders>
            <w:shd w:val="clear" w:color="auto" w:fill="auto"/>
            <w:noWrap/>
            <w:vAlign w:val="center"/>
            <w:hideMark/>
          </w:tcPr>
          <w:p w:rsidRPr="00BC4212" w:rsidR="004B3B1A" w:rsidP="00BC4212" w:rsidRDefault="004B3B1A" w14:paraId="5D083E1E" w14:textId="77777777">
            <w:pPr>
              <w:spacing w:after="0" w:line="240" w:lineRule="auto"/>
              <w:jc w:val="right"/>
              <w:rPr>
                <w:rFonts w:eastAsia="Times New Roman" w:cs="Arial"/>
                <w:color w:val="000000"/>
                <w:lang w:eastAsia="en-GB"/>
              </w:rPr>
            </w:pPr>
            <w:r w:rsidRPr="00BC4212">
              <w:rPr>
                <w:rFonts w:eastAsia="Times New Roman" w:cs="Arial"/>
                <w:color w:val="000000"/>
                <w:lang w:eastAsia="en-GB"/>
              </w:rPr>
              <w:t>0</w:t>
            </w:r>
          </w:p>
        </w:tc>
      </w:tr>
      <w:tr w:rsidRPr="00BC4212" w:rsidR="004B3B1A" w:rsidTr="009C5DC5" w14:paraId="428AB124" w14:textId="77777777">
        <w:trPr>
          <w:trHeight w:val="288"/>
        </w:trPr>
        <w:tc>
          <w:tcPr>
            <w:tcW w:w="5582" w:type="dxa"/>
            <w:tcBorders>
              <w:top w:val="nil"/>
              <w:left w:val="single" w:color="auto" w:sz="8" w:space="0"/>
              <w:bottom w:val="nil"/>
              <w:right w:val="nil"/>
            </w:tcBorders>
            <w:shd w:val="clear" w:color="auto" w:fill="auto"/>
            <w:noWrap/>
            <w:vAlign w:val="center"/>
            <w:hideMark/>
          </w:tcPr>
          <w:p w:rsidRPr="00BC4212" w:rsidR="004B3B1A" w:rsidP="00BC4212" w:rsidRDefault="004B3B1A" w14:paraId="66EA28A6"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377" w:type="dxa"/>
            <w:tcBorders>
              <w:top w:val="nil"/>
              <w:left w:val="single" w:color="auto" w:sz="8" w:space="0"/>
              <w:bottom w:val="nil"/>
              <w:right w:val="single" w:color="auto" w:sz="8" w:space="0"/>
            </w:tcBorders>
            <w:shd w:val="clear" w:color="auto" w:fill="auto"/>
            <w:noWrap/>
            <w:vAlign w:val="center"/>
            <w:hideMark/>
          </w:tcPr>
          <w:p w:rsidRPr="00BC4212" w:rsidR="004B3B1A" w:rsidP="00BC4212" w:rsidRDefault="004B3B1A" w14:paraId="1A2B4FEE"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950" w:type="dxa"/>
            <w:tcBorders>
              <w:top w:val="nil"/>
              <w:left w:val="nil"/>
              <w:bottom w:val="nil"/>
              <w:right w:val="nil"/>
            </w:tcBorders>
            <w:shd w:val="clear" w:color="auto" w:fill="auto"/>
            <w:noWrap/>
            <w:vAlign w:val="center"/>
            <w:hideMark/>
          </w:tcPr>
          <w:p w:rsidRPr="00BC4212" w:rsidR="004B3B1A" w:rsidP="00BC4212" w:rsidRDefault="004B3B1A" w14:paraId="0AA621CD" w14:textId="77777777">
            <w:pPr>
              <w:spacing w:after="0" w:line="240" w:lineRule="auto"/>
              <w:rPr>
                <w:rFonts w:eastAsia="Times New Roman" w:cs="Arial"/>
                <w:color w:val="000000"/>
                <w:lang w:eastAsia="en-GB"/>
              </w:rPr>
            </w:pPr>
          </w:p>
        </w:tc>
        <w:tc>
          <w:tcPr>
            <w:tcW w:w="1862" w:type="dxa"/>
            <w:tcBorders>
              <w:top w:val="nil"/>
              <w:left w:val="single" w:color="auto" w:sz="8" w:space="0"/>
              <w:bottom w:val="nil"/>
              <w:right w:val="nil"/>
            </w:tcBorders>
            <w:shd w:val="clear" w:color="auto" w:fill="auto"/>
            <w:noWrap/>
            <w:vAlign w:val="center"/>
            <w:hideMark/>
          </w:tcPr>
          <w:p w:rsidRPr="00BC4212" w:rsidR="004B3B1A" w:rsidP="00BC4212" w:rsidRDefault="004B3B1A" w14:paraId="226B5BC3"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192" w:type="dxa"/>
            <w:tcBorders>
              <w:top w:val="nil"/>
              <w:left w:val="nil"/>
              <w:bottom w:val="nil"/>
              <w:right w:val="nil"/>
            </w:tcBorders>
            <w:shd w:val="clear" w:color="auto" w:fill="auto"/>
            <w:noWrap/>
            <w:vAlign w:val="center"/>
            <w:hideMark/>
          </w:tcPr>
          <w:p w:rsidRPr="00BC4212" w:rsidR="004B3B1A" w:rsidP="00BC4212" w:rsidRDefault="004B3B1A" w14:paraId="0BAC1AB7" w14:textId="77777777">
            <w:pPr>
              <w:spacing w:after="0" w:line="240" w:lineRule="auto"/>
              <w:rPr>
                <w:rFonts w:eastAsia="Times New Roman" w:cs="Arial"/>
                <w:color w:val="000000"/>
                <w:lang w:eastAsia="en-GB"/>
              </w:rPr>
            </w:pPr>
          </w:p>
        </w:tc>
        <w:tc>
          <w:tcPr>
            <w:tcW w:w="1496" w:type="dxa"/>
            <w:gridSpan w:val="2"/>
            <w:tcBorders>
              <w:top w:val="nil"/>
              <w:left w:val="nil"/>
              <w:bottom w:val="nil"/>
              <w:right w:val="single" w:color="auto" w:sz="8" w:space="0"/>
            </w:tcBorders>
            <w:shd w:val="clear" w:color="auto" w:fill="auto"/>
            <w:noWrap/>
            <w:vAlign w:val="center"/>
            <w:hideMark/>
          </w:tcPr>
          <w:p w:rsidRPr="00BC4212" w:rsidR="004B3B1A" w:rsidP="00BC4212" w:rsidRDefault="004B3B1A" w14:paraId="64898DE8" w14:textId="77777777">
            <w:pPr>
              <w:spacing w:after="0" w:line="240" w:lineRule="auto"/>
              <w:rPr>
                <w:rFonts w:eastAsia="Times New Roman" w:cs="Arial"/>
                <w:color w:val="000000"/>
                <w:lang w:eastAsia="en-GB"/>
              </w:rPr>
            </w:pPr>
            <w:r w:rsidRPr="00BC4212">
              <w:rPr>
                <w:rFonts w:eastAsia="Times New Roman" w:cs="Arial"/>
                <w:color w:val="000000"/>
                <w:lang w:eastAsia="en-GB"/>
              </w:rPr>
              <w:t> </w:t>
            </w:r>
          </w:p>
        </w:tc>
        <w:tc>
          <w:tcPr>
            <w:tcW w:w="1297" w:type="dxa"/>
            <w:tcBorders>
              <w:top w:val="nil"/>
              <w:left w:val="nil"/>
              <w:bottom w:val="nil"/>
              <w:right w:val="single" w:color="auto" w:sz="8" w:space="0"/>
            </w:tcBorders>
            <w:shd w:val="clear" w:color="auto" w:fill="auto"/>
            <w:noWrap/>
            <w:vAlign w:val="center"/>
            <w:hideMark/>
          </w:tcPr>
          <w:p w:rsidRPr="00BC4212" w:rsidR="004B3B1A" w:rsidP="00BC4212" w:rsidRDefault="004B3B1A" w14:paraId="0C15FCAA" w14:textId="77777777">
            <w:pPr>
              <w:spacing w:after="0" w:line="240" w:lineRule="auto"/>
              <w:jc w:val="right"/>
              <w:rPr>
                <w:rFonts w:eastAsia="Times New Roman" w:cs="Arial"/>
                <w:color w:val="000000"/>
                <w:lang w:eastAsia="en-GB"/>
              </w:rPr>
            </w:pPr>
            <w:r w:rsidRPr="00BC4212">
              <w:rPr>
                <w:rFonts w:eastAsia="Times New Roman" w:cs="Arial"/>
                <w:color w:val="000000"/>
                <w:lang w:eastAsia="en-GB"/>
              </w:rPr>
              <w:t> </w:t>
            </w:r>
          </w:p>
        </w:tc>
      </w:tr>
      <w:tr w:rsidRPr="00BC4212" w:rsidR="004B3B1A" w:rsidTr="009C5DC5" w14:paraId="15F69906" w14:textId="77777777">
        <w:trPr>
          <w:trHeight w:val="300"/>
        </w:trPr>
        <w:tc>
          <w:tcPr>
            <w:tcW w:w="5582" w:type="dxa"/>
            <w:tcBorders>
              <w:top w:val="nil"/>
              <w:left w:val="single" w:color="auto" w:sz="8" w:space="0"/>
              <w:bottom w:val="nil"/>
              <w:right w:val="nil"/>
            </w:tcBorders>
            <w:shd w:val="clear" w:color="auto" w:fill="auto"/>
            <w:noWrap/>
            <w:vAlign w:val="center"/>
            <w:hideMark/>
          </w:tcPr>
          <w:p w:rsidRPr="00BC4212" w:rsidR="004B3B1A" w:rsidP="00BC4212" w:rsidRDefault="004B3B1A" w14:paraId="5DBA926F" w14:textId="77777777">
            <w:pPr>
              <w:spacing w:after="0" w:line="240" w:lineRule="auto"/>
              <w:rPr>
                <w:rFonts w:eastAsia="Times New Roman" w:cs="Arial"/>
                <w:color w:val="000000"/>
                <w:lang w:eastAsia="en-GB"/>
              </w:rPr>
            </w:pPr>
            <w:r w:rsidRPr="00BC4212">
              <w:rPr>
                <w:rFonts w:eastAsia="Times New Roman" w:cs="Arial"/>
                <w:color w:val="000000"/>
                <w:lang w:eastAsia="en-GB"/>
              </w:rPr>
              <w:t>Increase / (Decrease) in Year</w:t>
            </w:r>
          </w:p>
        </w:tc>
        <w:tc>
          <w:tcPr>
            <w:tcW w:w="1377" w:type="dxa"/>
            <w:tcBorders>
              <w:top w:val="nil"/>
              <w:left w:val="single" w:color="auto" w:sz="8" w:space="0"/>
              <w:bottom w:val="nil"/>
              <w:right w:val="single" w:color="auto" w:sz="8" w:space="0"/>
            </w:tcBorders>
            <w:shd w:val="clear" w:color="auto" w:fill="auto"/>
            <w:noWrap/>
            <w:vAlign w:val="center"/>
            <w:hideMark/>
          </w:tcPr>
          <w:p w:rsidRPr="00BC4212" w:rsidR="004B3B1A" w:rsidP="00BC4212" w:rsidRDefault="009F085B" w14:paraId="1BDBE3E0" w14:textId="78DBB089">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21</w:t>
            </w:r>
          </w:p>
        </w:tc>
        <w:tc>
          <w:tcPr>
            <w:tcW w:w="950" w:type="dxa"/>
            <w:tcBorders>
              <w:top w:val="nil"/>
              <w:left w:val="nil"/>
              <w:bottom w:val="nil"/>
              <w:right w:val="nil"/>
            </w:tcBorders>
            <w:shd w:val="clear" w:color="auto" w:fill="auto"/>
            <w:noWrap/>
            <w:vAlign w:val="center"/>
            <w:hideMark/>
          </w:tcPr>
          <w:p w:rsidRPr="00BC4212" w:rsidR="004B3B1A" w:rsidP="00BC4212" w:rsidRDefault="004B3B1A" w14:paraId="5DC1D0D4" w14:textId="77777777">
            <w:pPr>
              <w:spacing w:after="0" w:line="240" w:lineRule="auto"/>
              <w:jc w:val="right"/>
              <w:rPr>
                <w:rFonts w:eastAsia="Times New Roman" w:cs="Arial"/>
                <w:b/>
                <w:bCs/>
                <w:color w:val="000000"/>
                <w:lang w:eastAsia="en-GB"/>
              </w:rPr>
            </w:pPr>
          </w:p>
        </w:tc>
        <w:tc>
          <w:tcPr>
            <w:tcW w:w="1862" w:type="dxa"/>
            <w:tcBorders>
              <w:top w:val="nil"/>
              <w:left w:val="single" w:color="auto" w:sz="8" w:space="0"/>
              <w:bottom w:val="nil"/>
              <w:right w:val="nil"/>
            </w:tcBorders>
            <w:shd w:val="clear" w:color="auto" w:fill="auto"/>
            <w:noWrap/>
            <w:vAlign w:val="center"/>
            <w:hideMark/>
          </w:tcPr>
          <w:p w:rsidRPr="00BC4212" w:rsidR="004B3B1A" w:rsidP="00BC4212" w:rsidRDefault="009F085B" w14:paraId="6F7547A7" w14:textId="27DDBA11">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2</w:t>
            </w:r>
          </w:p>
        </w:tc>
        <w:tc>
          <w:tcPr>
            <w:tcW w:w="1192" w:type="dxa"/>
            <w:tcBorders>
              <w:top w:val="nil"/>
              <w:left w:val="nil"/>
              <w:bottom w:val="nil"/>
              <w:right w:val="nil"/>
            </w:tcBorders>
            <w:shd w:val="clear" w:color="auto" w:fill="auto"/>
            <w:noWrap/>
            <w:vAlign w:val="center"/>
            <w:hideMark/>
          </w:tcPr>
          <w:p w:rsidRPr="00BC4212" w:rsidR="004B3B1A" w:rsidP="00BC4212" w:rsidRDefault="004B3B1A" w14:paraId="014ACE6D" w14:textId="4B0772EB">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2,960</w:t>
            </w:r>
          </w:p>
        </w:tc>
        <w:tc>
          <w:tcPr>
            <w:tcW w:w="1496" w:type="dxa"/>
            <w:gridSpan w:val="2"/>
            <w:tcBorders>
              <w:top w:val="nil"/>
              <w:left w:val="nil"/>
              <w:bottom w:val="nil"/>
              <w:right w:val="single" w:color="auto" w:sz="8" w:space="0"/>
            </w:tcBorders>
            <w:shd w:val="clear" w:color="auto" w:fill="auto"/>
            <w:noWrap/>
            <w:vAlign w:val="center"/>
            <w:hideMark/>
          </w:tcPr>
          <w:p w:rsidRPr="00BC4212" w:rsidR="004B3B1A" w:rsidP="00BC4212" w:rsidRDefault="004B3B1A" w14:paraId="2DDDEFB5" w14:textId="492D25AA">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2,958</w:t>
            </w:r>
          </w:p>
        </w:tc>
        <w:tc>
          <w:tcPr>
            <w:tcW w:w="1297" w:type="dxa"/>
            <w:tcBorders>
              <w:top w:val="nil"/>
              <w:left w:val="nil"/>
              <w:bottom w:val="nil"/>
              <w:right w:val="single" w:color="auto" w:sz="8" w:space="0"/>
            </w:tcBorders>
            <w:shd w:val="clear" w:color="auto" w:fill="auto"/>
            <w:noWrap/>
            <w:vAlign w:val="center"/>
            <w:hideMark/>
          </w:tcPr>
          <w:p w:rsidRPr="00BC4212" w:rsidR="004B3B1A" w:rsidP="00BC4212" w:rsidRDefault="004B3B1A" w14:paraId="3641D0DE" w14:textId="2841E812">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2,937</w:t>
            </w:r>
          </w:p>
        </w:tc>
      </w:tr>
      <w:tr w:rsidRPr="00BC4212" w:rsidR="004B3B1A" w:rsidTr="009C5DC5" w14:paraId="45EA040D" w14:textId="77777777">
        <w:trPr>
          <w:trHeight w:val="300"/>
        </w:trPr>
        <w:tc>
          <w:tcPr>
            <w:tcW w:w="5582" w:type="dxa"/>
            <w:tcBorders>
              <w:top w:val="single" w:color="auto" w:sz="8" w:space="0"/>
              <w:left w:val="single" w:color="auto" w:sz="8" w:space="0"/>
              <w:bottom w:val="single" w:color="auto" w:sz="8" w:space="0"/>
              <w:right w:val="nil"/>
            </w:tcBorders>
            <w:shd w:val="clear" w:color="000000" w:fill="DBE5F1"/>
            <w:noWrap/>
            <w:vAlign w:val="center"/>
            <w:hideMark/>
          </w:tcPr>
          <w:p w:rsidRPr="00BC4212" w:rsidR="004B3B1A" w:rsidP="00BC4212" w:rsidRDefault="004B3B1A" w14:paraId="3059382C" w14:textId="77777777">
            <w:pPr>
              <w:spacing w:after="0" w:line="240" w:lineRule="auto"/>
              <w:rPr>
                <w:rFonts w:eastAsia="Times New Roman" w:cs="Arial"/>
                <w:b/>
                <w:bCs/>
                <w:color w:val="000000"/>
                <w:lang w:eastAsia="en-GB"/>
              </w:rPr>
            </w:pPr>
            <w:r w:rsidRPr="00BC4212">
              <w:rPr>
                <w:rFonts w:eastAsia="Times New Roman" w:cs="Arial"/>
                <w:b/>
                <w:bCs/>
                <w:color w:val="000000"/>
                <w:lang w:eastAsia="en-GB"/>
              </w:rPr>
              <w:t xml:space="preserve">Balance as </w:t>
            </w:r>
            <w:proofErr w:type="gramStart"/>
            <w:r w:rsidRPr="00BC4212">
              <w:rPr>
                <w:rFonts w:eastAsia="Times New Roman" w:cs="Arial"/>
                <w:b/>
                <w:bCs/>
                <w:color w:val="000000"/>
                <w:lang w:eastAsia="en-GB"/>
              </w:rPr>
              <w:t>at</w:t>
            </w:r>
            <w:proofErr w:type="gramEnd"/>
            <w:r w:rsidRPr="00BC4212">
              <w:rPr>
                <w:rFonts w:eastAsia="Times New Roman" w:cs="Arial"/>
                <w:b/>
                <w:bCs/>
                <w:color w:val="000000"/>
                <w:lang w:eastAsia="en-GB"/>
              </w:rPr>
              <w:t xml:space="preserve"> 31st March 2023 Carried Forward</w:t>
            </w:r>
          </w:p>
        </w:tc>
        <w:tc>
          <w:tcPr>
            <w:tcW w:w="1377" w:type="dxa"/>
            <w:tcBorders>
              <w:top w:val="single" w:color="auto" w:sz="8" w:space="0"/>
              <w:left w:val="single" w:color="auto" w:sz="8" w:space="0"/>
              <w:bottom w:val="single" w:color="auto" w:sz="8" w:space="0"/>
              <w:right w:val="single" w:color="auto" w:sz="8" w:space="0"/>
            </w:tcBorders>
            <w:shd w:val="clear" w:color="000000" w:fill="DBE5F1"/>
            <w:noWrap/>
            <w:vAlign w:val="center"/>
            <w:hideMark/>
          </w:tcPr>
          <w:p w:rsidRPr="00BC4212" w:rsidR="004B3B1A" w:rsidP="00BC4212" w:rsidRDefault="004B3B1A" w14:paraId="6F92BEE4" w14:textId="1F106C23">
            <w:pPr>
              <w:spacing w:after="0" w:line="240" w:lineRule="auto"/>
              <w:jc w:val="right"/>
              <w:rPr>
                <w:rFonts w:eastAsia="Times New Roman" w:cs="Arial"/>
                <w:b/>
                <w:bCs/>
                <w:color w:val="000000"/>
                <w:lang w:eastAsia="en-GB"/>
              </w:rPr>
            </w:pPr>
            <w:r w:rsidRPr="00BC4212">
              <w:rPr>
                <w:rFonts w:eastAsia="Times New Roman" w:cs="Arial"/>
                <w:b/>
                <w:bCs/>
                <w:color w:val="000000"/>
                <w:lang w:eastAsia="en-GB"/>
              </w:rPr>
              <w:t>142</w:t>
            </w:r>
          </w:p>
        </w:tc>
        <w:tc>
          <w:tcPr>
            <w:tcW w:w="950" w:type="dxa"/>
            <w:tcBorders>
              <w:top w:val="single" w:color="auto" w:sz="8" w:space="0"/>
              <w:left w:val="nil"/>
              <w:bottom w:val="single" w:color="auto" w:sz="8" w:space="0"/>
              <w:right w:val="nil"/>
            </w:tcBorders>
            <w:shd w:val="clear" w:color="000000" w:fill="DBE5F1"/>
            <w:noWrap/>
            <w:vAlign w:val="center"/>
            <w:hideMark/>
          </w:tcPr>
          <w:p w:rsidRPr="00BC4212" w:rsidR="004B3B1A" w:rsidP="00BC4212" w:rsidRDefault="009C5DC5" w14:paraId="6BB22EA1" w14:textId="545FBE77">
            <w:pPr>
              <w:spacing w:after="0" w:line="240" w:lineRule="auto"/>
              <w:jc w:val="right"/>
              <w:rPr>
                <w:rFonts w:eastAsia="Times New Roman" w:cs="Arial"/>
                <w:b/>
                <w:bCs/>
                <w:color w:val="000000"/>
                <w:lang w:eastAsia="en-GB"/>
              </w:rPr>
            </w:pPr>
            <w:r>
              <w:rPr>
                <w:rFonts w:eastAsia="Times New Roman" w:cs="Arial"/>
                <w:b/>
                <w:bCs/>
                <w:color w:val="000000"/>
                <w:lang w:eastAsia="en-GB"/>
              </w:rPr>
              <w:t>15,16</w:t>
            </w:r>
            <w:r w:rsidRPr="00BC4212">
              <w:rPr>
                <w:rFonts w:eastAsia="Times New Roman" w:cs="Arial"/>
                <w:b/>
                <w:bCs/>
                <w:color w:val="000000"/>
                <w:lang w:eastAsia="en-GB"/>
              </w:rPr>
              <w:t> </w:t>
            </w:r>
          </w:p>
        </w:tc>
        <w:tc>
          <w:tcPr>
            <w:tcW w:w="1862" w:type="dxa"/>
            <w:tcBorders>
              <w:top w:val="single" w:color="auto" w:sz="8" w:space="0"/>
              <w:left w:val="single" w:color="auto" w:sz="8" w:space="0"/>
              <w:bottom w:val="single" w:color="auto" w:sz="8" w:space="0"/>
              <w:right w:val="nil"/>
            </w:tcBorders>
            <w:shd w:val="clear" w:color="000000" w:fill="DBE5F1"/>
            <w:noWrap/>
            <w:vAlign w:val="center"/>
            <w:hideMark/>
          </w:tcPr>
          <w:p w:rsidRPr="00BC4212" w:rsidR="004B3B1A" w:rsidP="00BC4212" w:rsidRDefault="009F085B" w14:paraId="2DB3D5CB" w14:textId="0037E224">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21</w:t>
            </w:r>
          </w:p>
        </w:tc>
        <w:tc>
          <w:tcPr>
            <w:tcW w:w="1192" w:type="dxa"/>
            <w:tcBorders>
              <w:top w:val="single" w:color="auto" w:sz="8" w:space="0"/>
              <w:left w:val="nil"/>
              <w:bottom w:val="single" w:color="auto" w:sz="8" w:space="0"/>
              <w:right w:val="nil"/>
            </w:tcBorders>
            <w:shd w:val="clear" w:color="000000" w:fill="DBE5F1"/>
            <w:noWrap/>
            <w:vAlign w:val="center"/>
            <w:hideMark/>
          </w:tcPr>
          <w:p w:rsidRPr="00BC4212" w:rsidR="004B3B1A" w:rsidP="00BC4212" w:rsidRDefault="009F085B" w14:paraId="671D9799" w14:textId="77D0719E">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520</w:t>
            </w:r>
          </w:p>
        </w:tc>
        <w:tc>
          <w:tcPr>
            <w:tcW w:w="1496" w:type="dxa"/>
            <w:gridSpan w:val="2"/>
            <w:tcBorders>
              <w:top w:val="single" w:color="auto" w:sz="8" w:space="0"/>
              <w:left w:val="nil"/>
              <w:bottom w:val="single" w:color="auto" w:sz="8" w:space="0"/>
              <w:right w:val="single" w:color="auto" w:sz="8" w:space="0"/>
            </w:tcBorders>
            <w:shd w:val="clear" w:color="000000" w:fill="DBE5F1"/>
            <w:noWrap/>
            <w:vAlign w:val="center"/>
            <w:hideMark/>
          </w:tcPr>
          <w:p w:rsidRPr="00BC4212" w:rsidR="004B3B1A" w:rsidP="00BC4212" w:rsidRDefault="009F085B" w14:paraId="754DB407" w14:textId="640AD29B">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541</w:t>
            </w:r>
          </w:p>
        </w:tc>
        <w:tc>
          <w:tcPr>
            <w:tcW w:w="1297" w:type="dxa"/>
            <w:tcBorders>
              <w:top w:val="single" w:color="auto" w:sz="8" w:space="0"/>
              <w:left w:val="nil"/>
              <w:bottom w:val="single" w:color="auto" w:sz="8" w:space="0"/>
              <w:right w:val="single" w:color="auto" w:sz="8" w:space="0"/>
            </w:tcBorders>
            <w:shd w:val="clear" w:color="000000" w:fill="DBE5F1"/>
            <w:noWrap/>
            <w:vAlign w:val="center"/>
            <w:hideMark/>
          </w:tcPr>
          <w:p w:rsidRPr="00BC4212" w:rsidR="004B3B1A" w:rsidP="00BC4212" w:rsidRDefault="009F085B" w14:paraId="41005C84" w14:textId="0370D595">
            <w:pPr>
              <w:spacing w:after="0" w:line="240" w:lineRule="auto"/>
              <w:jc w:val="right"/>
              <w:rPr>
                <w:rFonts w:eastAsia="Times New Roman" w:cs="Arial"/>
                <w:b/>
                <w:bCs/>
                <w:color w:val="000000"/>
                <w:lang w:eastAsia="en-GB"/>
              </w:rPr>
            </w:pPr>
            <w:r>
              <w:rPr>
                <w:rFonts w:eastAsia="Times New Roman" w:cs="Arial"/>
                <w:b/>
                <w:bCs/>
                <w:color w:val="000000"/>
                <w:lang w:eastAsia="en-GB"/>
              </w:rPr>
              <w:t>-</w:t>
            </w:r>
            <w:r w:rsidRPr="00BC4212" w:rsidR="004B3B1A">
              <w:rPr>
                <w:rFonts w:eastAsia="Times New Roman" w:cs="Arial"/>
                <w:b/>
                <w:bCs/>
                <w:color w:val="000000"/>
                <w:lang w:eastAsia="en-GB"/>
              </w:rPr>
              <w:t>399</w:t>
            </w:r>
          </w:p>
        </w:tc>
      </w:tr>
    </w:tbl>
    <w:p w:rsidRPr="008D4016" w:rsidR="008D4016" w:rsidP="008D4016" w:rsidRDefault="008D4016" w14:paraId="5E252F87" w14:textId="7CC2FE81">
      <w:pPr>
        <w:rPr>
          <w:rFonts w:cs="Arial"/>
          <w:highlight w:val="yellow"/>
        </w:rPr>
        <w:sectPr w:rsidRPr="008D4016" w:rsidR="008D4016" w:rsidSect="00221949">
          <w:pgSz w:w="16838" w:h="11906" w:orient="landscape" w:code="9"/>
          <w:pgMar w:top="1440" w:right="1440" w:bottom="1440" w:left="1440" w:header="709" w:footer="709" w:gutter="0"/>
          <w:cols w:space="708"/>
          <w:titlePg/>
          <w:docGrid w:linePitch="360"/>
        </w:sectPr>
      </w:pPr>
    </w:p>
    <w:p w:rsidRPr="005B4481" w:rsidR="00002007" w:rsidP="000746B4" w:rsidRDefault="003C4DCD" w14:paraId="539D23FC" w14:textId="04A8A20A">
      <w:pPr>
        <w:pStyle w:val="Heading1"/>
      </w:pPr>
      <w:bookmarkStart w:name="_Toc485903701" w:id="17"/>
      <w:bookmarkStart w:name="_Toc158193766" w:id="18"/>
      <w:r>
        <w:lastRenderedPageBreak/>
        <w:t>VVC</w:t>
      </w:r>
      <w:r w:rsidRPr="005B4481" w:rsidR="005B4481">
        <w:t xml:space="preserve"> Adoption</w:t>
      </w:r>
      <w:r w:rsidR="001E2079">
        <w:t xml:space="preserve"> Collaborative</w:t>
      </w:r>
      <w:r w:rsidRPr="005B4481" w:rsidR="009A32C6">
        <w:t xml:space="preserve"> </w:t>
      </w:r>
      <w:r w:rsidRPr="005B4481" w:rsidR="00C26786">
        <w:t xml:space="preserve">Comprehensive Income and Expenditure Statement </w:t>
      </w:r>
      <w:r w:rsidRPr="005B4481" w:rsidR="00B87574">
        <w:t>202</w:t>
      </w:r>
      <w:r w:rsidRPr="005B4481" w:rsidR="00865845">
        <w:t>2</w:t>
      </w:r>
      <w:r w:rsidRPr="005B4481" w:rsidR="00027C5F">
        <w:t>/</w:t>
      </w:r>
      <w:bookmarkEnd w:id="17"/>
      <w:r w:rsidRPr="005B4481" w:rsidR="001D29DF">
        <w:t>2</w:t>
      </w:r>
      <w:r w:rsidRPr="005B4481" w:rsidR="00865845">
        <w:t>3</w:t>
      </w:r>
      <w:bookmarkEnd w:id="18"/>
    </w:p>
    <w:p w:rsidRPr="00614894" w:rsidR="00A90C19" w:rsidP="008F5F3A" w:rsidRDefault="008A1012" w14:paraId="4E7A617F" w14:textId="0E9AEA8F">
      <w:pPr>
        <w:spacing w:after="0"/>
        <w:jc w:val="both"/>
        <w:rPr>
          <w:highlight w:val="yellow"/>
        </w:rPr>
      </w:pPr>
      <w:r w:rsidRPr="005B4481">
        <w:t xml:space="preserve">This statement </w:t>
      </w:r>
      <w:r w:rsidRPr="005B4481" w:rsidR="008F5F3A">
        <w:t>records all</w:t>
      </w:r>
      <w:r w:rsidRPr="005B4481" w:rsidR="00865845">
        <w:t xml:space="preserve"> </w:t>
      </w:r>
      <w:r w:rsidRPr="005B4481" w:rsidR="008F5F3A">
        <w:t xml:space="preserve">of </w:t>
      </w:r>
      <w:r w:rsidRPr="00386566" w:rsidR="003C4DCD">
        <w:rPr>
          <w:bCs/>
        </w:rPr>
        <w:t xml:space="preserve">VVC </w:t>
      </w:r>
      <w:r w:rsidRPr="005B4481" w:rsidR="008F5F3A">
        <w:t xml:space="preserve">income and expenditure throughout the year, and consequently </w:t>
      </w:r>
      <w:r w:rsidRPr="00BB3FD9" w:rsidR="008F5F3A">
        <w:t>shows the accounting cost of providing services during the year in line with generally</w:t>
      </w:r>
      <w:r w:rsidRPr="00BB3FD9">
        <w:t xml:space="preserve"> accepted accounting practices</w:t>
      </w:r>
      <w:r w:rsidRPr="00BB3FD9" w:rsidR="00177807">
        <w:t>.</w:t>
      </w:r>
      <w:r w:rsidRPr="00BB3FD9">
        <w:t xml:space="preserve"> </w:t>
      </w:r>
      <w:r w:rsidRPr="00BB3FD9" w:rsidR="00C97686">
        <w:t xml:space="preserve">The net expenditure is analysed by </w:t>
      </w:r>
      <w:r w:rsidRPr="00BB3FD9" w:rsidR="00BB3FD9">
        <w:t>cost centre</w:t>
      </w:r>
      <w:r w:rsidRPr="00BB3FD9" w:rsidR="00C97686">
        <w:t>, with the income received from the local authorities shown within the Finance &amp; Investment Income and Expenditure section</w:t>
      </w:r>
      <w:r w:rsidRPr="002F5639" w:rsidR="00C97686">
        <w:t>.</w:t>
      </w:r>
      <w:r w:rsidRPr="002F5639" w:rsidR="00685898">
        <w:t xml:space="preserve">  </w:t>
      </w:r>
      <w:r w:rsidRPr="002F5639" w:rsidR="007D1947">
        <w:t xml:space="preserve"> The full breakdown of the gross income and expenditure within this statement is illustrated in </w:t>
      </w:r>
      <w:r w:rsidRPr="002F5639" w:rsidR="00D00F65">
        <w:t>Note 8</w:t>
      </w:r>
      <w:r w:rsidRPr="002F5639" w:rsidR="007D1947">
        <w:t xml:space="preserve">.  </w:t>
      </w:r>
      <w:r w:rsidRPr="002F5639" w:rsidR="00685898">
        <w:t>Further information on t</w:t>
      </w:r>
      <w:r w:rsidRPr="002F5639" w:rsidR="00AE50B6">
        <w:t>his statemen</w:t>
      </w:r>
      <w:r w:rsidRPr="002F5639" w:rsidR="00E5718B">
        <w:t xml:space="preserve">t is shown </w:t>
      </w:r>
      <w:r w:rsidRPr="002F5639" w:rsidR="00210DD1">
        <w:t xml:space="preserve">on page </w:t>
      </w:r>
      <w:r w:rsidRPr="002F5639" w:rsidR="002F5639">
        <w:t>1</w:t>
      </w:r>
      <w:r w:rsidR="00B42AAF">
        <w:t>6</w:t>
      </w:r>
      <w:r w:rsidRPr="002F5639" w:rsidR="00685898">
        <w:t>.</w:t>
      </w:r>
    </w:p>
    <w:p w:rsidRPr="00614894" w:rsidR="00177807" w:rsidP="008A1012" w:rsidRDefault="00177807" w14:paraId="47FB3501" w14:textId="77777777">
      <w:pPr>
        <w:spacing w:after="0"/>
        <w:rPr>
          <w:highlight w:val="yellow"/>
        </w:rPr>
      </w:pPr>
    </w:p>
    <w:tbl>
      <w:tblPr>
        <w:tblW w:w="10340" w:type="dxa"/>
        <w:tblInd w:w="-572" w:type="dxa"/>
        <w:tblLook w:val="04A0" w:firstRow="1" w:lastRow="0" w:firstColumn="1" w:lastColumn="0" w:noHBand="0" w:noVBand="1"/>
      </w:tblPr>
      <w:tblGrid>
        <w:gridCol w:w="828"/>
        <w:gridCol w:w="961"/>
        <w:gridCol w:w="850"/>
        <w:gridCol w:w="4732"/>
        <w:gridCol w:w="993"/>
        <w:gridCol w:w="961"/>
        <w:gridCol w:w="1008"/>
        <w:gridCol w:w="7"/>
      </w:tblGrid>
      <w:tr w:rsidRPr="00614894" w:rsidR="003502EE" w:rsidTr="00BB3FD9" w14:paraId="663DBBF0" w14:textId="77777777">
        <w:trPr>
          <w:trHeight w:val="300"/>
        </w:trPr>
        <w:tc>
          <w:tcPr>
            <w:tcW w:w="2639" w:type="dxa"/>
            <w:gridSpan w:val="3"/>
            <w:vMerge w:val="restart"/>
            <w:tcBorders>
              <w:top w:val="single" w:color="auto" w:sz="4" w:space="0"/>
              <w:left w:val="single" w:color="auto" w:sz="4" w:space="0"/>
              <w:right w:val="single" w:color="auto" w:sz="4" w:space="0"/>
            </w:tcBorders>
            <w:shd w:val="clear" w:color="auto" w:fill="DBE5F1" w:themeFill="accent1" w:themeFillTint="33"/>
          </w:tcPr>
          <w:p w:rsidRPr="005B4481" w:rsidR="003502EE" w:rsidP="00D038BC" w:rsidRDefault="003502EE" w14:paraId="0B2D4879" w14:textId="285D4BC0">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Period Ended</w:t>
            </w:r>
          </w:p>
          <w:p w:rsidRPr="005B4481" w:rsidR="003502EE" w:rsidP="00D038BC" w:rsidRDefault="003502EE" w14:paraId="63420D04" w14:textId="4A9ED43B">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31st March</w:t>
            </w:r>
            <w:r w:rsidRPr="005B4481" w:rsidR="008B0CDC">
              <w:rPr>
                <w:rFonts w:eastAsia="Times New Roman" w:cs="Arial"/>
                <w:b/>
                <w:bCs/>
                <w:color w:val="000000"/>
                <w:sz w:val="20"/>
                <w:szCs w:val="20"/>
                <w:lang w:eastAsia="en-GB"/>
              </w:rPr>
              <w:t xml:space="preserve"> 202</w:t>
            </w:r>
            <w:r w:rsidRPr="005B4481" w:rsidR="005663C3">
              <w:rPr>
                <w:rFonts w:eastAsia="Times New Roman" w:cs="Arial"/>
                <w:b/>
                <w:bCs/>
                <w:color w:val="000000"/>
                <w:sz w:val="20"/>
                <w:szCs w:val="20"/>
                <w:lang w:eastAsia="en-GB"/>
              </w:rPr>
              <w:t>3</w:t>
            </w:r>
          </w:p>
        </w:tc>
        <w:tc>
          <w:tcPr>
            <w:tcW w:w="4732" w:type="dxa"/>
            <w:tcBorders>
              <w:top w:val="single" w:color="auto" w:sz="4" w:space="0"/>
              <w:left w:val="nil"/>
              <w:bottom w:val="nil"/>
              <w:right w:val="single" w:color="auto" w:sz="4" w:space="0"/>
            </w:tcBorders>
            <w:shd w:val="clear" w:color="auto" w:fill="DBE5F1" w:themeFill="accent1" w:themeFillTint="33"/>
            <w:noWrap/>
            <w:vAlign w:val="bottom"/>
            <w:hideMark/>
          </w:tcPr>
          <w:p w:rsidRPr="005B4481" w:rsidR="003502EE" w:rsidP="00D038BC" w:rsidRDefault="003502EE" w14:paraId="77FA4218" w14:textId="77777777">
            <w:pPr>
              <w:spacing w:after="0" w:line="240" w:lineRule="auto"/>
              <w:rPr>
                <w:rFonts w:eastAsia="Times New Roman" w:cs="Arial"/>
                <w:b/>
                <w:bCs/>
                <w:color w:val="000000"/>
                <w:sz w:val="20"/>
                <w:szCs w:val="20"/>
                <w:lang w:eastAsia="en-GB"/>
              </w:rPr>
            </w:pPr>
            <w:r w:rsidRPr="005B4481">
              <w:rPr>
                <w:rFonts w:eastAsia="Times New Roman" w:cs="Arial"/>
                <w:b/>
                <w:bCs/>
                <w:color w:val="000000"/>
                <w:sz w:val="20"/>
                <w:szCs w:val="20"/>
                <w:lang w:eastAsia="en-GB"/>
              </w:rPr>
              <w:t> </w:t>
            </w:r>
          </w:p>
        </w:tc>
        <w:tc>
          <w:tcPr>
            <w:tcW w:w="2969" w:type="dxa"/>
            <w:gridSpan w:val="4"/>
            <w:vMerge w:val="restart"/>
            <w:tcBorders>
              <w:top w:val="single" w:color="auto" w:sz="4" w:space="0"/>
              <w:left w:val="nil"/>
              <w:right w:val="single" w:color="auto" w:sz="4" w:space="0"/>
            </w:tcBorders>
            <w:shd w:val="clear" w:color="auto" w:fill="DBE5F1" w:themeFill="accent1" w:themeFillTint="33"/>
          </w:tcPr>
          <w:p w:rsidRPr="005B4481" w:rsidR="003502EE" w:rsidP="00D038BC" w:rsidRDefault="003502EE" w14:paraId="56C68548"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 xml:space="preserve"> Period Ended</w:t>
            </w:r>
          </w:p>
          <w:p w:rsidRPr="005B4481" w:rsidR="003502EE" w:rsidP="00D038BC" w:rsidRDefault="003502EE" w14:paraId="18F41105" w14:textId="1367EBA4">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31st March</w:t>
            </w:r>
            <w:r w:rsidRPr="005B4481" w:rsidR="008B0CDC">
              <w:rPr>
                <w:rFonts w:eastAsia="Times New Roman" w:cs="Arial"/>
                <w:b/>
                <w:bCs/>
                <w:color w:val="000000"/>
                <w:sz w:val="20"/>
                <w:szCs w:val="20"/>
                <w:lang w:eastAsia="en-GB"/>
              </w:rPr>
              <w:t xml:space="preserve"> 202</w:t>
            </w:r>
            <w:r w:rsidRPr="005B4481" w:rsidR="005663C3">
              <w:rPr>
                <w:rFonts w:eastAsia="Times New Roman" w:cs="Arial"/>
                <w:b/>
                <w:bCs/>
                <w:color w:val="000000"/>
                <w:sz w:val="20"/>
                <w:szCs w:val="20"/>
                <w:lang w:eastAsia="en-GB"/>
              </w:rPr>
              <w:t>2</w:t>
            </w:r>
          </w:p>
        </w:tc>
      </w:tr>
      <w:tr w:rsidRPr="00614894" w:rsidR="003502EE" w:rsidTr="00BB3FD9" w14:paraId="28D8C817" w14:textId="77777777">
        <w:trPr>
          <w:trHeight w:val="255"/>
        </w:trPr>
        <w:tc>
          <w:tcPr>
            <w:tcW w:w="2639" w:type="dxa"/>
            <w:gridSpan w:val="3"/>
            <w:vMerge/>
            <w:tcBorders>
              <w:left w:val="single" w:color="auto" w:sz="4" w:space="0"/>
              <w:bottom w:val="single" w:color="auto" w:sz="4" w:space="0"/>
              <w:right w:val="single" w:color="auto" w:sz="4" w:space="0"/>
            </w:tcBorders>
            <w:shd w:val="clear" w:color="auto" w:fill="DBE5F1" w:themeFill="accent1" w:themeFillTint="33"/>
          </w:tcPr>
          <w:p w:rsidRPr="005B4481" w:rsidR="003502EE" w:rsidP="00D038BC" w:rsidRDefault="003502EE" w14:paraId="695FDF32" w14:textId="77777777">
            <w:pPr>
              <w:spacing w:after="0" w:line="240" w:lineRule="auto"/>
              <w:jc w:val="center"/>
              <w:rPr>
                <w:rFonts w:eastAsia="Times New Roman" w:cs="Arial"/>
                <w:b/>
                <w:bCs/>
                <w:color w:val="000000"/>
                <w:sz w:val="20"/>
                <w:szCs w:val="20"/>
                <w:lang w:eastAsia="en-GB"/>
              </w:rPr>
            </w:pPr>
          </w:p>
        </w:tc>
        <w:tc>
          <w:tcPr>
            <w:tcW w:w="4732" w:type="dxa"/>
            <w:tcBorders>
              <w:top w:val="nil"/>
              <w:left w:val="nil"/>
              <w:bottom w:val="nil"/>
              <w:right w:val="single" w:color="auto" w:sz="4" w:space="0"/>
            </w:tcBorders>
            <w:shd w:val="clear" w:color="auto" w:fill="DBE5F1" w:themeFill="accent1" w:themeFillTint="33"/>
            <w:noWrap/>
            <w:vAlign w:val="bottom"/>
            <w:hideMark/>
          </w:tcPr>
          <w:p w:rsidRPr="005B4481" w:rsidR="003502EE" w:rsidP="00D038BC" w:rsidRDefault="003502EE" w14:paraId="1E02686B" w14:textId="77777777">
            <w:pPr>
              <w:spacing w:after="0" w:line="240" w:lineRule="auto"/>
              <w:rPr>
                <w:rFonts w:eastAsia="Times New Roman" w:cs="Arial"/>
                <w:color w:val="000000"/>
                <w:sz w:val="20"/>
                <w:szCs w:val="20"/>
                <w:lang w:eastAsia="en-GB"/>
              </w:rPr>
            </w:pPr>
            <w:r w:rsidRPr="005B4481">
              <w:rPr>
                <w:rFonts w:eastAsia="Times New Roman" w:cs="Arial"/>
                <w:color w:val="000000"/>
                <w:sz w:val="20"/>
                <w:szCs w:val="20"/>
                <w:lang w:eastAsia="en-GB"/>
              </w:rPr>
              <w:t> </w:t>
            </w:r>
          </w:p>
        </w:tc>
        <w:tc>
          <w:tcPr>
            <w:tcW w:w="2969" w:type="dxa"/>
            <w:gridSpan w:val="4"/>
            <w:vMerge/>
            <w:tcBorders>
              <w:left w:val="nil"/>
              <w:bottom w:val="single" w:color="auto" w:sz="4" w:space="0"/>
              <w:right w:val="single" w:color="auto" w:sz="4" w:space="0"/>
            </w:tcBorders>
            <w:shd w:val="clear" w:color="auto" w:fill="DBE5F1" w:themeFill="accent1" w:themeFillTint="33"/>
          </w:tcPr>
          <w:p w:rsidRPr="005B4481" w:rsidR="003502EE" w:rsidP="00D038BC" w:rsidRDefault="003502EE" w14:paraId="5D6C8FE2" w14:textId="77777777">
            <w:pPr>
              <w:spacing w:after="0" w:line="240" w:lineRule="auto"/>
              <w:jc w:val="center"/>
              <w:rPr>
                <w:rFonts w:eastAsia="Times New Roman" w:cs="Arial"/>
                <w:b/>
                <w:bCs/>
                <w:color w:val="000000"/>
                <w:sz w:val="20"/>
                <w:szCs w:val="20"/>
                <w:lang w:eastAsia="en-GB"/>
              </w:rPr>
            </w:pPr>
          </w:p>
        </w:tc>
      </w:tr>
      <w:tr w:rsidRPr="00614894" w:rsidR="006B4672" w:rsidTr="00BB3FD9" w14:paraId="107BCD59" w14:textId="77777777">
        <w:trPr>
          <w:gridAfter w:val="1"/>
          <w:wAfter w:w="7" w:type="dxa"/>
          <w:trHeight w:val="345"/>
        </w:trPr>
        <w:tc>
          <w:tcPr>
            <w:tcW w:w="828" w:type="dxa"/>
            <w:tcBorders>
              <w:top w:val="single" w:color="auto" w:sz="4" w:space="0"/>
              <w:left w:val="single" w:color="auto" w:sz="4" w:space="0"/>
              <w:bottom w:val="nil"/>
              <w:right w:val="single" w:color="auto" w:sz="4" w:space="0"/>
            </w:tcBorders>
            <w:shd w:val="clear" w:color="auto" w:fill="DBE5F1" w:themeFill="accent1" w:themeFillTint="33"/>
          </w:tcPr>
          <w:p w:rsidRPr="005B4481" w:rsidR="003502EE" w:rsidP="003502EE" w:rsidRDefault="003502EE" w14:paraId="1F80DEEB" w14:textId="77777777">
            <w:pPr>
              <w:spacing w:after="0" w:line="240" w:lineRule="auto"/>
              <w:rPr>
                <w:rFonts w:eastAsia="Times New Roman" w:cs="Arial"/>
                <w:b/>
                <w:bCs/>
                <w:color w:val="000000"/>
                <w:sz w:val="20"/>
                <w:szCs w:val="20"/>
                <w:lang w:eastAsia="en-GB"/>
              </w:rPr>
            </w:pPr>
            <w:r w:rsidRPr="005B4481">
              <w:rPr>
                <w:rFonts w:eastAsia="Times New Roman" w:cs="Arial"/>
                <w:b/>
                <w:bCs/>
                <w:color w:val="000000"/>
                <w:sz w:val="20"/>
                <w:szCs w:val="20"/>
                <w:lang w:eastAsia="en-GB"/>
              </w:rPr>
              <w:t>Gross Expt.</w:t>
            </w:r>
          </w:p>
        </w:tc>
        <w:tc>
          <w:tcPr>
            <w:tcW w:w="961" w:type="dxa"/>
            <w:tcBorders>
              <w:top w:val="single" w:color="auto" w:sz="4" w:space="0"/>
              <w:left w:val="single" w:color="auto" w:sz="4" w:space="0"/>
              <w:bottom w:val="nil"/>
              <w:right w:val="single" w:color="auto" w:sz="4" w:space="0"/>
            </w:tcBorders>
            <w:shd w:val="clear" w:color="auto" w:fill="DBE5F1" w:themeFill="accent1" w:themeFillTint="33"/>
          </w:tcPr>
          <w:p w:rsidRPr="005B4481" w:rsidR="003502EE" w:rsidP="003502EE" w:rsidRDefault="003502EE" w14:paraId="2DF49891"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Gross Income</w:t>
            </w:r>
          </w:p>
        </w:tc>
        <w:tc>
          <w:tcPr>
            <w:tcW w:w="850"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5B4481" w:rsidR="003502EE" w:rsidP="003502EE" w:rsidRDefault="003502EE" w14:paraId="1B8DB930"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Net Expt.</w:t>
            </w:r>
          </w:p>
        </w:tc>
        <w:tc>
          <w:tcPr>
            <w:tcW w:w="4732" w:type="dxa"/>
            <w:tcBorders>
              <w:top w:val="nil"/>
              <w:left w:val="nil"/>
              <w:bottom w:val="nil"/>
              <w:right w:val="single" w:color="auto" w:sz="4" w:space="0"/>
            </w:tcBorders>
            <w:shd w:val="clear" w:color="auto" w:fill="DBE5F1" w:themeFill="accent1" w:themeFillTint="33"/>
            <w:noWrap/>
            <w:vAlign w:val="bottom"/>
            <w:hideMark/>
          </w:tcPr>
          <w:p w:rsidRPr="005B4481" w:rsidR="003502EE" w:rsidP="003502EE" w:rsidRDefault="003502EE" w14:paraId="270616FE" w14:textId="77777777">
            <w:pPr>
              <w:spacing w:after="0" w:line="240" w:lineRule="auto"/>
              <w:rPr>
                <w:rFonts w:eastAsia="Times New Roman" w:cs="Arial"/>
                <w:b/>
                <w:bCs/>
                <w:color w:val="000000"/>
                <w:sz w:val="20"/>
                <w:szCs w:val="20"/>
                <w:lang w:eastAsia="en-GB"/>
              </w:rPr>
            </w:pPr>
            <w:r w:rsidRPr="005B4481">
              <w:rPr>
                <w:rFonts w:eastAsia="Times New Roman" w:cs="Arial"/>
                <w:b/>
                <w:bCs/>
                <w:color w:val="000000"/>
                <w:sz w:val="20"/>
                <w:szCs w:val="20"/>
                <w:lang w:eastAsia="en-GB"/>
              </w:rPr>
              <w:t> </w:t>
            </w:r>
          </w:p>
        </w:tc>
        <w:tc>
          <w:tcPr>
            <w:tcW w:w="993" w:type="dxa"/>
            <w:tcBorders>
              <w:top w:val="single" w:color="auto" w:sz="4" w:space="0"/>
              <w:left w:val="nil"/>
              <w:bottom w:val="nil"/>
              <w:right w:val="single" w:color="auto" w:sz="4" w:space="0"/>
            </w:tcBorders>
            <w:shd w:val="clear" w:color="auto" w:fill="DBE5F1" w:themeFill="accent1" w:themeFillTint="33"/>
          </w:tcPr>
          <w:p w:rsidRPr="005B4481" w:rsidR="003502EE" w:rsidP="003502EE" w:rsidRDefault="003502EE" w14:paraId="2FACDCBA" w14:textId="77777777">
            <w:pPr>
              <w:spacing w:after="0" w:line="240" w:lineRule="auto"/>
              <w:rPr>
                <w:rFonts w:eastAsia="Times New Roman" w:cs="Arial"/>
                <w:b/>
                <w:bCs/>
                <w:color w:val="000000"/>
                <w:sz w:val="20"/>
                <w:szCs w:val="20"/>
                <w:lang w:eastAsia="en-GB"/>
              </w:rPr>
            </w:pPr>
            <w:r w:rsidRPr="005B4481">
              <w:rPr>
                <w:rFonts w:eastAsia="Times New Roman" w:cs="Arial"/>
                <w:b/>
                <w:bCs/>
                <w:color w:val="000000"/>
                <w:sz w:val="20"/>
                <w:szCs w:val="20"/>
                <w:lang w:eastAsia="en-GB"/>
              </w:rPr>
              <w:t>Gross Expt.</w:t>
            </w:r>
          </w:p>
        </w:tc>
        <w:tc>
          <w:tcPr>
            <w:tcW w:w="961" w:type="dxa"/>
            <w:tcBorders>
              <w:top w:val="single" w:color="auto" w:sz="4" w:space="0"/>
              <w:left w:val="single" w:color="auto" w:sz="4" w:space="0"/>
              <w:bottom w:val="nil"/>
              <w:right w:val="single" w:color="auto" w:sz="4" w:space="0"/>
            </w:tcBorders>
            <w:shd w:val="clear" w:color="auto" w:fill="DBE5F1" w:themeFill="accent1" w:themeFillTint="33"/>
          </w:tcPr>
          <w:p w:rsidRPr="005B4481" w:rsidR="003502EE" w:rsidP="003502EE" w:rsidRDefault="003502EE" w14:paraId="159C85DE"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Gross Income</w:t>
            </w:r>
          </w:p>
        </w:tc>
        <w:tc>
          <w:tcPr>
            <w:tcW w:w="1008" w:type="dxa"/>
            <w:tcBorders>
              <w:top w:val="single" w:color="auto" w:sz="4" w:space="0"/>
              <w:left w:val="single" w:color="auto" w:sz="4" w:space="0"/>
              <w:bottom w:val="nil"/>
              <w:right w:val="single" w:color="auto" w:sz="4" w:space="0"/>
            </w:tcBorders>
            <w:shd w:val="clear" w:color="auto" w:fill="DBE5F1" w:themeFill="accent1" w:themeFillTint="33"/>
            <w:noWrap/>
            <w:vAlign w:val="bottom"/>
          </w:tcPr>
          <w:p w:rsidRPr="005B4481" w:rsidR="003502EE" w:rsidP="003502EE" w:rsidRDefault="003502EE" w14:paraId="30C85544"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Net Expt.</w:t>
            </w:r>
          </w:p>
        </w:tc>
      </w:tr>
      <w:tr w:rsidRPr="00614894" w:rsidR="006B4672" w:rsidTr="00BB3FD9" w14:paraId="50319489" w14:textId="77777777">
        <w:trPr>
          <w:gridAfter w:val="1"/>
          <w:wAfter w:w="7" w:type="dxa"/>
          <w:trHeight w:val="255"/>
        </w:trPr>
        <w:tc>
          <w:tcPr>
            <w:tcW w:w="828" w:type="dxa"/>
            <w:tcBorders>
              <w:top w:val="nil"/>
              <w:left w:val="single" w:color="auto" w:sz="4" w:space="0"/>
              <w:bottom w:val="single" w:color="auto" w:sz="4" w:space="0"/>
              <w:right w:val="single" w:color="auto" w:sz="4" w:space="0"/>
            </w:tcBorders>
            <w:shd w:val="clear" w:color="auto" w:fill="DBE5F1" w:themeFill="accent1" w:themeFillTint="33"/>
          </w:tcPr>
          <w:p w:rsidRPr="005B4481" w:rsidR="003502EE" w:rsidP="003502EE" w:rsidRDefault="003502EE" w14:paraId="78819948"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£000's</w:t>
            </w:r>
          </w:p>
        </w:tc>
        <w:tc>
          <w:tcPr>
            <w:tcW w:w="961" w:type="dxa"/>
            <w:tcBorders>
              <w:top w:val="nil"/>
              <w:left w:val="single" w:color="auto" w:sz="4" w:space="0"/>
              <w:bottom w:val="single" w:color="auto" w:sz="4" w:space="0"/>
              <w:right w:val="single" w:color="auto" w:sz="4" w:space="0"/>
            </w:tcBorders>
            <w:shd w:val="clear" w:color="auto" w:fill="DBE5F1" w:themeFill="accent1" w:themeFillTint="33"/>
          </w:tcPr>
          <w:p w:rsidRPr="005B4481" w:rsidR="003502EE" w:rsidP="003502EE" w:rsidRDefault="003502EE" w14:paraId="1EE26A13"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£000's</w:t>
            </w:r>
          </w:p>
        </w:tc>
        <w:tc>
          <w:tcPr>
            <w:tcW w:w="850"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5B4481" w:rsidR="003502EE" w:rsidP="003502EE" w:rsidRDefault="003502EE" w14:paraId="6F0C2BBF"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£000's</w:t>
            </w:r>
          </w:p>
        </w:tc>
        <w:tc>
          <w:tcPr>
            <w:tcW w:w="4732" w:type="dxa"/>
            <w:tcBorders>
              <w:top w:val="nil"/>
              <w:left w:val="nil"/>
              <w:bottom w:val="single" w:color="auto" w:sz="4" w:space="0"/>
              <w:right w:val="single" w:color="auto" w:sz="4" w:space="0"/>
            </w:tcBorders>
            <w:shd w:val="clear" w:color="auto" w:fill="DBE5F1" w:themeFill="accent1" w:themeFillTint="33"/>
            <w:noWrap/>
            <w:vAlign w:val="bottom"/>
            <w:hideMark/>
          </w:tcPr>
          <w:p w:rsidRPr="005B4481" w:rsidR="003502EE" w:rsidP="003502EE" w:rsidRDefault="003502EE" w14:paraId="40F73E37" w14:textId="77777777">
            <w:pPr>
              <w:spacing w:after="0" w:line="240" w:lineRule="auto"/>
              <w:rPr>
                <w:rFonts w:eastAsia="Times New Roman" w:cs="Arial"/>
                <w:b/>
                <w:bCs/>
                <w:color w:val="000000"/>
                <w:sz w:val="20"/>
                <w:szCs w:val="20"/>
                <w:lang w:eastAsia="en-GB"/>
              </w:rPr>
            </w:pPr>
            <w:r w:rsidRPr="005B4481">
              <w:rPr>
                <w:rFonts w:eastAsia="Times New Roman" w:cs="Arial"/>
                <w:b/>
                <w:bCs/>
                <w:color w:val="000000"/>
                <w:sz w:val="20"/>
                <w:szCs w:val="20"/>
                <w:lang w:eastAsia="en-GB"/>
              </w:rPr>
              <w:t> </w:t>
            </w:r>
          </w:p>
        </w:tc>
        <w:tc>
          <w:tcPr>
            <w:tcW w:w="993" w:type="dxa"/>
            <w:tcBorders>
              <w:top w:val="nil"/>
              <w:left w:val="nil"/>
              <w:bottom w:val="single" w:color="auto" w:sz="4" w:space="0"/>
              <w:right w:val="single" w:color="auto" w:sz="4" w:space="0"/>
            </w:tcBorders>
            <w:shd w:val="clear" w:color="auto" w:fill="DBE5F1" w:themeFill="accent1" w:themeFillTint="33"/>
          </w:tcPr>
          <w:p w:rsidRPr="005B4481" w:rsidR="003502EE" w:rsidP="003502EE" w:rsidRDefault="003502EE" w14:paraId="681A9952"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£000's</w:t>
            </w:r>
          </w:p>
        </w:tc>
        <w:tc>
          <w:tcPr>
            <w:tcW w:w="961" w:type="dxa"/>
            <w:tcBorders>
              <w:top w:val="nil"/>
              <w:left w:val="single" w:color="auto" w:sz="4" w:space="0"/>
              <w:bottom w:val="single" w:color="auto" w:sz="4" w:space="0"/>
              <w:right w:val="single" w:color="auto" w:sz="4" w:space="0"/>
            </w:tcBorders>
            <w:shd w:val="clear" w:color="auto" w:fill="DBE5F1" w:themeFill="accent1" w:themeFillTint="33"/>
          </w:tcPr>
          <w:p w:rsidRPr="005B4481" w:rsidR="003502EE" w:rsidP="003502EE" w:rsidRDefault="003502EE" w14:paraId="5F78DAB8"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£000's</w:t>
            </w:r>
          </w:p>
        </w:tc>
        <w:tc>
          <w:tcPr>
            <w:tcW w:w="1008"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5B4481" w:rsidR="003502EE" w:rsidP="003502EE" w:rsidRDefault="003502EE" w14:paraId="3A6BAF51" w14:textId="77777777">
            <w:pPr>
              <w:spacing w:after="0" w:line="240" w:lineRule="auto"/>
              <w:jc w:val="center"/>
              <w:rPr>
                <w:rFonts w:eastAsia="Times New Roman" w:cs="Arial"/>
                <w:b/>
                <w:bCs/>
                <w:color w:val="000000"/>
                <w:sz w:val="20"/>
                <w:szCs w:val="20"/>
                <w:lang w:eastAsia="en-GB"/>
              </w:rPr>
            </w:pPr>
            <w:r w:rsidRPr="005B4481">
              <w:rPr>
                <w:rFonts w:eastAsia="Times New Roman" w:cs="Arial"/>
                <w:b/>
                <w:bCs/>
                <w:color w:val="000000"/>
                <w:sz w:val="20"/>
                <w:szCs w:val="20"/>
                <w:lang w:eastAsia="en-GB"/>
              </w:rPr>
              <w:t>£000's</w:t>
            </w:r>
          </w:p>
        </w:tc>
      </w:tr>
      <w:tr w:rsidRPr="00614894" w:rsidR="006B4672" w:rsidTr="00BB3FD9" w14:paraId="7F48C967" w14:textId="77777777">
        <w:trPr>
          <w:gridAfter w:val="1"/>
          <w:wAfter w:w="7" w:type="dxa"/>
          <w:trHeight w:val="255"/>
        </w:trPr>
        <w:tc>
          <w:tcPr>
            <w:tcW w:w="828" w:type="dxa"/>
            <w:tcBorders>
              <w:top w:val="nil"/>
              <w:left w:val="single" w:color="auto" w:sz="4" w:space="0"/>
              <w:bottom w:val="nil"/>
              <w:right w:val="single" w:color="auto" w:sz="4" w:space="0"/>
            </w:tcBorders>
          </w:tcPr>
          <w:p w:rsidRPr="00BB3FD9" w:rsidR="003502EE" w:rsidP="00F06452" w:rsidRDefault="00BB3FD9" w14:paraId="191C2B02" w14:textId="521B6DB0">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2,261</w:t>
            </w:r>
          </w:p>
        </w:tc>
        <w:tc>
          <w:tcPr>
            <w:tcW w:w="961" w:type="dxa"/>
            <w:tcBorders>
              <w:top w:val="nil"/>
              <w:left w:val="single" w:color="auto" w:sz="4" w:space="0"/>
              <w:bottom w:val="nil"/>
              <w:right w:val="single" w:color="auto" w:sz="4" w:space="0"/>
            </w:tcBorders>
          </w:tcPr>
          <w:p w:rsidRPr="00BB3FD9" w:rsidR="003502EE" w:rsidP="00F06452" w:rsidRDefault="00BB3FD9" w14:paraId="68AA9A08" w14:textId="1613CA0B">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(102)</w:t>
            </w:r>
          </w:p>
        </w:tc>
        <w:tc>
          <w:tcPr>
            <w:tcW w:w="850" w:type="dxa"/>
            <w:tcBorders>
              <w:top w:val="nil"/>
              <w:left w:val="single" w:color="auto" w:sz="4" w:space="0"/>
              <w:bottom w:val="nil"/>
              <w:right w:val="single" w:color="auto" w:sz="4" w:space="0"/>
            </w:tcBorders>
            <w:shd w:val="clear" w:color="auto" w:fill="auto"/>
            <w:noWrap/>
            <w:vAlign w:val="bottom"/>
          </w:tcPr>
          <w:p w:rsidRPr="00BB3FD9" w:rsidR="003502EE" w:rsidP="00F06452" w:rsidRDefault="00BB3FD9" w14:paraId="73E4087C" w14:textId="6B35819C">
            <w:pPr>
              <w:spacing w:after="0" w:line="240" w:lineRule="auto"/>
              <w:jc w:val="right"/>
              <w:rPr>
                <w:rFonts w:eastAsia="Times New Roman" w:cs="Arial"/>
                <w:b/>
                <w:color w:val="000000"/>
                <w:sz w:val="20"/>
                <w:szCs w:val="20"/>
                <w:lang w:eastAsia="en-GB"/>
              </w:rPr>
            </w:pPr>
            <w:r w:rsidRPr="00BB3FD9">
              <w:rPr>
                <w:rFonts w:eastAsia="Times New Roman" w:cs="Arial"/>
                <w:b/>
                <w:color w:val="000000"/>
                <w:sz w:val="20"/>
                <w:szCs w:val="20"/>
                <w:lang w:eastAsia="en-GB"/>
              </w:rPr>
              <w:t>2,159</w:t>
            </w:r>
          </w:p>
        </w:tc>
        <w:tc>
          <w:tcPr>
            <w:tcW w:w="4732" w:type="dxa"/>
            <w:tcBorders>
              <w:top w:val="nil"/>
              <w:left w:val="nil"/>
              <w:bottom w:val="nil"/>
              <w:right w:val="single" w:color="auto" w:sz="4" w:space="0"/>
            </w:tcBorders>
            <w:shd w:val="clear" w:color="auto" w:fill="auto"/>
            <w:noWrap/>
            <w:vAlign w:val="bottom"/>
            <w:hideMark/>
          </w:tcPr>
          <w:p w:rsidRPr="00614894" w:rsidR="003502EE" w:rsidP="00D038BC" w:rsidRDefault="00BB3FD9" w14:paraId="0E266640" w14:textId="68BC7DBB">
            <w:pPr>
              <w:spacing w:after="0" w:line="240" w:lineRule="auto"/>
              <w:rPr>
                <w:rFonts w:eastAsia="Times New Roman" w:cs="Arial"/>
                <w:color w:val="000000"/>
                <w:sz w:val="20"/>
                <w:szCs w:val="20"/>
                <w:highlight w:val="yellow"/>
                <w:lang w:eastAsia="en-GB"/>
              </w:rPr>
            </w:pPr>
            <w:r w:rsidRPr="00BB3FD9">
              <w:rPr>
                <w:rFonts w:eastAsia="Times New Roman" w:cs="Arial"/>
                <w:color w:val="000000"/>
                <w:sz w:val="20"/>
                <w:szCs w:val="20"/>
                <w:lang w:eastAsia="en-GB"/>
              </w:rPr>
              <w:t>Core Budget</w:t>
            </w:r>
          </w:p>
        </w:tc>
        <w:tc>
          <w:tcPr>
            <w:tcW w:w="993" w:type="dxa"/>
            <w:tcBorders>
              <w:top w:val="single" w:color="auto" w:sz="4" w:space="0"/>
              <w:left w:val="single" w:color="auto" w:sz="4" w:space="0"/>
              <w:bottom w:val="nil"/>
              <w:right w:val="single" w:color="auto" w:sz="4" w:space="0"/>
            </w:tcBorders>
          </w:tcPr>
          <w:p w:rsidRPr="00722D78" w:rsidR="003502EE" w:rsidP="00F06452" w:rsidRDefault="00722D78" w14:paraId="722D599F" w14:textId="0A09564C">
            <w:pPr>
              <w:spacing w:after="0" w:line="240" w:lineRule="auto"/>
              <w:jc w:val="right"/>
              <w:rPr>
                <w:rFonts w:eastAsia="Times New Roman" w:cs="Arial"/>
                <w:color w:val="000000"/>
                <w:sz w:val="20"/>
                <w:szCs w:val="20"/>
                <w:lang w:eastAsia="en-GB"/>
              </w:rPr>
            </w:pPr>
            <w:r w:rsidRPr="00722D78">
              <w:rPr>
                <w:rFonts w:eastAsia="Times New Roman" w:cs="Arial"/>
                <w:color w:val="000000"/>
                <w:sz w:val="20"/>
                <w:szCs w:val="20"/>
                <w:lang w:eastAsia="en-GB"/>
              </w:rPr>
              <w:t>2,091</w:t>
            </w:r>
          </w:p>
        </w:tc>
        <w:tc>
          <w:tcPr>
            <w:tcW w:w="961" w:type="dxa"/>
            <w:tcBorders>
              <w:top w:val="single" w:color="auto" w:sz="4" w:space="0"/>
              <w:left w:val="single" w:color="auto" w:sz="4" w:space="0"/>
              <w:bottom w:val="nil"/>
              <w:right w:val="single" w:color="auto" w:sz="4" w:space="0"/>
            </w:tcBorders>
          </w:tcPr>
          <w:p w:rsidRPr="00722D78" w:rsidR="003502EE" w:rsidP="00F06452" w:rsidRDefault="008B0CDC" w14:paraId="50D427B1" w14:textId="0FE41F85">
            <w:pPr>
              <w:spacing w:after="0" w:line="240" w:lineRule="auto"/>
              <w:jc w:val="right"/>
              <w:rPr>
                <w:rFonts w:eastAsia="Times New Roman" w:cs="Arial"/>
                <w:color w:val="000000"/>
                <w:sz w:val="20"/>
                <w:szCs w:val="20"/>
                <w:lang w:eastAsia="en-GB"/>
              </w:rPr>
            </w:pPr>
            <w:r w:rsidRPr="00722D78">
              <w:rPr>
                <w:rFonts w:eastAsia="Times New Roman" w:cs="Arial"/>
                <w:color w:val="000000"/>
                <w:sz w:val="20"/>
                <w:szCs w:val="20"/>
                <w:lang w:eastAsia="en-GB"/>
              </w:rPr>
              <w:t>(</w:t>
            </w:r>
            <w:r w:rsidRPr="00722D78" w:rsidR="00722D78">
              <w:rPr>
                <w:rFonts w:eastAsia="Times New Roman" w:cs="Arial"/>
                <w:color w:val="000000"/>
                <w:sz w:val="20"/>
                <w:szCs w:val="20"/>
                <w:lang w:eastAsia="en-GB"/>
              </w:rPr>
              <w:t>129</w:t>
            </w:r>
            <w:r w:rsidRPr="00722D78" w:rsidR="00203A47">
              <w:rPr>
                <w:rFonts w:eastAsia="Times New Roman" w:cs="Arial"/>
                <w:color w:val="000000"/>
                <w:sz w:val="20"/>
                <w:szCs w:val="20"/>
                <w:lang w:eastAsia="en-GB"/>
              </w:rPr>
              <w:t>)</w:t>
            </w:r>
          </w:p>
        </w:tc>
        <w:tc>
          <w:tcPr>
            <w:tcW w:w="1008" w:type="dxa"/>
            <w:tcBorders>
              <w:top w:val="single" w:color="auto" w:sz="4" w:space="0"/>
              <w:left w:val="single" w:color="auto" w:sz="4" w:space="0"/>
              <w:bottom w:val="nil"/>
              <w:right w:val="single" w:color="auto" w:sz="4" w:space="0"/>
            </w:tcBorders>
            <w:shd w:val="clear" w:color="auto" w:fill="auto"/>
            <w:noWrap/>
            <w:vAlign w:val="bottom"/>
          </w:tcPr>
          <w:p w:rsidRPr="00722D78" w:rsidR="003502EE" w:rsidP="00F06452" w:rsidRDefault="000A48EA" w14:paraId="76037FBF" w14:textId="0BA82C9F">
            <w:pPr>
              <w:spacing w:after="0" w:line="240" w:lineRule="auto"/>
              <w:jc w:val="right"/>
              <w:rPr>
                <w:rFonts w:eastAsia="Times New Roman" w:cs="Arial"/>
                <w:b/>
                <w:color w:val="000000"/>
                <w:sz w:val="20"/>
                <w:szCs w:val="20"/>
                <w:lang w:eastAsia="en-GB"/>
              </w:rPr>
            </w:pPr>
            <w:r w:rsidRPr="00722D78">
              <w:rPr>
                <w:rFonts w:eastAsia="Times New Roman" w:cs="Arial"/>
                <w:b/>
                <w:color w:val="000000"/>
                <w:sz w:val="20"/>
                <w:szCs w:val="20"/>
                <w:lang w:eastAsia="en-GB"/>
              </w:rPr>
              <w:t>1,</w:t>
            </w:r>
            <w:r w:rsidRPr="00722D78" w:rsidR="00722D78">
              <w:rPr>
                <w:rFonts w:eastAsia="Times New Roman" w:cs="Arial"/>
                <w:b/>
                <w:color w:val="000000"/>
                <w:sz w:val="20"/>
                <w:szCs w:val="20"/>
                <w:lang w:eastAsia="en-GB"/>
              </w:rPr>
              <w:t>962</w:t>
            </w:r>
          </w:p>
        </w:tc>
      </w:tr>
      <w:tr w:rsidRPr="00614894" w:rsidR="006B4672" w:rsidTr="00BB3FD9" w14:paraId="08B55725" w14:textId="77777777">
        <w:trPr>
          <w:gridAfter w:val="1"/>
          <w:wAfter w:w="7" w:type="dxa"/>
          <w:trHeight w:val="255"/>
        </w:trPr>
        <w:tc>
          <w:tcPr>
            <w:tcW w:w="828" w:type="dxa"/>
            <w:tcBorders>
              <w:top w:val="nil"/>
              <w:left w:val="single" w:color="auto" w:sz="4" w:space="0"/>
              <w:bottom w:val="nil"/>
              <w:right w:val="single" w:color="auto" w:sz="4" w:space="0"/>
            </w:tcBorders>
          </w:tcPr>
          <w:p w:rsidRPr="00BB3FD9" w:rsidR="003502EE" w:rsidP="00F06452" w:rsidRDefault="00BB3FD9" w14:paraId="266380E9" w14:textId="7C8EE404">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537</w:t>
            </w:r>
          </w:p>
        </w:tc>
        <w:tc>
          <w:tcPr>
            <w:tcW w:w="961" w:type="dxa"/>
            <w:tcBorders>
              <w:top w:val="nil"/>
              <w:left w:val="single" w:color="auto" w:sz="4" w:space="0"/>
              <w:bottom w:val="nil"/>
              <w:right w:val="single" w:color="auto" w:sz="4" w:space="0"/>
            </w:tcBorders>
          </w:tcPr>
          <w:p w:rsidRPr="00BB3FD9" w:rsidR="003502EE" w:rsidP="00F06452" w:rsidRDefault="00BB3FD9" w14:paraId="5255344C" w14:textId="325AB394">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(537)</w:t>
            </w:r>
          </w:p>
        </w:tc>
        <w:tc>
          <w:tcPr>
            <w:tcW w:w="850" w:type="dxa"/>
            <w:tcBorders>
              <w:top w:val="nil"/>
              <w:left w:val="single" w:color="auto" w:sz="4" w:space="0"/>
              <w:bottom w:val="nil"/>
              <w:right w:val="single" w:color="auto" w:sz="4" w:space="0"/>
            </w:tcBorders>
            <w:shd w:val="clear" w:color="auto" w:fill="auto"/>
            <w:noWrap/>
            <w:vAlign w:val="bottom"/>
          </w:tcPr>
          <w:p w:rsidRPr="00BB3FD9" w:rsidR="003502EE" w:rsidP="00F06452" w:rsidRDefault="00BB3FD9" w14:paraId="29C436A8" w14:textId="2F070E5E">
            <w:pPr>
              <w:spacing w:after="0" w:line="240" w:lineRule="auto"/>
              <w:jc w:val="right"/>
              <w:rPr>
                <w:rFonts w:eastAsia="Times New Roman" w:cs="Arial"/>
                <w:b/>
                <w:color w:val="000000"/>
                <w:sz w:val="20"/>
                <w:szCs w:val="20"/>
                <w:lang w:eastAsia="en-GB"/>
              </w:rPr>
            </w:pPr>
            <w:r w:rsidRPr="00BB3FD9">
              <w:rPr>
                <w:rFonts w:eastAsia="Times New Roman" w:cs="Arial"/>
                <w:b/>
                <w:color w:val="000000"/>
                <w:sz w:val="20"/>
                <w:szCs w:val="20"/>
                <w:lang w:eastAsia="en-GB"/>
              </w:rPr>
              <w:t>0</w:t>
            </w:r>
          </w:p>
        </w:tc>
        <w:tc>
          <w:tcPr>
            <w:tcW w:w="4732" w:type="dxa"/>
            <w:tcBorders>
              <w:top w:val="nil"/>
              <w:left w:val="nil"/>
              <w:bottom w:val="nil"/>
              <w:right w:val="single" w:color="auto" w:sz="4" w:space="0"/>
            </w:tcBorders>
            <w:shd w:val="clear" w:color="auto" w:fill="auto"/>
            <w:noWrap/>
            <w:vAlign w:val="bottom"/>
            <w:hideMark/>
          </w:tcPr>
          <w:p w:rsidRPr="00614894" w:rsidR="003502EE" w:rsidP="00D038BC" w:rsidRDefault="00BB3FD9" w14:paraId="677185D9" w14:textId="76677E65">
            <w:pPr>
              <w:spacing w:after="0" w:line="240" w:lineRule="auto"/>
              <w:rPr>
                <w:rFonts w:eastAsia="Times New Roman" w:cs="Arial"/>
                <w:color w:val="000000"/>
                <w:sz w:val="20"/>
                <w:szCs w:val="20"/>
                <w:highlight w:val="yellow"/>
                <w:lang w:eastAsia="en-GB"/>
              </w:rPr>
            </w:pPr>
            <w:r w:rsidRPr="00BB3FD9">
              <w:rPr>
                <w:rFonts w:eastAsia="Times New Roman" w:cs="Arial"/>
                <w:color w:val="000000"/>
                <w:sz w:val="20"/>
                <w:szCs w:val="20"/>
                <w:lang w:eastAsia="en-GB"/>
              </w:rPr>
              <w:t>Regional Adoption Service Grant</w:t>
            </w:r>
          </w:p>
        </w:tc>
        <w:tc>
          <w:tcPr>
            <w:tcW w:w="993" w:type="dxa"/>
            <w:tcBorders>
              <w:top w:val="nil"/>
              <w:left w:val="single" w:color="auto" w:sz="4" w:space="0"/>
              <w:bottom w:val="nil"/>
              <w:right w:val="single" w:color="auto" w:sz="4" w:space="0"/>
            </w:tcBorders>
          </w:tcPr>
          <w:p w:rsidRPr="00722D78" w:rsidR="003502EE" w:rsidP="00F06452" w:rsidRDefault="008B0CDC" w14:paraId="0928C63A" w14:textId="465A79E8">
            <w:pPr>
              <w:spacing w:after="0" w:line="240" w:lineRule="auto"/>
              <w:jc w:val="right"/>
              <w:rPr>
                <w:rFonts w:eastAsia="Times New Roman" w:cs="Arial"/>
                <w:color w:val="000000"/>
                <w:sz w:val="20"/>
                <w:szCs w:val="20"/>
                <w:lang w:eastAsia="en-GB"/>
              </w:rPr>
            </w:pPr>
            <w:r w:rsidRPr="00722D78">
              <w:rPr>
                <w:rFonts w:eastAsia="Times New Roman" w:cs="Arial"/>
                <w:color w:val="000000"/>
                <w:sz w:val="20"/>
                <w:szCs w:val="20"/>
                <w:lang w:eastAsia="en-GB"/>
              </w:rPr>
              <w:t xml:space="preserve">    </w:t>
            </w:r>
            <w:r w:rsidRPr="00722D78" w:rsidR="00722D78">
              <w:rPr>
                <w:rFonts w:eastAsia="Times New Roman" w:cs="Arial"/>
                <w:color w:val="000000"/>
                <w:sz w:val="20"/>
                <w:szCs w:val="20"/>
                <w:lang w:eastAsia="en-GB"/>
              </w:rPr>
              <w:t>541</w:t>
            </w:r>
          </w:p>
        </w:tc>
        <w:tc>
          <w:tcPr>
            <w:tcW w:w="961" w:type="dxa"/>
            <w:tcBorders>
              <w:top w:val="nil"/>
              <w:left w:val="single" w:color="auto" w:sz="4" w:space="0"/>
              <w:bottom w:val="nil"/>
              <w:right w:val="single" w:color="auto" w:sz="4" w:space="0"/>
            </w:tcBorders>
          </w:tcPr>
          <w:p w:rsidRPr="00722D78" w:rsidR="003502EE" w:rsidP="00F06452" w:rsidRDefault="008B0CDC" w14:paraId="7C49643A" w14:textId="71F7E50C">
            <w:pPr>
              <w:spacing w:after="0" w:line="240" w:lineRule="auto"/>
              <w:jc w:val="right"/>
              <w:rPr>
                <w:rFonts w:eastAsia="Times New Roman" w:cs="Arial"/>
                <w:color w:val="000000"/>
                <w:sz w:val="20"/>
                <w:szCs w:val="20"/>
                <w:lang w:eastAsia="en-GB"/>
              </w:rPr>
            </w:pPr>
            <w:r w:rsidRPr="00722D78">
              <w:rPr>
                <w:rFonts w:eastAsia="Times New Roman" w:cs="Arial"/>
                <w:color w:val="000000"/>
                <w:sz w:val="20"/>
                <w:szCs w:val="20"/>
                <w:lang w:eastAsia="en-GB"/>
              </w:rPr>
              <w:t>(</w:t>
            </w:r>
            <w:r w:rsidRPr="00722D78" w:rsidR="00722D78">
              <w:rPr>
                <w:rFonts w:eastAsia="Times New Roman" w:cs="Arial"/>
                <w:color w:val="000000"/>
                <w:sz w:val="20"/>
                <w:szCs w:val="20"/>
                <w:lang w:eastAsia="en-GB"/>
              </w:rPr>
              <w:t>541</w:t>
            </w:r>
            <w:r w:rsidRPr="00722D78" w:rsidR="00203A47">
              <w:rPr>
                <w:rFonts w:eastAsia="Times New Roman" w:cs="Arial"/>
                <w:color w:val="000000"/>
                <w:sz w:val="20"/>
                <w:szCs w:val="20"/>
                <w:lang w:eastAsia="en-GB"/>
              </w:rPr>
              <w:t>)</w:t>
            </w:r>
          </w:p>
        </w:tc>
        <w:tc>
          <w:tcPr>
            <w:tcW w:w="1008" w:type="dxa"/>
            <w:tcBorders>
              <w:top w:val="nil"/>
              <w:left w:val="single" w:color="auto" w:sz="4" w:space="0"/>
              <w:bottom w:val="nil"/>
              <w:right w:val="single" w:color="auto" w:sz="4" w:space="0"/>
            </w:tcBorders>
            <w:shd w:val="clear" w:color="auto" w:fill="auto"/>
            <w:noWrap/>
            <w:vAlign w:val="bottom"/>
          </w:tcPr>
          <w:p w:rsidRPr="00722D78" w:rsidR="003502EE" w:rsidP="00F06452" w:rsidRDefault="00722D78" w14:paraId="2696F803" w14:textId="4E8887CC">
            <w:pPr>
              <w:spacing w:after="0" w:line="240" w:lineRule="auto"/>
              <w:jc w:val="right"/>
              <w:rPr>
                <w:rFonts w:eastAsia="Times New Roman" w:cs="Arial"/>
                <w:b/>
                <w:color w:val="000000"/>
                <w:sz w:val="20"/>
                <w:szCs w:val="20"/>
                <w:lang w:eastAsia="en-GB"/>
              </w:rPr>
            </w:pPr>
            <w:r w:rsidRPr="00722D78">
              <w:rPr>
                <w:rFonts w:eastAsia="Times New Roman" w:cs="Arial"/>
                <w:b/>
                <w:color w:val="000000"/>
                <w:sz w:val="20"/>
                <w:szCs w:val="20"/>
                <w:lang w:eastAsia="en-GB"/>
              </w:rPr>
              <w:t>0</w:t>
            </w:r>
          </w:p>
        </w:tc>
      </w:tr>
      <w:tr w:rsidRPr="00614894" w:rsidR="006B4672" w:rsidTr="00BB3FD9" w14:paraId="4C9A1708" w14:textId="77777777">
        <w:trPr>
          <w:gridAfter w:val="1"/>
          <w:wAfter w:w="7" w:type="dxa"/>
          <w:trHeight w:val="255"/>
        </w:trPr>
        <w:tc>
          <w:tcPr>
            <w:tcW w:w="828" w:type="dxa"/>
            <w:tcBorders>
              <w:top w:val="nil"/>
              <w:left w:val="single" w:color="auto" w:sz="4" w:space="0"/>
              <w:bottom w:val="nil"/>
              <w:right w:val="single" w:color="auto" w:sz="4" w:space="0"/>
            </w:tcBorders>
          </w:tcPr>
          <w:p w:rsidRPr="00BB3FD9" w:rsidR="003502EE" w:rsidP="00F06452" w:rsidRDefault="00BB3FD9" w14:paraId="635CF569" w14:textId="63B52EC9">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10</w:t>
            </w:r>
            <w:r w:rsidR="00722D78">
              <w:rPr>
                <w:rFonts w:eastAsia="Times New Roman" w:cs="Arial"/>
                <w:color w:val="000000"/>
                <w:sz w:val="20"/>
                <w:szCs w:val="20"/>
                <w:lang w:eastAsia="en-GB"/>
              </w:rPr>
              <w:t>3</w:t>
            </w:r>
          </w:p>
        </w:tc>
        <w:tc>
          <w:tcPr>
            <w:tcW w:w="961" w:type="dxa"/>
            <w:tcBorders>
              <w:top w:val="nil"/>
              <w:left w:val="single" w:color="auto" w:sz="4" w:space="0"/>
              <w:bottom w:val="nil"/>
              <w:right w:val="single" w:color="auto" w:sz="4" w:space="0"/>
            </w:tcBorders>
          </w:tcPr>
          <w:p w:rsidRPr="00BB3FD9" w:rsidR="003502EE" w:rsidP="00F06452" w:rsidRDefault="00BB3FD9" w14:paraId="003FA154" w14:textId="547356A2">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(18)</w:t>
            </w:r>
          </w:p>
        </w:tc>
        <w:tc>
          <w:tcPr>
            <w:tcW w:w="850" w:type="dxa"/>
            <w:tcBorders>
              <w:top w:val="nil"/>
              <w:left w:val="single" w:color="auto" w:sz="4" w:space="0"/>
              <w:bottom w:val="nil"/>
              <w:right w:val="single" w:color="auto" w:sz="4" w:space="0"/>
            </w:tcBorders>
            <w:shd w:val="clear" w:color="auto" w:fill="auto"/>
            <w:noWrap/>
            <w:vAlign w:val="bottom"/>
          </w:tcPr>
          <w:p w:rsidRPr="00BB3FD9" w:rsidR="003502EE" w:rsidP="00F06452" w:rsidRDefault="00BB3FD9" w14:paraId="241CC160" w14:textId="3ABF695A">
            <w:pPr>
              <w:spacing w:after="0" w:line="240" w:lineRule="auto"/>
              <w:jc w:val="right"/>
              <w:rPr>
                <w:rFonts w:eastAsia="Times New Roman" w:cs="Arial"/>
                <w:b/>
                <w:color w:val="000000"/>
                <w:sz w:val="20"/>
                <w:szCs w:val="20"/>
                <w:lang w:eastAsia="en-GB"/>
              </w:rPr>
            </w:pPr>
            <w:r w:rsidRPr="00BB3FD9">
              <w:rPr>
                <w:rFonts w:eastAsia="Times New Roman" w:cs="Arial"/>
                <w:b/>
                <w:color w:val="000000"/>
                <w:sz w:val="20"/>
                <w:szCs w:val="20"/>
                <w:lang w:eastAsia="en-GB"/>
              </w:rPr>
              <w:t>8</w:t>
            </w:r>
            <w:r w:rsidR="00722D78">
              <w:rPr>
                <w:rFonts w:eastAsia="Times New Roman" w:cs="Arial"/>
                <w:b/>
                <w:color w:val="000000"/>
                <w:sz w:val="20"/>
                <w:szCs w:val="20"/>
                <w:lang w:eastAsia="en-GB"/>
              </w:rPr>
              <w:t>5</w:t>
            </w:r>
          </w:p>
        </w:tc>
        <w:tc>
          <w:tcPr>
            <w:tcW w:w="4732" w:type="dxa"/>
            <w:tcBorders>
              <w:top w:val="nil"/>
              <w:left w:val="nil"/>
              <w:bottom w:val="nil"/>
              <w:right w:val="single" w:color="auto" w:sz="4" w:space="0"/>
            </w:tcBorders>
            <w:shd w:val="clear" w:color="auto" w:fill="auto"/>
            <w:noWrap/>
            <w:vAlign w:val="bottom"/>
            <w:hideMark/>
          </w:tcPr>
          <w:p w:rsidRPr="000E7A45" w:rsidR="003502EE" w:rsidP="00D038BC" w:rsidRDefault="00BB3FD9" w14:paraId="7E3339A5" w14:textId="61663AA5">
            <w:pPr>
              <w:spacing w:after="0" w:line="240" w:lineRule="auto"/>
              <w:rPr>
                <w:rFonts w:eastAsia="Times New Roman" w:cs="Arial"/>
                <w:color w:val="000000"/>
                <w:sz w:val="20"/>
                <w:szCs w:val="20"/>
                <w:lang w:eastAsia="en-GB"/>
              </w:rPr>
            </w:pPr>
            <w:r w:rsidRPr="00BB3FD9">
              <w:rPr>
                <w:rFonts w:eastAsia="Times New Roman" w:cs="Arial"/>
                <w:color w:val="000000"/>
                <w:sz w:val="20"/>
                <w:szCs w:val="20"/>
                <w:lang w:eastAsia="en-GB"/>
              </w:rPr>
              <w:t>Utilisation of Previous Years Underspend</w:t>
            </w:r>
          </w:p>
        </w:tc>
        <w:tc>
          <w:tcPr>
            <w:tcW w:w="993" w:type="dxa"/>
            <w:tcBorders>
              <w:top w:val="nil"/>
              <w:left w:val="single" w:color="auto" w:sz="4" w:space="0"/>
              <w:bottom w:val="nil"/>
              <w:right w:val="single" w:color="auto" w:sz="4" w:space="0"/>
            </w:tcBorders>
          </w:tcPr>
          <w:p w:rsidRPr="00722D78" w:rsidR="003502EE" w:rsidP="00F06452" w:rsidRDefault="00722D78" w14:paraId="0E3758E5" w14:textId="5224DBD2">
            <w:pPr>
              <w:spacing w:after="0" w:line="240" w:lineRule="auto"/>
              <w:jc w:val="right"/>
              <w:rPr>
                <w:rFonts w:eastAsia="Times New Roman" w:cs="Arial"/>
                <w:color w:val="000000"/>
                <w:sz w:val="20"/>
                <w:szCs w:val="20"/>
                <w:lang w:eastAsia="en-GB"/>
              </w:rPr>
            </w:pPr>
            <w:r w:rsidRPr="00722D78">
              <w:rPr>
                <w:rFonts w:eastAsia="Times New Roman" w:cs="Arial"/>
                <w:color w:val="000000"/>
                <w:sz w:val="20"/>
                <w:szCs w:val="20"/>
                <w:lang w:eastAsia="en-GB"/>
              </w:rPr>
              <w:t>37</w:t>
            </w:r>
          </w:p>
        </w:tc>
        <w:tc>
          <w:tcPr>
            <w:tcW w:w="961" w:type="dxa"/>
            <w:tcBorders>
              <w:top w:val="nil"/>
              <w:left w:val="single" w:color="auto" w:sz="4" w:space="0"/>
              <w:bottom w:val="nil"/>
              <w:right w:val="single" w:color="auto" w:sz="4" w:space="0"/>
            </w:tcBorders>
          </w:tcPr>
          <w:p w:rsidRPr="00722D78" w:rsidR="003502EE" w:rsidP="00F06452" w:rsidRDefault="008B0CDC" w14:paraId="7C59F6AB" w14:textId="6FCC547E">
            <w:pPr>
              <w:spacing w:after="0" w:line="240" w:lineRule="auto"/>
              <w:jc w:val="right"/>
              <w:rPr>
                <w:rFonts w:eastAsia="Times New Roman" w:cs="Arial"/>
                <w:color w:val="000000"/>
                <w:sz w:val="20"/>
                <w:szCs w:val="20"/>
                <w:lang w:eastAsia="en-GB"/>
              </w:rPr>
            </w:pPr>
            <w:r w:rsidRPr="00722D78">
              <w:rPr>
                <w:rFonts w:eastAsia="Times New Roman" w:cs="Arial"/>
                <w:color w:val="000000"/>
                <w:sz w:val="20"/>
                <w:szCs w:val="20"/>
                <w:lang w:eastAsia="en-GB"/>
              </w:rPr>
              <w:t>(</w:t>
            </w:r>
            <w:r w:rsidRPr="00722D78" w:rsidR="00722D78">
              <w:rPr>
                <w:rFonts w:eastAsia="Times New Roman" w:cs="Arial"/>
                <w:color w:val="000000"/>
                <w:sz w:val="20"/>
                <w:szCs w:val="20"/>
                <w:lang w:eastAsia="en-GB"/>
              </w:rPr>
              <w:t>0</w:t>
            </w:r>
            <w:r w:rsidRPr="00722D78" w:rsidR="00203A47">
              <w:rPr>
                <w:rFonts w:eastAsia="Times New Roman" w:cs="Arial"/>
                <w:color w:val="000000"/>
                <w:sz w:val="20"/>
                <w:szCs w:val="20"/>
                <w:lang w:eastAsia="en-GB"/>
              </w:rPr>
              <w:t>)</w:t>
            </w:r>
          </w:p>
        </w:tc>
        <w:tc>
          <w:tcPr>
            <w:tcW w:w="1008" w:type="dxa"/>
            <w:tcBorders>
              <w:top w:val="nil"/>
              <w:left w:val="single" w:color="auto" w:sz="4" w:space="0"/>
              <w:bottom w:val="nil"/>
              <w:right w:val="single" w:color="auto" w:sz="4" w:space="0"/>
            </w:tcBorders>
            <w:shd w:val="clear" w:color="auto" w:fill="auto"/>
            <w:noWrap/>
            <w:vAlign w:val="bottom"/>
          </w:tcPr>
          <w:p w:rsidRPr="00722D78" w:rsidR="003502EE" w:rsidP="00F06452" w:rsidRDefault="00722D78" w14:paraId="22590824" w14:textId="440A6DC4">
            <w:pPr>
              <w:spacing w:after="0" w:line="240" w:lineRule="auto"/>
              <w:jc w:val="right"/>
              <w:rPr>
                <w:rFonts w:eastAsia="Times New Roman" w:cs="Arial"/>
                <w:b/>
                <w:color w:val="000000"/>
                <w:sz w:val="20"/>
                <w:szCs w:val="20"/>
                <w:lang w:eastAsia="en-GB"/>
              </w:rPr>
            </w:pPr>
            <w:r w:rsidRPr="00722D78">
              <w:rPr>
                <w:rFonts w:eastAsia="Times New Roman" w:cs="Arial"/>
                <w:b/>
                <w:color w:val="000000"/>
                <w:sz w:val="20"/>
                <w:szCs w:val="20"/>
                <w:lang w:eastAsia="en-GB"/>
              </w:rPr>
              <w:t>37</w:t>
            </w:r>
          </w:p>
        </w:tc>
      </w:tr>
      <w:tr w:rsidRPr="00614894" w:rsidR="006B4672" w:rsidTr="00BB3FD9" w14:paraId="3014A9FC" w14:textId="77777777">
        <w:trPr>
          <w:gridAfter w:val="1"/>
          <w:wAfter w:w="7" w:type="dxa"/>
          <w:trHeight w:val="255"/>
        </w:trPr>
        <w:tc>
          <w:tcPr>
            <w:tcW w:w="828"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BB3FD9" w:rsidR="003502EE" w:rsidP="00F06452" w:rsidRDefault="00BB3FD9" w14:paraId="1E0C8AEF" w14:textId="217668C6">
            <w:pPr>
              <w:spacing w:after="0" w:line="240" w:lineRule="auto"/>
              <w:jc w:val="right"/>
              <w:rPr>
                <w:rFonts w:eastAsia="Times New Roman" w:cs="Arial"/>
                <w:b/>
                <w:bCs/>
                <w:color w:val="000000"/>
                <w:sz w:val="20"/>
                <w:szCs w:val="20"/>
                <w:lang w:eastAsia="en-GB"/>
              </w:rPr>
            </w:pPr>
            <w:r w:rsidRPr="00BB3FD9">
              <w:rPr>
                <w:rFonts w:eastAsia="Times New Roman" w:cs="Arial"/>
                <w:b/>
                <w:bCs/>
                <w:color w:val="000000"/>
                <w:sz w:val="20"/>
                <w:szCs w:val="20"/>
                <w:lang w:eastAsia="en-GB"/>
              </w:rPr>
              <w:t>2,90</w:t>
            </w:r>
            <w:r w:rsidR="00722D78">
              <w:rPr>
                <w:rFonts w:eastAsia="Times New Roman" w:cs="Arial"/>
                <w:b/>
                <w:bCs/>
                <w:color w:val="000000"/>
                <w:sz w:val="20"/>
                <w:szCs w:val="20"/>
                <w:lang w:eastAsia="en-GB"/>
              </w:rPr>
              <w:t>1</w:t>
            </w:r>
          </w:p>
        </w:tc>
        <w:tc>
          <w:tcPr>
            <w:tcW w:w="96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BB3FD9" w:rsidR="003502EE" w:rsidP="00F06452" w:rsidRDefault="00BB3FD9" w14:paraId="623AA83F" w14:textId="57A0F856">
            <w:pPr>
              <w:spacing w:after="0" w:line="240" w:lineRule="auto"/>
              <w:jc w:val="right"/>
              <w:rPr>
                <w:rFonts w:eastAsia="Times New Roman" w:cs="Arial"/>
                <w:b/>
                <w:bCs/>
                <w:color w:val="000000"/>
                <w:sz w:val="20"/>
                <w:szCs w:val="20"/>
                <w:lang w:eastAsia="en-GB"/>
              </w:rPr>
            </w:pPr>
            <w:r w:rsidRPr="00BB3FD9">
              <w:rPr>
                <w:rFonts w:eastAsia="Times New Roman" w:cs="Arial"/>
                <w:b/>
                <w:bCs/>
                <w:color w:val="000000"/>
                <w:sz w:val="20"/>
                <w:szCs w:val="20"/>
                <w:lang w:eastAsia="en-GB"/>
              </w:rPr>
              <w:t>(657)</w:t>
            </w:r>
          </w:p>
        </w:tc>
        <w:tc>
          <w:tcPr>
            <w:tcW w:w="850"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BB3FD9" w:rsidR="003502EE" w:rsidP="00F06452" w:rsidRDefault="00BB3FD9" w14:paraId="7F556647" w14:textId="11345A96">
            <w:pPr>
              <w:spacing w:after="0" w:line="240" w:lineRule="auto"/>
              <w:jc w:val="right"/>
              <w:rPr>
                <w:rFonts w:eastAsia="Times New Roman" w:cs="Arial"/>
                <w:b/>
                <w:bCs/>
                <w:color w:val="000000"/>
                <w:sz w:val="20"/>
                <w:szCs w:val="20"/>
                <w:lang w:eastAsia="en-GB"/>
              </w:rPr>
            </w:pPr>
            <w:r w:rsidRPr="00BB3FD9">
              <w:rPr>
                <w:rFonts w:eastAsia="Times New Roman" w:cs="Arial"/>
                <w:b/>
                <w:bCs/>
                <w:color w:val="000000"/>
                <w:sz w:val="20"/>
                <w:szCs w:val="20"/>
                <w:lang w:eastAsia="en-GB"/>
              </w:rPr>
              <w:t>2,24</w:t>
            </w:r>
            <w:r w:rsidR="00722D78">
              <w:rPr>
                <w:rFonts w:eastAsia="Times New Roman" w:cs="Arial"/>
                <w:b/>
                <w:bCs/>
                <w:color w:val="000000"/>
                <w:sz w:val="20"/>
                <w:szCs w:val="20"/>
                <w:lang w:eastAsia="en-GB"/>
              </w:rPr>
              <w:t>4</w:t>
            </w:r>
          </w:p>
        </w:tc>
        <w:tc>
          <w:tcPr>
            <w:tcW w:w="4732"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BB3FD9" w:rsidR="003502EE" w:rsidP="00B87574" w:rsidRDefault="003502EE" w14:paraId="0A41B97E" w14:textId="2B713E83">
            <w:pPr>
              <w:spacing w:after="0" w:line="240" w:lineRule="auto"/>
              <w:rPr>
                <w:rFonts w:eastAsia="Times New Roman" w:cs="Arial"/>
                <w:b/>
                <w:bCs/>
                <w:color w:val="000000"/>
                <w:sz w:val="20"/>
                <w:szCs w:val="20"/>
                <w:lang w:eastAsia="en-GB"/>
              </w:rPr>
            </w:pPr>
            <w:r w:rsidRPr="00BB3FD9">
              <w:rPr>
                <w:rFonts w:eastAsia="Times New Roman" w:cs="Arial"/>
                <w:b/>
                <w:bCs/>
                <w:color w:val="000000"/>
                <w:sz w:val="20"/>
                <w:szCs w:val="20"/>
                <w:lang w:eastAsia="en-GB"/>
              </w:rPr>
              <w:t xml:space="preserve">Net Cost of </w:t>
            </w:r>
            <w:r w:rsidRPr="002F5639">
              <w:rPr>
                <w:rFonts w:eastAsia="Times New Roman" w:cs="Arial"/>
                <w:b/>
                <w:bCs/>
                <w:color w:val="000000"/>
                <w:sz w:val="20"/>
                <w:szCs w:val="20"/>
                <w:lang w:eastAsia="en-GB"/>
              </w:rPr>
              <w:t>Services</w:t>
            </w:r>
            <w:r w:rsidRPr="002F5639" w:rsidR="006B4672">
              <w:rPr>
                <w:rFonts w:eastAsia="Times New Roman" w:cs="Arial"/>
                <w:b/>
                <w:bCs/>
                <w:color w:val="000000"/>
                <w:sz w:val="20"/>
                <w:szCs w:val="20"/>
                <w:lang w:eastAsia="en-GB"/>
              </w:rPr>
              <w:t xml:space="preserve"> (Note </w:t>
            </w:r>
            <w:r w:rsidRPr="002F5639" w:rsidR="00B04363">
              <w:rPr>
                <w:rFonts w:eastAsia="Times New Roman" w:cs="Arial"/>
                <w:b/>
                <w:bCs/>
                <w:color w:val="000000"/>
                <w:sz w:val="20"/>
                <w:szCs w:val="20"/>
                <w:lang w:eastAsia="en-GB"/>
              </w:rPr>
              <w:t>8</w:t>
            </w:r>
            <w:r w:rsidRPr="002F5639" w:rsidR="006B4672">
              <w:rPr>
                <w:rFonts w:eastAsia="Times New Roman" w:cs="Arial"/>
                <w:b/>
                <w:bCs/>
                <w:color w:val="000000"/>
                <w:sz w:val="20"/>
                <w:szCs w:val="20"/>
                <w:lang w:eastAsia="en-GB"/>
              </w:rPr>
              <w:t>)</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722D78" w:rsidR="003502EE" w:rsidP="00F06452" w:rsidRDefault="00722D78" w14:paraId="1675C874" w14:textId="1DC5CF56">
            <w:pPr>
              <w:spacing w:after="0" w:line="240" w:lineRule="auto"/>
              <w:jc w:val="right"/>
              <w:rPr>
                <w:rFonts w:eastAsia="Times New Roman" w:cs="Arial"/>
                <w:b/>
                <w:bCs/>
                <w:color w:val="000000"/>
                <w:sz w:val="20"/>
                <w:szCs w:val="20"/>
                <w:lang w:eastAsia="en-GB"/>
              </w:rPr>
            </w:pPr>
            <w:r w:rsidRPr="00722D78">
              <w:rPr>
                <w:rFonts w:eastAsia="Times New Roman" w:cs="Arial"/>
                <w:b/>
                <w:bCs/>
                <w:color w:val="000000"/>
                <w:sz w:val="20"/>
                <w:szCs w:val="20"/>
                <w:lang w:eastAsia="en-GB"/>
              </w:rPr>
              <w:t>2,669</w:t>
            </w:r>
          </w:p>
        </w:tc>
        <w:tc>
          <w:tcPr>
            <w:tcW w:w="96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722D78" w:rsidR="003502EE" w:rsidP="00F06452" w:rsidRDefault="003C7BA4" w14:paraId="3F97CE07" w14:textId="0F6F4B66">
            <w:pPr>
              <w:spacing w:after="0" w:line="240" w:lineRule="auto"/>
              <w:jc w:val="right"/>
              <w:rPr>
                <w:rFonts w:eastAsia="Times New Roman" w:cs="Arial"/>
                <w:b/>
                <w:bCs/>
                <w:color w:val="000000"/>
                <w:sz w:val="20"/>
                <w:szCs w:val="20"/>
                <w:lang w:eastAsia="en-GB"/>
              </w:rPr>
            </w:pPr>
            <w:r w:rsidRPr="00722D78">
              <w:rPr>
                <w:rFonts w:eastAsia="Times New Roman" w:cs="Arial"/>
                <w:b/>
                <w:bCs/>
                <w:color w:val="000000"/>
                <w:sz w:val="20"/>
                <w:szCs w:val="20"/>
                <w:lang w:eastAsia="en-GB"/>
              </w:rPr>
              <w:t>(</w:t>
            </w:r>
            <w:r w:rsidRPr="00722D78" w:rsidR="00722D78">
              <w:rPr>
                <w:rFonts w:eastAsia="Times New Roman" w:cs="Arial"/>
                <w:b/>
                <w:bCs/>
                <w:color w:val="000000"/>
                <w:sz w:val="20"/>
                <w:szCs w:val="20"/>
                <w:lang w:eastAsia="en-GB"/>
              </w:rPr>
              <w:t>670</w:t>
            </w:r>
            <w:r w:rsidRPr="00722D78">
              <w:rPr>
                <w:rFonts w:eastAsia="Times New Roman" w:cs="Arial"/>
                <w:b/>
                <w:bCs/>
                <w:color w:val="000000"/>
                <w:sz w:val="20"/>
                <w:szCs w:val="20"/>
                <w:lang w:eastAsia="en-GB"/>
              </w:rPr>
              <w:t>)</w:t>
            </w:r>
          </w:p>
        </w:tc>
        <w:tc>
          <w:tcPr>
            <w:tcW w:w="100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722D78" w:rsidR="003502EE" w:rsidP="00F06452" w:rsidRDefault="00722D78" w14:paraId="3DC7ABC0" w14:textId="6AD571AF">
            <w:pPr>
              <w:spacing w:after="0" w:line="240" w:lineRule="auto"/>
              <w:jc w:val="right"/>
              <w:rPr>
                <w:rFonts w:eastAsia="Times New Roman" w:cs="Arial"/>
                <w:b/>
                <w:bCs/>
                <w:color w:val="000000"/>
                <w:sz w:val="20"/>
                <w:szCs w:val="20"/>
                <w:lang w:eastAsia="en-GB"/>
              </w:rPr>
            </w:pPr>
            <w:r w:rsidRPr="00722D78">
              <w:rPr>
                <w:rFonts w:eastAsia="Times New Roman" w:cs="Arial"/>
                <w:b/>
                <w:bCs/>
                <w:color w:val="000000"/>
                <w:sz w:val="20"/>
                <w:szCs w:val="20"/>
                <w:lang w:eastAsia="en-GB"/>
              </w:rPr>
              <w:t>1,999</w:t>
            </w:r>
          </w:p>
        </w:tc>
      </w:tr>
      <w:tr w:rsidRPr="00614894" w:rsidR="006B4672" w:rsidTr="00BB3FD9" w14:paraId="0B9A2EFD" w14:textId="77777777">
        <w:trPr>
          <w:gridAfter w:val="1"/>
          <w:wAfter w:w="7" w:type="dxa"/>
          <w:trHeight w:val="255"/>
        </w:trPr>
        <w:tc>
          <w:tcPr>
            <w:tcW w:w="828" w:type="dxa"/>
            <w:tcBorders>
              <w:top w:val="nil"/>
              <w:left w:val="single" w:color="auto" w:sz="4" w:space="0"/>
              <w:bottom w:val="nil"/>
              <w:right w:val="single" w:color="auto" w:sz="4" w:space="0"/>
            </w:tcBorders>
          </w:tcPr>
          <w:p w:rsidRPr="00614894" w:rsidR="003502EE" w:rsidP="00F06452" w:rsidRDefault="003502EE" w14:paraId="23C9FC18" w14:textId="77777777">
            <w:pPr>
              <w:spacing w:after="0" w:line="240" w:lineRule="auto"/>
              <w:jc w:val="right"/>
              <w:rPr>
                <w:rFonts w:eastAsia="Times New Roman" w:cs="Arial"/>
                <w:color w:val="000000"/>
                <w:sz w:val="20"/>
                <w:szCs w:val="20"/>
                <w:highlight w:val="yellow"/>
                <w:lang w:eastAsia="en-GB"/>
              </w:rPr>
            </w:pPr>
          </w:p>
        </w:tc>
        <w:tc>
          <w:tcPr>
            <w:tcW w:w="961" w:type="dxa"/>
            <w:tcBorders>
              <w:top w:val="nil"/>
              <w:left w:val="single" w:color="auto" w:sz="4" w:space="0"/>
              <w:bottom w:val="nil"/>
              <w:right w:val="single" w:color="auto" w:sz="4" w:space="0"/>
            </w:tcBorders>
          </w:tcPr>
          <w:p w:rsidRPr="00614894" w:rsidR="003502EE" w:rsidP="00F06452" w:rsidRDefault="003502EE" w14:paraId="16D8EC81" w14:textId="77777777">
            <w:pPr>
              <w:spacing w:after="0" w:line="240" w:lineRule="auto"/>
              <w:jc w:val="right"/>
              <w:rPr>
                <w:rFonts w:eastAsia="Times New Roman" w:cs="Arial"/>
                <w:color w:val="000000"/>
                <w:sz w:val="20"/>
                <w:szCs w:val="20"/>
                <w:highlight w:val="yellow"/>
                <w:lang w:eastAsia="en-GB"/>
              </w:rPr>
            </w:pPr>
          </w:p>
        </w:tc>
        <w:tc>
          <w:tcPr>
            <w:tcW w:w="850" w:type="dxa"/>
            <w:tcBorders>
              <w:top w:val="nil"/>
              <w:left w:val="single" w:color="auto" w:sz="4" w:space="0"/>
              <w:bottom w:val="nil"/>
              <w:right w:val="single" w:color="auto" w:sz="4" w:space="0"/>
            </w:tcBorders>
            <w:shd w:val="clear" w:color="auto" w:fill="auto"/>
            <w:noWrap/>
            <w:vAlign w:val="bottom"/>
            <w:hideMark/>
          </w:tcPr>
          <w:p w:rsidRPr="00BB3FD9" w:rsidR="003502EE" w:rsidP="00F06452" w:rsidRDefault="003502EE" w14:paraId="1AF5C4CB" w14:textId="77777777">
            <w:pPr>
              <w:spacing w:after="0" w:line="240" w:lineRule="auto"/>
              <w:jc w:val="right"/>
              <w:rPr>
                <w:rFonts w:eastAsia="Times New Roman" w:cs="Arial"/>
                <w:b/>
                <w:color w:val="000000"/>
                <w:sz w:val="20"/>
                <w:szCs w:val="20"/>
                <w:lang w:eastAsia="en-GB"/>
              </w:rPr>
            </w:pPr>
            <w:r w:rsidRPr="00BB3FD9">
              <w:rPr>
                <w:rFonts w:eastAsia="Times New Roman" w:cs="Arial"/>
                <w:b/>
                <w:color w:val="000000"/>
                <w:sz w:val="20"/>
                <w:szCs w:val="20"/>
                <w:lang w:eastAsia="en-GB"/>
              </w:rPr>
              <w:t> </w:t>
            </w:r>
          </w:p>
        </w:tc>
        <w:tc>
          <w:tcPr>
            <w:tcW w:w="4732" w:type="dxa"/>
            <w:tcBorders>
              <w:top w:val="nil"/>
              <w:left w:val="nil"/>
              <w:bottom w:val="nil"/>
              <w:right w:val="single" w:color="auto" w:sz="4" w:space="0"/>
            </w:tcBorders>
            <w:shd w:val="clear" w:color="auto" w:fill="auto"/>
            <w:noWrap/>
            <w:vAlign w:val="bottom"/>
            <w:hideMark/>
          </w:tcPr>
          <w:p w:rsidRPr="00BB3FD9" w:rsidR="003502EE" w:rsidP="00D038BC" w:rsidRDefault="003502EE" w14:paraId="618B4E80" w14:textId="77777777">
            <w:pPr>
              <w:spacing w:after="0" w:line="240" w:lineRule="auto"/>
              <w:rPr>
                <w:rFonts w:eastAsia="Times New Roman" w:cs="Arial"/>
                <w:b/>
                <w:bCs/>
                <w:color w:val="000000"/>
                <w:sz w:val="20"/>
                <w:szCs w:val="20"/>
                <w:u w:val="single"/>
                <w:lang w:eastAsia="en-GB"/>
              </w:rPr>
            </w:pPr>
            <w:r w:rsidRPr="00BB3FD9">
              <w:rPr>
                <w:rFonts w:eastAsia="Times New Roman" w:cs="Arial"/>
                <w:b/>
                <w:bCs/>
                <w:color w:val="000000"/>
                <w:sz w:val="20"/>
                <w:szCs w:val="20"/>
                <w:u w:val="single"/>
                <w:lang w:eastAsia="en-GB"/>
              </w:rPr>
              <w:t>Finance &amp; Investment Income and Expenditure</w:t>
            </w:r>
          </w:p>
        </w:tc>
        <w:tc>
          <w:tcPr>
            <w:tcW w:w="993" w:type="dxa"/>
            <w:tcBorders>
              <w:top w:val="nil"/>
              <w:left w:val="single" w:color="auto" w:sz="4" w:space="0"/>
              <w:bottom w:val="nil"/>
              <w:right w:val="single" w:color="auto" w:sz="4" w:space="0"/>
            </w:tcBorders>
          </w:tcPr>
          <w:p w:rsidRPr="00722D78" w:rsidR="003502EE" w:rsidP="00F06452" w:rsidRDefault="003502EE" w14:paraId="384F6B87" w14:textId="77777777">
            <w:pPr>
              <w:spacing w:after="0" w:line="240" w:lineRule="auto"/>
              <w:jc w:val="right"/>
              <w:rPr>
                <w:rFonts w:eastAsia="Times New Roman" w:cs="Arial"/>
                <w:b/>
                <w:bCs/>
                <w:color w:val="000000"/>
                <w:sz w:val="20"/>
                <w:szCs w:val="20"/>
                <w:lang w:eastAsia="en-GB"/>
              </w:rPr>
            </w:pPr>
          </w:p>
        </w:tc>
        <w:tc>
          <w:tcPr>
            <w:tcW w:w="961" w:type="dxa"/>
            <w:tcBorders>
              <w:top w:val="nil"/>
              <w:left w:val="single" w:color="auto" w:sz="4" w:space="0"/>
              <w:bottom w:val="nil"/>
              <w:right w:val="single" w:color="auto" w:sz="4" w:space="0"/>
            </w:tcBorders>
          </w:tcPr>
          <w:p w:rsidRPr="00722D78" w:rsidR="003502EE" w:rsidP="00F06452" w:rsidRDefault="003502EE" w14:paraId="59DCEA84" w14:textId="77777777">
            <w:pPr>
              <w:spacing w:after="0" w:line="240" w:lineRule="auto"/>
              <w:jc w:val="right"/>
              <w:rPr>
                <w:rFonts w:eastAsia="Times New Roman" w:cs="Arial"/>
                <w:b/>
                <w:bCs/>
                <w:color w:val="000000"/>
                <w:sz w:val="20"/>
                <w:szCs w:val="20"/>
                <w:lang w:eastAsia="en-GB"/>
              </w:rPr>
            </w:pPr>
          </w:p>
        </w:tc>
        <w:tc>
          <w:tcPr>
            <w:tcW w:w="1008" w:type="dxa"/>
            <w:tcBorders>
              <w:top w:val="nil"/>
              <w:left w:val="single" w:color="auto" w:sz="4" w:space="0"/>
              <w:bottom w:val="nil"/>
              <w:right w:val="single" w:color="auto" w:sz="4" w:space="0"/>
            </w:tcBorders>
            <w:shd w:val="clear" w:color="auto" w:fill="auto"/>
            <w:noWrap/>
            <w:vAlign w:val="bottom"/>
            <w:hideMark/>
          </w:tcPr>
          <w:p w:rsidRPr="00722D78" w:rsidR="003502EE" w:rsidP="00F06452" w:rsidRDefault="003502EE" w14:paraId="0B1DA6F1" w14:textId="77777777">
            <w:pPr>
              <w:spacing w:after="0" w:line="240" w:lineRule="auto"/>
              <w:jc w:val="right"/>
              <w:rPr>
                <w:rFonts w:eastAsia="Times New Roman" w:cs="Arial"/>
                <w:b/>
                <w:bCs/>
                <w:color w:val="000000"/>
                <w:sz w:val="20"/>
                <w:szCs w:val="20"/>
                <w:lang w:eastAsia="en-GB"/>
              </w:rPr>
            </w:pPr>
            <w:r w:rsidRPr="00722D78">
              <w:rPr>
                <w:rFonts w:eastAsia="Times New Roman" w:cs="Arial"/>
                <w:b/>
                <w:bCs/>
                <w:color w:val="000000"/>
                <w:sz w:val="20"/>
                <w:szCs w:val="20"/>
                <w:lang w:eastAsia="en-GB"/>
              </w:rPr>
              <w:t> </w:t>
            </w:r>
          </w:p>
        </w:tc>
      </w:tr>
      <w:tr w:rsidRPr="00614894" w:rsidR="006B4672" w:rsidTr="00BB3FD9" w14:paraId="2BE062C4" w14:textId="77777777">
        <w:trPr>
          <w:gridAfter w:val="1"/>
          <w:wAfter w:w="7" w:type="dxa"/>
          <w:trHeight w:val="255"/>
        </w:trPr>
        <w:tc>
          <w:tcPr>
            <w:tcW w:w="828" w:type="dxa"/>
            <w:tcBorders>
              <w:top w:val="nil"/>
              <w:left w:val="single" w:color="auto" w:sz="4" w:space="0"/>
              <w:bottom w:val="nil"/>
              <w:right w:val="single" w:color="auto" w:sz="4" w:space="0"/>
            </w:tcBorders>
          </w:tcPr>
          <w:p w:rsidRPr="00BB3FD9" w:rsidR="003502EE" w:rsidP="00F06452" w:rsidRDefault="00BB3FD9" w14:paraId="350965AB" w14:textId="3C62C664">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0</w:t>
            </w:r>
          </w:p>
        </w:tc>
        <w:tc>
          <w:tcPr>
            <w:tcW w:w="961" w:type="dxa"/>
            <w:tcBorders>
              <w:top w:val="nil"/>
              <w:left w:val="single" w:color="auto" w:sz="4" w:space="0"/>
              <w:bottom w:val="nil"/>
              <w:right w:val="single" w:color="auto" w:sz="4" w:space="0"/>
            </w:tcBorders>
          </w:tcPr>
          <w:p w:rsidRPr="00BB3FD9" w:rsidR="003502EE" w:rsidP="00F06452" w:rsidRDefault="00BB3FD9" w14:paraId="448E2F15" w14:textId="1068D7FE">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(1,921)</w:t>
            </w:r>
          </w:p>
        </w:tc>
        <w:tc>
          <w:tcPr>
            <w:tcW w:w="850" w:type="dxa"/>
            <w:tcBorders>
              <w:top w:val="nil"/>
              <w:left w:val="single" w:color="auto" w:sz="4" w:space="0"/>
              <w:bottom w:val="nil"/>
              <w:right w:val="single" w:color="auto" w:sz="4" w:space="0"/>
            </w:tcBorders>
            <w:shd w:val="clear" w:color="auto" w:fill="auto"/>
            <w:noWrap/>
            <w:vAlign w:val="bottom"/>
          </w:tcPr>
          <w:p w:rsidRPr="00BB3FD9" w:rsidR="003502EE" w:rsidP="00F06452" w:rsidRDefault="00BB3FD9" w14:paraId="1DB109EE" w14:textId="3BF72832">
            <w:pPr>
              <w:spacing w:after="0" w:line="240" w:lineRule="auto"/>
              <w:jc w:val="right"/>
              <w:rPr>
                <w:rFonts w:eastAsia="Times New Roman" w:cs="Arial"/>
                <w:b/>
                <w:color w:val="000000"/>
                <w:sz w:val="20"/>
                <w:szCs w:val="20"/>
                <w:lang w:eastAsia="en-GB"/>
              </w:rPr>
            </w:pPr>
            <w:r w:rsidRPr="00BB3FD9">
              <w:rPr>
                <w:rFonts w:eastAsia="Times New Roman" w:cs="Arial"/>
                <w:b/>
                <w:color w:val="000000"/>
                <w:sz w:val="20"/>
                <w:szCs w:val="20"/>
                <w:lang w:eastAsia="en-GB"/>
              </w:rPr>
              <w:t>(1,921)</w:t>
            </w:r>
          </w:p>
        </w:tc>
        <w:tc>
          <w:tcPr>
            <w:tcW w:w="4732" w:type="dxa"/>
            <w:tcBorders>
              <w:top w:val="nil"/>
              <w:left w:val="nil"/>
              <w:bottom w:val="nil"/>
              <w:right w:val="single" w:color="auto" w:sz="4" w:space="0"/>
            </w:tcBorders>
            <w:shd w:val="clear" w:color="auto" w:fill="auto"/>
            <w:noWrap/>
            <w:vAlign w:val="bottom"/>
          </w:tcPr>
          <w:p w:rsidRPr="00BB3FD9" w:rsidR="003502EE" w:rsidP="00D038BC" w:rsidRDefault="003502EE" w14:paraId="2BD6A603" w14:textId="77777777">
            <w:pPr>
              <w:spacing w:after="0" w:line="240" w:lineRule="auto"/>
              <w:rPr>
                <w:rFonts w:eastAsia="Times New Roman" w:cs="Arial"/>
                <w:color w:val="000000"/>
                <w:sz w:val="20"/>
                <w:szCs w:val="20"/>
                <w:lang w:eastAsia="en-GB"/>
              </w:rPr>
            </w:pPr>
            <w:r w:rsidRPr="00BB3FD9">
              <w:rPr>
                <w:rFonts w:eastAsia="Times New Roman" w:cs="Arial"/>
                <w:color w:val="000000"/>
                <w:sz w:val="20"/>
                <w:szCs w:val="20"/>
                <w:lang w:eastAsia="en-GB"/>
              </w:rPr>
              <w:t>Contributions from Local Authorities</w:t>
            </w:r>
          </w:p>
        </w:tc>
        <w:tc>
          <w:tcPr>
            <w:tcW w:w="993" w:type="dxa"/>
            <w:tcBorders>
              <w:top w:val="nil"/>
              <w:left w:val="single" w:color="auto" w:sz="4" w:space="0"/>
              <w:bottom w:val="nil"/>
              <w:right w:val="single" w:color="auto" w:sz="4" w:space="0"/>
            </w:tcBorders>
          </w:tcPr>
          <w:p w:rsidRPr="00722D78" w:rsidR="003502EE" w:rsidP="00F06452" w:rsidRDefault="005C65CB" w14:paraId="64AB7D8E" w14:textId="3A403B50">
            <w:pPr>
              <w:spacing w:after="0" w:line="240" w:lineRule="auto"/>
              <w:jc w:val="right"/>
              <w:rPr>
                <w:rFonts w:eastAsia="Times New Roman" w:cs="Arial"/>
                <w:bCs/>
                <w:color w:val="000000"/>
                <w:sz w:val="20"/>
                <w:szCs w:val="20"/>
                <w:lang w:eastAsia="en-GB"/>
              </w:rPr>
            </w:pPr>
            <w:r w:rsidRPr="00722D78">
              <w:rPr>
                <w:rFonts w:eastAsia="Times New Roman" w:cs="Arial"/>
                <w:bCs/>
                <w:color w:val="000000"/>
                <w:sz w:val="20"/>
                <w:szCs w:val="20"/>
                <w:lang w:eastAsia="en-GB"/>
              </w:rPr>
              <w:t>0</w:t>
            </w:r>
          </w:p>
        </w:tc>
        <w:tc>
          <w:tcPr>
            <w:tcW w:w="961" w:type="dxa"/>
            <w:tcBorders>
              <w:top w:val="nil"/>
              <w:left w:val="single" w:color="auto" w:sz="4" w:space="0"/>
              <w:bottom w:val="nil"/>
              <w:right w:val="single" w:color="auto" w:sz="4" w:space="0"/>
            </w:tcBorders>
          </w:tcPr>
          <w:p w:rsidRPr="00722D78" w:rsidR="003502EE" w:rsidP="00F06452" w:rsidRDefault="000A48EA" w14:paraId="21FCA0D5" w14:textId="723FDD04">
            <w:pPr>
              <w:spacing w:after="0" w:line="240" w:lineRule="auto"/>
              <w:jc w:val="right"/>
              <w:rPr>
                <w:rFonts w:eastAsia="Times New Roman" w:cs="Arial"/>
                <w:bCs/>
                <w:color w:val="000000"/>
                <w:sz w:val="20"/>
                <w:szCs w:val="20"/>
                <w:lang w:eastAsia="en-GB"/>
              </w:rPr>
            </w:pPr>
            <w:r w:rsidRPr="00722D78">
              <w:rPr>
                <w:rFonts w:eastAsia="Times New Roman" w:cs="Arial"/>
                <w:bCs/>
                <w:color w:val="000000"/>
                <w:sz w:val="20"/>
                <w:szCs w:val="20"/>
                <w:lang w:eastAsia="en-GB"/>
              </w:rPr>
              <w:t>(</w:t>
            </w:r>
            <w:r w:rsidRPr="00722D78" w:rsidR="00722D78">
              <w:rPr>
                <w:rFonts w:eastAsia="Times New Roman" w:cs="Arial"/>
                <w:bCs/>
                <w:color w:val="000000"/>
                <w:sz w:val="20"/>
                <w:szCs w:val="20"/>
                <w:lang w:eastAsia="en-GB"/>
              </w:rPr>
              <w:t>1,738</w:t>
            </w:r>
            <w:r w:rsidRPr="00722D78" w:rsidR="005C65CB">
              <w:rPr>
                <w:rFonts w:eastAsia="Times New Roman" w:cs="Arial"/>
                <w:bCs/>
                <w:color w:val="000000"/>
                <w:sz w:val="20"/>
                <w:szCs w:val="20"/>
                <w:lang w:eastAsia="en-GB"/>
              </w:rPr>
              <w:t>)</w:t>
            </w:r>
          </w:p>
        </w:tc>
        <w:tc>
          <w:tcPr>
            <w:tcW w:w="1008" w:type="dxa"/>
            <w:tcBorders>
              <w:top w:val="nil"/>
              <w:left w:val="single" w:color="auto" w:sz="4" w:space="0"/>
              <w:bottom w:val="nil"/>
              <w:right w:val="single" w:color="auto" w:sz="4" w:space="0"/>
            </w:tcBorders>
            <w:shd w:val="clear" w:color="auto" w:fill="auto"/>
            <w:noWrap/>
            <w:vAlign w:val="bottom"/>
          </w:tcPr>
          <w:p w:rsidRPr="00722D78" w:rsidR="003502EE" w:rsidP="00F06452" w:rsidRDefault="000A48EA" w14:paraId="73B2C299" w14:textId="55A2294B">
            <w:pPr>
              <w:spacing w:after="0" w:line="240" w:lineRule="auto"/>
              <w:jc w:val="right"/>
              <w:rPr>
                <w:rFonts w:eastAsia="Times New Roman" w:cs="Arial"/>
                <w:b/>
                <w:bCs/>
                <w:color w:val="000000"/>
                <w:sz w:val="20"/>
                <w:szCs w:val="20"/>
                <w:lang w:eastAsia="en-GB"/>
              </w:rPr>
            </w:pPr>
            <w:r w:rsidRPr="00722D78">
              <w:rPr>
                <w:rFonts w:eastAsia="Times New Roman" w:cs="Arial"/>
                <w:b/>
                <w:bCs/>
                <w:color w:val="000000"/>
                <w:sz w:val="20"/>
                <w:szCs w:val="20"/>
                <w:lang w:eastAsia="en-GB"/>
              </w:rPr>
              <w:t>(</w:t>
            </w:r>
            <w:r w:rsidRPr="00722D78" w:rsidR="00722D78">
              <w:rPr>
                <w:rFonts w:eastAsia="Times New Roman" w:cs="Arial"/>
                <w:b/>
                <w:bCs/>
                <w:color w:val="000000"/>
                <w:sz w:val="20"/>
                <w:szCs w:val="20"/>
                <w:lang w:eastAsia="en-GB"/>
              </w:rPr>
              <w:t>1,738</w:t>
            </w:r>
            <w:r w:rsidRPr="00722D78" w:rsidR="00793917">
              <w:rPr>
                <w:rFonts w:eastAsia="Times New Roman" w:cs="Arial"/>
                <w:b/>
                <w:bCs/>
                <w:color w:val="000000"/>
                <w:sz w:val="20"/>
                <w:szCs w:val="20"/>
                <w:lang w:eastAsia="en-GB"/>
              </w:rPr>
              <w:t>)</w:t>
            </w:r>
          </w:p>
        </w:tc>
      </w:tr>
      <w:tr w:rsidRPr="00614894" w:rsidR="00BB3FD9" w:rsidTr="00BB3FD9" w14:paraId="6FEF54BF" w14:textId="77777777">
        <w:trPr>
          <w:gridAfter w:val="1"/>
          <w:wAfter w:w="7" w:type="dxa"/>
          <w:trHeight w:val="255"/>
        </w:trPr>
        <w:tc>
          <w:tcPr>
            <w:tcW w:w="828" w:type="dxa"/>
            <w:tcBorders>
              <w:top w:val="nil"/>
              <w:left w:val="single" w:color="auto" w:sz="4" w:space="0"/>
              <w:bottom w:val="nil"/>
              <w:right w:val="single" w:color="auto" w:sz="4" w:space="0"/>
            </w:tcBorders>
          </w:tcPr>
          <w:p w:rsidRPr="00BB3FD9" w:rsidR="00BB3FD9" w:rsidP="00F06452" w:rsidRDefault="00BB3FD9" w14:paraId="5A39C45B" w14:textId="58274A29">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90</w:t>
            </w:r>
          </w:p>
        </w:tc>
        <w:tc>
          <w:tcPr>
            <w:tcW w:w="961" w:type="dxa"/>
            <w:tcBorders>
              <w:top w:val="nil"/>
              <w:left w:val="single" w:color="auto" w:sz="4" w:space="0"/>
              <w:bottom w:val="nil"/>
              <w:right w:val="single" w:color="auto" w:sz="4" w:space="0"/>
            </w:tcBorders>
          </w:tcPr>
          <w:p w:rsidRPr="00BB3FD9" w:rsidR="00BB3FD9" w:rsidP="00F06452" w:rsidRDefault="00BB3FD9" w14:paraId="752EB803" w14:textId="3494178F">
            <w:pPr>
              <w:spacing w:after="0" w:line="240" w:lineRule="auto"/>
              <w:jc w:val="right"/>
              <w:rPr>
                <w:rFonts w:eastAsia="Times New Roman" w:cs="Arial"/>
                <w:color w:val="000000"/>
                <w:sz w:val="20"/>
                <w:szCs w:val="20"/>
                <w:lang w:eastAsia="en-GB"/>
              </w:rPr>
            </w:pPr>
            <w:r w:rsidRPr="00BB3FD9">
              <w:rPr>
                <w:rFonts w:eastAsia="Times New Roman" w:cs="Arial"/>
                <w:color w:val="000000"/>
                <w:sz w:val="20"/>
                <w:szCs w:val="20"/>
                <w:lang w:eastAsia="en-GB"/>
              </w:rPr>
              <w:t>0</w:t>
            </w:r>
          </w:p>
        </w:tc>
        <w:tc>
          <w:tcPr>
            <w:tcW w:w="850" w:type="dxa"/>
            <w:tcBorders>
              <w:top w:val="nil"/>
              <w:left w:val="single" w:color="auto" w:sz="4" w:space="0"/>
              <w:bottom w:val="nil"/>
              <w:right w:val="single" w:color="auto" w:sz="4" w:space="0"/>
            </w:tcBorders>
            <w:shd w:val="clear" w:color="auto" w:fill="auto"/>
            <w:noWrap/>
            <w:vAlign w:val="bottom"/>
          </w:tcPr>
          <w:p w:rsidRPr="00BB3FD9" w:rsidR="00BB3FD9" w:rsidP="00F06452" w:rsidRDefault="00BB3FD9" w14:paraId="1C564CF1" w14:textId="53E86B5D">
            <w:pPr>
              <w:spacing w:after="0" w:line="240" w:lineRule="auto"/>
              <w:jc w:val="right"/>
              <w:rPr>
                <w:rFonts w:eastAsia="Times New Roman" w:cs="Arial"/>
                <w:b/>
                <w:color w:val="000000"/>
                <w:sz w:val="20"/>
                <w:szCs w:val="20"/>
                <w:lang w:eastAsia="en-GB"/>
              </w:rPr>
            </w:pPr>
            <w:r w:rsidRPr="00BB3FD9">
              <w:rPr>
                <w:rFonts w:eastAsia="Times New Roman" w:cs="Arial"/>
                <w:b/>
                <w:color w:val="000000"/>
                <w:sz w:val="20"/>
                <w:szCs w:val="20"/>
                <w:lang w:eastAsia="en-GB"/>
              </w:rPr>
              <w:t>90</w:t>
            </w:r>
          </w:p>
        </w:tc>
        <w:tc>
          <w:tcPr>
            <w:tcW w:w="4732" w:type="dxa"/>
            <w:tcBorders>
              <w:top w:val="nil"/>
              <w:left w:val="nil"/>
              <w:bottom w:val="nil"/>
              <w:right w:val="single" w:color="auto" w:sz="4" w:space="0"/>
            </w:tcBorders>
            <w:shd w:val="clear" w:color="auto" w:fill="auto"/>
            <w:noWrap/>
            <w:vAlign w:val="bottom"/>
          </w:tcPr>
          <w:p w:rsidRPr="00EC0BA1" w:rsidR="00BB3FD9" w:rsidP="00663324" w:rsidRDefault="00BB3FD9" w14:paraId="35D28B26" w14:textId="6369F56D">
            <w:pPr>
              <w:spacing w:after="0" w:line="240" w:lineRule="auto"/>
              <w:rPr>
                <w:rFonts w:eastAsia="Times New Roman" w:cs="Arial"/>
                <w:color w:val="000000"/>
                <w:sz w:val="20"/>
                <w:szCs w:val="20"/>
                <w:lang w:eastAsia="en-GB"/>
              </w:rPr>
            </w:pPr>
            <w:r w:rsidRPr="00EC0BA1">
              <w:rPr>
                <w:rFonts w:eastAsia="Times New Roman" w:cs="Arial"/>
                <w:color w:val="000000"/>
                <w:sz w:val="20"/>
                <w:szCs w:val="20"/>
                <w:lang w:eastAsia="en-GB"/>
              </w:rPr>
              <w:t>Pension Interest Payable (</w:t>
            </w:r>
            <w:r w:rsidRPr="00EC0BA1">
              <w:rPr>
                <w:rFonts w:eastAsia="Times New Roman" w:cs="Arial"/>
                <w:b/>
                <w:bCs/>
                <w:color w:val="000000"/>
                <w:sz w:val="20"/>
                <w:szCs w:val="20"/>
                <w:lang w:eastAsia="en-GB"/>
              </w:rPr>
              <w:t xml:space="preserve">Note </w:t>
            </w:r>
            <w:r w:rsidRPr="00EC0BA1" w:rsidR="00EC0BA1">
              <w:rPr>
                <w:rFonts w:eastAsia="Times New Roman" w:cs="Arial"/>
                <w:b/>
                <w:bCs/>
                <w:color w:val="000000"/>
                <w:sz w:val="20"/>
                <w:szCs w:val="20"/>
                <w:lang w:eastAsia="en-GB"/>
              </w:rPr>
              <w:t>17</w:t>
            </w:r>
            <w:r w:rsidRPr="00EC0BA1">
              <w:rPr>
                <w:rFonts w:eastAsia="Times New Roman" w:cs="Arial"/>
                <w:b/>
                <w:bCs/>
                <w:color w:val="000000"/>
                <w:sz w:val="20"/>
                <w:szCs w:val="20"/>
                <w:lang w:eastAsia="en-GB"/>
              </w:rPr>
              <w:t>)</w:t>
            </w:r>
          </w:p>
        </w:tc>
        <w:tc>
          <w:tcPr>
            <w:tcW w:w="993" w:type="dxa"/>
            <w:tcBorders>
              <w:top w:val="nil"/>
              <w:left w:val="single" w:color="auto" w:sz="4" w:space="0"/>
              <w:bottom w:val="nil"/>
              <w:right w:val="single" w:color="auto" w:sz="4" w:space="0"/>
            </w:tcBorders>
          </w:tcPr>
          <w:p w:rsidRPr="00722D78" w:rsidR="00BB3FD9" w:rsidP="00F06452" w:rsidRDefault="00BB3FD9" w14:paraId="69310339" w14:textId="4917035A">
            <w:pPr>
              <w:spacing w:after="0" w:line="240" w:lineRule="auto"/>
              <w:jc w:val="right"/>
              <w:rPr>
                <w:rFonts w:eastAsia="Times New Roman" w:cs="Arial"/>
                <w:bCs/>
                <w:color w:val="000000"/>
                <w:sz w:val="20"/>
                <w:szCs w:val="20"/>
                <w:lang w:eastAsia="en-GB"/>
              </w:rPr>
            </w:pPr>
            <w:r w:rsidRPr="00722D78">
              <w:rPr>
                <w:rFonts w:eastAsia="Times New Roman" w:cs="Arial"/>
                <w:bCs/>
                <w:color w:val="000000"/>
                <w:sz w:val="20"/>
                <w:szCs w:val="20"/>
                <w:lang w:eastAsia="en-GB"/>
              </w:rPr>
              <w:t>90</w:t>
            </w:r>
          </w:p>
        </w:tc>
        <w:tc>
          <w:tcPr>
            <w:tcW w:w="961" w:type="dxa"/>
            <w:tcBorders>
              <w:top w:val="nil"/>
              <w:left w:val="single" w:color="auto" w:sz="4" w:space="0"/>
              <w:bottom w:val="nil"/>
              <w:right w:val="single" w:color="auto" w:sz="4" w:space="0"/>
            </w:tcBorders>
          </w:tcPr>
          <w:p w:rsidRPr="00722D78" w:rsidR="00BB3FD9" w:rsidP="00F06452" w:rsidRDefault="00BB3FD9" w14:paraId="18559A6B" w14:textId="51239698">
            <w:pPr>
              <w:spacing w:after="0" w:line="240" w:lineRule="auto"/>
              <w:jc w:val="right"/>
              <w:rPr>
                <w:rFonts w:eastAsia="Times New Roman" w:cs="Arial"/>
                <w:bCs/>
                <w:color w:val="000000"/>
                <w:sz w:val="20"/>
                <w:szCs w:val="20"/>
                <w:lang w:eastAsia="en-GB"/>
              </w:rPr>
            </w:pPr>
            <w:r w:rsidRPr="00722D78">
              <w:rPr>
                <w:rFonts w:eastAsia="Times New Roman" w:cs="Arial"/>
                <w:bCs/>
                <w:color w:val="000000"/>
                <w:sz w:val="20"/>
                <w:szCs w:val="20"/>
                <w:lang w:eastAsia="en-GB"/>
              </w:rPr>
              <w:t>0</w:t>
            </w:r>
          </w:p>
        </w:tc>
        <w:tc>
          <w:tcPr>
            <w:tcW w:w="1008" w:type="dxa"/>
            <w:tcBorders>
              <w:top w:val="nil"/>
              <w:left w:val="single" w:color="auto" w:sz="4" w:space="0"/>
              <w:bottom w:val="nil"/>
              <w:right w:val="single" w:color="auto" w:sz="4" w:space="0"/>
            </w:tcBorders>
            <w:shd w:val="clear" w:color="auto" w:fill="auto"/>
            <w:noWrap/>
            <w:vAlign w:val="bottom"/>
          </w:tcPr>
          <w:p w:rsidRPr="00722D78" w:rsidR="00BB3FD9" w:rsidP="00F06452" w:rsidRDefault="00BB3FD9" w14:paraId="2711C640" w14:textId="12E87D1F">
            <w:pPr>
              <w:spacing w:after="0" w:line="240" w:lineRule="auto"/>
              <w:jc w:val="right"/>
              <w:rPr>
                <w:rFonts w:eastAsia="Times New Roman" w:cs="Arial"/>
                <w:b/>
                <w:bCs/>
                <w:color w:val="000000"/>
                <w:sz w:val="20"/>
                <w:szCs w:val="20"/>
                <w:lang w:eastAsia="en-GB"/>
              </w:rPr>
            </w:pPr>
            <w:r w:rsidRPr="00722D78">
              <w:rPr>
                <w:rFonts w:eastAsia="Times New Roman" w:cs="Arial"/>
                <w:b/>
                <w:bCs/>
                <w:color w:val="000000"/>
                <w:sz w:val="20"/>
                <w:szCs w:val="20"/>
                <w:lang w:eastAsia="en-GB"/>
              </w:rPr>
              <w:t>90</w:t>
            </w:r>
          </w:p>
        </w:tc>
      </w:tr>
      <w:tr w:rsidRPr="00614894" w:rsidR="00BB3FD9" w:rsidTr="00BB3FD9" w14:paraId="01BC19F1" w14:textId="77777777">
        <w:trPr>
          <w:gridAfter w:val="1"/>
          <w:wAfter w:w="7" w:type="dxa"/>
          <w:trHeight w:val="255"/>
        </w:trPr>
        <w:tc>
          <w:tcPr>
            <w:tcW w:w="82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Pr="00BB3FD9" w:rsidR="00BB3FD9" w:rsidP="00F06452" w:rsidRDefault="00BB3FD9" w14:paraId="4B9318E0" w14:textId="3FC96DF5">
            <w:pPr>
              <w:spacing w:after="0" w:line="240" w:lineRule="auto"/>
              <w:jc w:val="right"/>
              <w:rPr>
                <w:rFonts w:eastAsia="Times New Roman" w:cs="Arial"/>
                <w:b/>
                <w:bCs/>
                <w:color w:val="000000"/>
                <w:sz w:val="20"/>
                <w:szCs w:val="20"/>
                <w:lang w:eastAsia="en-GB"/>
              </w:rPr>
            </w:pPr>
            <w:r w:rsidRPr="00BB3FD9">
              <w:rPr>
                <w:rFonts w:eastAsia="Times New Roman" w:cs="Arial"/>
                <w:b/>
                <w:bCs/>
                <w:color w:val="000000"/>
                <w:sz w:val="20"/>
                <w:szCs w:val="20"/>
                <w:lang w:eastAsia="en-GB"/>
              </w:rPr>
              <w:t>90</w:t>
            </w:r>
          </w:p>
        </w:tc>
        <w:tc>
          <w:tcPr>
            <w:tcW w:w="96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Pr="00BB3FD9" w:rsidR="00BB3FD9" w:rsidP="00F06452" w:rsidRDefault="00BB3FD9" w14:paraId="652E1C05" w14:textId="64FC78ED">
            <w:pPr>
              <w:spacing w:after="0" w:line="240" w:lineRule="auto"/>
              <w:jc w:val="right"/>
              <w:rPr>
                <w:rFonts w:eastAsia="Times New Roman" w:cs="Arial"/>
                <w:b/>
                <w:bCs/>
                <w:color w:val="000000"/>
                <w:sz w:val="20"/>
                <w:szCs w:val="20"/>
                <w:lang w:eastAsia="en-GB"/>
              </w:rPr>
            </w:pPr>
            <w:r w:rsidRPr="00BB3FD9">
              <w:rPr>
                <w:rFonts w:eastAsia="Times New Roman" w:cs="Arial"/>
                <w:b/>
                <w:bCs/>
                <w:color w:val="000000"/>
                <w:sz w:val="20"/>
                <w:szCs w:val="20"/>
                <w:lang w:eastAsia="en-GB"/>
              </w:rPr>
              <w:t>(1,921)</w:t>
            </w:r>
          </w:p>
        </w:tc>
        <w:tc>
          <w:tcPr>
            <w:tcW w:w="850"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BB3FD9" w:rsidR="00BB3FD9" w:rsidP="00F06452" w:rsidRDefault="00BB3FD9" w14:paraId="34F5D312" w14:textId="6757B006">
            <w:pPr>
              <w:spacing w:after="0" w:line="240" w:lineRule="auto"/>
              <w:jc w:val="right"/>
              <w:rPr>
                <w:rFonts w:eastAsia="Times New Roman" w:cs="Arial"/>
                <w:b/>
                <w:color w:val="000000"/>
                <w:sz w:val="20"/>
                <w:szCs w:val="20"/>
                <w:lang w:eastAsia="en-GB"/>
              </w:rPr>
            </w:pPr>
            <w:r w:rsidRPr="00BB3FD9">
              <w:rPr>
                <w:rFonts w:eastAsia="Times New Roman" w:cs="Arial"/>
                <w:b/>
                <w:color w:val="000000"/>
                <w:sz w:val="20"/>
                <w:szCs w:val="20"/>
                <w:lang w:eastAsia="en-GB"/>
              </w:rPr>
              <w:t>(1,831)</w:t>
            </w:r>
          </w:p>
        </w:tc>
        <w:tc>
          <w:tcPr>
            <w:tcW w:w="4732"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EC0BA1" w:rsidR="00BB3FD9" w:rsidP="00610318" w:rsidRDefault="00BB3FD9" w14:paraId="55AF188E" w14:textId="26D09472">
            <w:pPr>
              <w:spacing w:after="0" w:line="240" w:lineRule="auto"/>
              <w:rPr>
                <w:rFonts w:eastAsia="Times New Roman" w:cs="Arial"/>
                <w:color w:val="000000"/>
                <w:sz w:val="20"/>
                <w:szCs w:val="20"/>
                <w:lang w:eastAsia="en-GB"/>
              </w:rPr>
            </w:pPr>
            <w:r w:rsidRPr="00EC0BA1">
              <w:rPr>
                <w:rFonts w:eastAsia="Times New Roman" w:cs="Arial"/>
                <w:b/>
                <w:bCs/>
                <w:color w:val="000000"/>
                <w:sz w:val="20"/>
                <w:szCs w:val="20"/>
                <w:lang w:eastAsia="en-GB"/>
              </w:rPr>
              <w:t>Financing &amp; Investment Income &amp; Expenditure</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Pr="00722D78" w:rsidR="00BB3FD9" w:rsidP="00F06452" w:rsidRDefault="00722D78" w14:paraId="394DD036" w14:textId="0C74BF45">
            <w:pPr>
              <w:spacing w:after="0" w:line="240" w:lineRule="auto"/>
              <w:jc w:val="right"/>
              <w:rPr>
                <w:rFonts w:eastAsia="Times New Roman" w:cs="Arial"/>
                <w:b/>
                <w:color w:val="000000"/>
                <w:sz w:val="20"/>
                <w:szCs w:val="20"/>
                <w:lang w:eastAsia="en-GB"/>
              </w:rPr>
            </w:pPr>
            <w:r w:rsidRPr="00722D78">
              <w:rPr>
                <w:rFonts w:eastAsia="Times New Roman" w:cs="Arial"/>
                <w:b/>
                <w:color w:val="000000"/>
                <w:sz w:val="20"/>
                <w:szCs w:val="20"/>
                <w:lang w:eastAsia="en-GB"/>
              </w:rPr>
              <w:t>90</w:t>
            </w:r>
          </w:p>
        </w:tc>
        <w:tc>
          <w:tcPr>
            <w:tcW w:w="96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Pr="00722D78" w:rsidR="00BB3FD9" w:rsidP="00F06452" w:rsidRDefault="00BB3FD9" w14:paraId="79396C2C" w14:textId="18C8FF92">
            <w:pPr>
              <w:spacing w:after="0" w:line="240" w:lineRule="auto"/>
              <w:jc w:val="right"/>
              <w:rPr>
                <w:rFonts w:eastAsia="Times New Roman" w:cs="Arial"/>
                <w:bCs/>
                <w:color w:val="000000"/>
                <w:sz w:val="20"/>
                <w:szCs w:val="20"/>
                <w:lang w:eastAsia="en-GB"/>
              </w:rPr>
            </w:pPr>
            <w:r w:rsidRPr="00722D78">
              <w:rPr>
                <w:rFonts w:eastAsia="Times New Roman" w:cs="Arial"/>
                <w:b/>
                <w:bCs/>
                <w:color w:val="000000"/>
                <w:sz w:val="20"/>
                <w:szCs w:val="20"/>
                <w:lang w:eastAsia="en-GB"/>
              </w:rPr>
              <w:t>(</w:t>
            </w:r>
            <w:r w:rsidRPr="00722D78" w:rsidR="00722D78">
              <w:rPr>
                <w:rFonts w:eastAsia="Times New Roman" w:cs="Arial"/>
                <w:b/>
                <w:bCs/>
                <w:color w:val="000000"/>
                <w:sz w:val="20"/>
                <w:szCs w:val="20"/>
                <w:lang w:eastAsia="en-GB"/>
              </w:rPr>
              <w:t>1,738</w:t>
            </w:r>
            <w:r w:rsidRPr="00722D78">
              <w:rPr>
                <w:rFonts w:eastAsia="Times New Roman" w:cs="Arial"/>
                <w:b/>
                <w:bCs/>
                <w:color w:val="000000"/>
                <w:sz w:val="20"/>
                <w:szCs w:val="20"/>
                <w:lang w:eastAsia="en-GB"/>
              </w:rPr>
              <w:t>)</w:t>
            </w:r>
          </w:p>
        </w:tc>
        <w:tc>
          <w:tcPr>
            <w:tcW w:w="100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722D78" w:rsidR="00BB3FD9" w:rsidP="00F06452" w:rsidRDefault="00BB3FD9" w14:paraId="2AF7DBE8" w14:textId="53CB4FDC">
            <w:pPr>
              <w:spacing w:after="0" w:line="240" w:lineRule="auto"/>
              <w:jc w:val="right"/>
              <w:rPr>
                <w:rFonts w:eastAsia="Times New Roman" w:cs="Arial"/>
                <w:b/>
                <w:bCs/>
                <w:color w:val="000000"/>
                <w:sz w:val="20"/>
                <w:szCs w:val="20"/>
                <w:lang w:eastAsia="en-GB"/>
              </w:rPr>
            </w:pPr>
            <w:r w:rsidRPr="00722D78">
              <w:rPr>
                <w:rFonts w:eastAsia="Times New Roman" w:cs="Arial"/>
                <w:b/>
                <w:bCs/>
                <w:color w:val="000000"/>
                <w:sz w:val="20"/>
                <w:szCs w:val="20"/>
                <w:lang w:eastAsia="en-GB"/>
              </w:rPr>
              <w:t>(</w:t>
            </w:r>
            <w:r w:rsidRPr="00722D78" w:rsidR="00722D78">
              <w:rPr>
                <w:rFonts w:eastAsia="Times New Roman" w:cs="Arial"/>
                <w:b/>
                <w:bCs/>
                <w:color w:val="000000"/>
                <w:sz w:val="20"/>
                <w:szCs w:val="20"/>
                <w:lang w:eastAsia="en-GB"/>
              </w:rPr>
              <w:t>1,648</w:t>
            </w:r>
            <w:r w:rsidRPr="00722D78">
              <w:rPr>
                <w:rFonts w:eastAsia="Times New Roman" w:cs="Arial"/>
                <w:b/>
                <w:bCs/>
                <w:color w:val="000000"/>
                <w:sz w:val="20"/>
                <w:szCs w:val="20"/>
                <w:lang w:eastAsia="en-GB"/>
              </w:rPr>
              <w:t>)</w:t>
            </w:r>
          </w:p>
        </w:tc>
      </w:tr>
      <w:tr w:rsidRPr="00614894" w:rsidR="00BB3FD9" w:rsidTr="00BB3FD9" w14:paraId="31F8BCF4" w14:textId="77777777">
        <w:trPr>
          <w:gridAfter w:val="1"/>
          <w:wAfter w:w="7" w:type="dxa"/>
          <w:trHeight w:val="255"/>
        </w:trPr>
        <w:tc>
          <w:tcPr>
            <w:tcW w:w="828" w:type="dxa"/>
            <w:tcBorders>
              <w:top w:val="nil"/>
              <w:left w:val="single" w:color="auto" w:sz="4" w:space="0"/>
              <w:bottom w:val="nil"/>
              <w:right w:val="single" w:color="auto" w:sz="4" w:space="0"/>
            </w:tcBorders>
            <w:vAlign w:val="bottom"/>
          </w:tcPr>
          <w:p w:rsidRPr="000E7A45" w:rsidR="00BB3FD9" w:rsidP="00F06452" w:rsidRDefault="00BB3FD9" w14:paraId="283BF10B" w14:textId="3E5C818D">
            <w:pPr>
              <w:spacing w:after="0" w:line="240" w:lineRule="auto"/>
              <w:jc w:val="right"/>
              <w:rPr>
                <w:rFonts w:eastAsia="Times New Roman" w:cs="Arial"/>
                <w:color w:val="000000"/>
                <w:sz w:val="20"/>
                <w:szCs w:val="20"/>
                <w:lang w:eastAsia="en-GB"/>
              </w:rPr>
            </w:pPr>
          </w:p>
        </w:tc>
        <w:tc>
          <w:tcPr>
            <w:tcW w:w="961" w:type="dxa"/>
            <w:tcBorders>
              <w:top w:val="nil"/>
              <w:left w:val="single" w:color="auto" w:sz="4" w:space="0"/>
              <w:bottom w:val="nil"/>
              <w:right w:val="single" w:color="auto" w:sz="4" w:space="0"/>
            </w:tcBorders>
            <w:vAlign w:val="bottom"/>
          </w:tcPr>
          <w:p w:rsidRPr="000E7A45" w:rsidR="00BB3FD9" w:rsidP="00F06452" w:rsidRDefault="00BB3FD9" w14:paraId="1E9AF935" w14:textId="7DE2D476">
            <w:pPr>
              <w:spacing w:after="0" w:line="240" w:lineRule="auto"/>
              <w:jc w:val="right"/>
              <w:rPr>
                <w:rFonts w:eastAsia="Times New Roman" w:cs="Arial"/>
                <w:color w:val="000000"/>
                <w:sz w:val="20"/>
                <w:szCs w:val="20"/>
                <w:lang w:eastAsia="en-GB"/>
              </w:rPr>
            </w:pPr>
          </w:p>
        </w:tc>
        <w:tc>
          <w:tcPr>
            <w:tcW w:w="850" w:type="dxa"/>
            <w:tcBorders>
              <w:top w:val="nil"/>
              <w:left w:val="single" w:color="auto" w:sz="4" w:space="0"/>
              <w:bottom w:val="nil"/>
              <w:right w:val="single" w:color="auto" w:sz="4" w:space="0"/>
            </w:tcBorders>
            <w:shd w:val="clear" w:color="auto" w:fill="auto"/>
            <w:noWrap/>
            <w:vAlign w:val="bottom"/>
          </w:tcPr>
          <w:p w:rsidRPr="00722D78" w:rsidR="00BB3FD9" w:rsidP="00F06452" w:rsidRDefault="00BB3FD9" w14:paraId="3A57384D" w14:textId="7D3026D5">
            <w:pPr>
              <w:spacing w:after="0" w:line="240" w:lineRule="auto"/>
              <w:jc w:val="right"/>
              <w:rPr>
                <w:rFonts w:eastAsia="Times New Roman" w:cs="Arial"/>
                <w:b/>
                <w:color w:val="000000"/>
                <w:sz w:val="20"/>
                <w:szCs w:val="20"/>
                <w:lang w:eastAsia="en-GB"/>
              </w:rPr>
            </w:pPr>
            <w:r w:rsidRPr="00722D78">
              <w:rPr>
                <w:rFonts w:eastAsia="Times New Roman" w:cs="Arial"/>
                <w:color w:val="000000"/>
                <w:sz w:val="20"/>
                <w:szCs w:val="20"/>
                <w:lang w:eastAsia="en-GB"/>
              </w:rPr>
              <w:t> </w:t>
            </w:r>
          </w:p>
        </w:tc>
        <w:tc>
          <w:tcPr>
            <w:tcW w:w="4732" w:type="dxa"/>
            <w:tcBorders>
              <w:top w:val="nil"/>
              <w:left w:val="nil"/>
              <w:bottom w:val="nil"/>
              <w:right w:val="single" w:color="auto" w:sz="4" w:space="0"/>
            </w:tcBorders>
            <w:shd w:val="clear" w:color="auto" w:fill="auto"/>
            <w:noWrap/>
            <w:vAlign w:val="bottom"/>
          </w:tcPr>
          <w:p w:rsidRPr="00EC0BA1" w:rsidR="00BB3FD9" w:rsidP="00D038BC" w:rsidRDefault="00BB3FD9" w14:paraId="3F17B7D7" w14:textId="3B4EA9ED">
            <w:pPr>
              <w:spacing w:after="0" w:line="240" w:lineRule="auto"/>
              <w:rPr>
                <w:rFonts w:eastAsia="Times New Roman" w:cs="Arial"/>
                <w:color w:val="000000"/>
                <w:sz w:val="20"/>
                <w:szCs w:val="20"/>
                <w:lang w:eastAsia="en-GB"/>
              </w:rPr>
            </w:pPr>
          </w:p>
        </w:tc>
        <w:tc>
          <w:tcPr>
            <w:tcW w:w="993" w:type="dxa"/>
            <w:tcBorders>
              <w:top w:val="nil"/>
              <w:left w:val="single" w:color="auto" w:sz="4" w:space="0"/>
              <w:bottom w:val="nil"/>
              <w:right w:val="single" w:color="auto" w:sz="4" w:space="0"/>
            </w:tcBorders>
          </w:tcPr>
          <w:p w:rsidRPr="00F06452" w:rsidR="00BB3FD9" w:rsidP="00F06452" w:rsidRDefault="00BB3FD9" w14:paraId="0BF49318" w14:textId="53D9ACE8">
            <w:pPr>
              <w:spacing w:after="0" w:line="240" w:lineRule="auto"/>
              <w:jc w:val="right"/>
              <w:rPr>
                <w:rFonts w:eastAsia="Times New Roman" w:cs="Arial"/>
                <w:bCs/>
                <w:color w:val="000000"/>
                <w:sz w:val="20"/>
                <w:szCs w:val="20"/>
                <w:lang w:eastAsia="en-GB"/>
              </w:rPr>
            </w:pPr>
          </w:p>
        </w:tc>
        <w:tc>
          <w:tcPr>
            <w:tcW w:w="961" w:type="dxa"/>
            <w:tcBorders>
              <w:top w:val="nil"/>
              <w:left w:val="single" w:color="auto" w:sz="4" w:space="0"/>
              <w:bottom w:val="nil"/>
              <w:right w:val="single" w:color="auto" w:sz="4" w:space="0"/>
            </w:tcBorders>
          </w:tcPr>
          <w:p w:rsidRPr="00F06452" w:rsidR="00BB3FD9" w:rsidP="00F06452" w:rsidRDefault="00BB3FD9" w14:paraId="40BBA6FB" w14:textId="60CB28E1">
            <w:pPr>
              <w:spacing w:after="0" w:line="240" w:lineRule="auto"/>
              <w:jc w:val="right"/>
              <w:rPr>
                <w:rFonts w:eastAsia="Times New Roman" w:cs="Arial"/>
                <w:bCs/>
                <w:color w:val="000000"/>
                <w:sz w:val="20"/>
                <w:szCs w:val="20"/>
                <w:lang w:eastAsia="en-GB"/>
              </w:rPr>
            </w:pPr>
          </w:p>
        </w:tc>
        <w:tc>
          <w:tcPr>
            <w:tcW w:w="1008" w:type="dxa"/>
            <w:tcBorders>
              <w:top w:val="nil"/>
              <w:left w:val="single" w:color="auto" w:sz="4" w:space="0"/>
              <w:bottom w:val="nil"/>
              <w:right w:val="single" w:color="auto" w:sz="4" w:space="0"/>
            </w:tcBorders>
            <w:shd w:val="clear" w:color="auto" w:fill="auto"/>
            <w:noWrap/>
            <w:vAlign w:val="bottom"/>
          </w:tcPr>
          <w:p w:rsidRPr="00F06452" w:rsidR="00BB3FD9" w:rsidP="00F06452" w:rsidRDefault="00BB3FD9" w14:paraId="7A01CBEA" w14:textId="3BE56EAD">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 </w:t>
            </w:r>
          </w:p>
        </w:tc>
      </w:tr>
      <w:tr w:rsidRPr="00614894" w:rsidR="00BB3FD9" w:rsidTr="00BB3FD9" w14:paraId="5D311087" w14:textId="77777777">
        <w:trPr>
          <w:gridAfter w:val="1"/>
          <w:wAfter w:w="7" w:type="dxa"/>
          <w:trHeight w:val="255"/>
        </w:trPr>
        <w:tc>
          <w:tcPr>
            <w:tcW w:w="828" w:type="dxa"/>
            <w:tcBorders>
              <w:top w:val="nil"/>
              <w:left w:val="single" w:color="auto" w:sz="4" w:space="0"/>
              <w:bottom w:val="nil"/>
              <w:right w:val="single" w:color="auto" w:sz="4" w:space="0"/>
            </w:tcBorders>
            <w:vAlign w:val="bottom"/>
          </w:tcPr>
          <w:p w:rsidRPr="000E7A45" w:rsidR="00BB3FD9" w:rsidP="00F06452" w:rsidRDefault="00722D78" w14:paraId="1DEBC3DF" w14:textId="716C821F">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2</w:t>
            </w:r>
            <w:r w:rsidR="0038373D">
              <w:rPr>
                <w:rFonts w:eastAsia="Times New Roman" w:cs="Arial"/>
                <w:color w:val="000000"/>
                <w:sz w:val="20"/>
                <w:szCs w:val="20"/>
                <w:lang w:eastAsia="en-GB"/>
              </w:rPr>
              <w:t>,</w:t>
            </w:r>
            <w:r>
              <w:rPr>
                <w:rFonts w:eastAsia="Times New Roman" w:cs="Arial"/>
                <w:color w:val="000000"/>
                <w:sz w:val="20"/>
                <w:szCs w:val="20"/>
                <w:lang w:eastAsia="en-GB"/>
              </w:rPr>
              <w:t>991</w:t>
            </w:r>
          </w:p>
        </w:tc>
        <w:tc>
          <w:tcPr>
            <w:tcW w:w="961" w:type="dxa"/>
            <w:tcBorders>
              <w:top w:val="nil"/>
              <w:left w:val="single" w:color="auto" w:sz="4" w:space="0"/>
              <w:bottom w:val="nil"/>
              <w:right w:val="single" w:color="auto" w:sz="4" w:space="0"/>
            </w:tcBorders>
            <w:vAlign w:val="bottom"/>
          </w:tcPr>
          <w:p w:rsidRPr="000E7A45" w:rsidR="00BB3FD9" w:rsidP="00F06452" w:rsidRDefault="00722D78" w14:paraId="78C5FF26" w14:textId="3D06FB1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(2,578)</w:t>
            </w:r>
          </w:p>
        </w:tc>
        <w:tc>
          <w:tcPr>
            <w:tcW w:w="850" w:type="dxa"/>
            <w:tcBorders>
              <w:top w:val="nil"/>
              <w:left w:val="single" w:color="auto" w:sz="4" w:space="0"/>
              <w:bottom w:val="nil"/>
              <w:right w:val="single" w:color="auto" w:sz="4" w:space="0"/>
            </w:tcBorders>
            <w:shd w:val="clear" w:color="auto" w:fill="auto"/>
            <w:noWrap/>
            <w:vAlign w:val="bottom"/>
          </w:tcPr>
          <w:p w:rsidRPr="00722D78" w:rsidR="00BB3FD9" w:rsidP="00F06452" w:rsidRDefault="00BB3FD9" w14:paraId="5EDA5D66" w14:textId="2C1C1212">
            <w:pPr>
              <w:spacing w:after="0" w:line="240" w:lineRule="auto"/>
              <w:jc w:val="right"/>
              <w:rPr>
                <w:rFonts w:eastAsia="Times New Roman" w:cs="Arial"/>
                <w:b/>
                <w:color w:val="000000"/>
                <w:sz w:val="20"/>
                <w:szCs w:val="20"/>
                <w:lang w:eastAsia="en-GB"/>
              </w:rPr>
            </w:pPr>
            <w:r w:rsidRPr="00722D78">
              <w:rPr>
                <w:rFonts w:eastAsia="Times New Roman" w:cs="Arial"/>
                <w:b/>
                <w:color w:val="000000"/>
                <w:sz w:val="20"/>
                <w:szCs w:val="20"/>
                <w:lang w:eastAsia="en-GB"/>
              </w:rPr>
              <w:t> </w:t>
            </w:r>
            <w:r w:rsidRPr="00722D78" w:rsidR="00722D78">
              <w:rPr>
                <w:rFonts w:eastAsia="Times New Roman" w:cs="Arial"/>
                <w:b/>
                <w:color w:val="000000"/>
                <w:sz w:val="20"/>
                <w:szCs w:val="20"/>
                <w:lang w:eastAsia="en-GB"/>
              </w:rPr>
              <w:t>413</w:t>
            </w:r>
          </w:p>
        </w:tc>
        <w:tc>
          <w:tcPr>
            <w:tcW w:w="4732" w:type="dxa"/>
            <w:tcBorders>
              <w:top w:val="nil"/>
              <w:left w:val="nil"/>
              <w:bottom w:val="nil"/>
              <w:right w:val="single" w:color="auto" w:sz="4" w:space="0"/>
            </w:tcBorders>
            <w:shd w:val="clear" w:color="auto" w:fill="auto"/>
            <w:noWrap/>
            <w:vAlign w:val="bottom"/>
          </w:tcPr>
          <w:p w:rsidRPr="00EC0BA1" w:rsidR="00BB3FD9" w:rsidP="00663324" w:rsidRDefault="00BB3FD9" w14:paraId="7A3DF0FC" w14:textId="5693CC6B">
            <w:pPr>
              <w:spacing w:after="0" w:line="240" w:lineRule="auto"/>
              <w:rPr>
                <w:rFonts w:eastAsia="Times New Roman" w:cs="Arial"/>
                <w:color w:val="000000"/>
                <w:sz w:val="20"/>
                <w:szCs w:val="20"/>
                <w:lang w:eastAsia="en-GB"/>
              </w:rPr>
            </w:pPr>
            <w:r w:rsidRPr="00EC0BA1">
              <w:rPr>
                <w:rFonts w:eastAsia="Times New Roman" w:cs="Arial"/>
                <w:b/>
                <w:bCs/>
                <w:color w:val="000000"/>
                <w:sz w:val="20"/>
                <w:szCs w:val="20"/>
                <w:lang w:eastAsia="en-GB"/>
              </w:rPr>
              <w:t>(Surplus) / Deficit on Provision of Services</w:t>
            </w:r>
          </w:p>
        </w:tc>
        <w:tc>
          <w:tcPr>
            <w:tcW w:w="993" w:type="dxa"/>
            <w:tcBorders>
              <w:top w:val="nil"/>
              <w:left w:val="single" w:color="auto" w:sz="4" w:space="0"/>
              <w:bottom w:val="nil"/>
              <w:right w:val="single" w:color="auto" w:sz="4" w:space="0"/>
            </w:tcBorders>
            <w:vAlign w:val="bottom"/>
          </w:tcPr>
          <w:p w:rsidRPr="00F06452" w:rsidR="00BB3FD9" w:rsidP="00F06452" w:rsidRDefault="00722D78" w14:paraId="3552F912" w14:textId="61265521">
            <w:pPr>
              <w:spacing w:after="0" w:line="240" w:lineRule="auto"/>
              <w:jc w:val="right"/>
              <w:rPr>
                <w:rFonts w:eastAsia="Times New Roman" w:cs="Arial"/>
                <w:bCs/>
                <w:color w:val="000000"/>
                <w:sz w:val="20"/>
                <w:szCs w:val="20"/>
                <w:lang w:eastAsia="en-GB"/>
              </w:rPr>
            </w:pPr>
            <w:r w:rsidRPr="00F06452">
              <w:rPr>
                <w:rFonts w:eastAsia="Times New Roman" w:cs="Arial"/>
                <w:bCs/>
                <w:color w:val="000000"/>
                <w:sz w:val="20"/>
                <w:szCs w:val="20"/>
                <w:lang w:eastAsia="en-GB"/>
              </w:rPr>
              <w:t>2,759</w:t>
            </w:r>
          </w:p>
        </w:tc>
        <w:tc>
          <w:tcPr>
            <w:tcW w:w="961" w:type="dxa"/>
            <w:tcBorders>
              <w:top w:val="nil"/>
              <w:left w:val="single" w:color="auto" w:sz="4" w:space="0"/>
              <w:bottom w:val="nil"/>
              <w:right w:val="single" w:color="auto" w:sz="4" w:space="0"/>
            </w:tcBorders>
            <w:vAlign w:val="bottom"/>
          </w:tcPr>
          <w:p w:rsidRPr="00F06452" w:rsidR="00BB3FD9" w:rsidP="00F06452" w:rsidRDefault="00BB3FD9" w14:paraId="4B29F564" w14:textId="091BBACF">
            <w:pPr>
              <w:spacing w:after="0" w:line="240" w:lineRule="auto"/>
              <w:jc w:val="right"/>
              <w:rPr>
                <w:rFonts w:eastAsia="Times New Roman" w:cs="Arial"/>
                <w:bCs/>
                <w:color w:val="000000"/>
                <w:sz w:val="20"/>
                <w:szCs w:val="20"/>
                <w:lang w:eastAsia="en-GB"/>
              </w:rPr>
            </w:pPr>
            <w:r w:rsidRPr="00F06452">
              <w:rPr>
                <w:rFonts w:eastAsia="Times New Roman" w:cs="Arial"/>
                <w:b/>
                <w:bCs/>
                <w:color w:val="000000"/>
                <w:sz w:val="20"/>
                <w:szCs w:val="20"/>
                <w:lang w:eastAsia="en-GB"/>
              </w:rPr>
              <w:t>(</w:t>
            </w:r>
            <w:r w:rsidRPr="00F06452" w:rsidR="00722D78">
              <w:rPr>
                <w:rFonts w:eastAsia="Times New Roman" w:cs="Arial"/>
                <w:b/>
                <w:bCs/>
                <w:color w:val="000000"/>
                <w:sz w:val="20"/>
                <w:szCs w:val="20"/>
                <w:lang w:eastAsia="en-GB"/>
              </w:rPr>
              <w:t>2,408</w:t>
            </w:r>
            <w:r w:rsidRPr="00F06452">
              <w:rPr>
                <w:rFonts w:eastAsia="Times New Roman" w:cs="Arial"/>
                <w:b/>
                <w:bCs/>
                <w:color w:val="000000"/>
                <w:sz w:val="20"/>
                <w:szCs w:val="20"/>
                <w:lang w:eastAsia="en-GB"/>
              </w:rPr>
              <w:t>)</w:t>
            </w:r>
          </w:p>
        </w:tc>
        <w:tc>
          <w:tcPr>
            <w:tcW w:w="1008" w:type="dxa"/>
            <w:tcBorders>
              <w:top w:val="nil"/>
              <w:left w:val="single" w:color="auto" w:sz="4" w:space="0"/>
              <w:bottom w:val="nil"/>
              <w:right w:val="single" w:color="auto" w:sz="4" w:space="0"/>
            </w:tcBorders>
            <w:shd w:val="clear" w:color="auto" w:fill="auto"/>
            <w:noWrap/>
            <w:vAlign w:val="bottom"/>
          </w:tcPr>
          <w:p w:rsidRPr="00F06452" w:rsidR="00BB3FD9" w:rsidP="00F06452" w:rsidRDefault="00722D78" w14:paraId="23B7CC9B" w14:textId="274DA03E">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351</w:t>
            </w:r>
          </w:p>
        </w:tc>
      </w:tr>
      <w:tr w:rsidRPr="00614894" w:rsidR="00BB3FD9" w:rsidTr="00BB3FD9" w14:paraId="5F79A56D" w14:textId="77777777">
        <w:trPr>
          <w:gridAfter w:val="1"/>
          <w:wAfter w:w="7" w:type="dxa"/>
          <w:trHeight w:val="255"/>
        </w:trPr>
        <w:tc>
          <w:tcPr>
            <w:tcW w:w="828" w:type="dxa"/>
            <w:tcBorders>
              <w:top w:val="nil"/>
              <w:left w:val="single" w:color="auto" w:sz="4" w:space="0"/>
              <w:bottom w:val="nil"/>
              <w:right w:val="single" w:color="auto" w:sz="4" w:space="0"/>
            </w:tcBorders>
          </w:tcPr>
          <w:p w:rsidRPr="000E7A45" w:rsidR="00BB3FD9" w:rsidP="00F06452" w:rsidRDefault="00BB3FD9" w14:paraId="2E75BAAD" w14:textId="47EE7885">
            <w:pPr>
              <w:spacing w:after="0" w:line="240" w:lineRule="auto"/>
              <w:jc w:val="right"/>
              <w:rPr>
                <w:rFonts w:eastAsia="Times New Roman" w:cs="Arial"/>
                <w:color w:val="000000"/>
                <w:sz w:val="20"/>
                <w:szCs w:val="20"/>
                <w:lang w:eastAsia="en-GB"/>
              </w:rPr>
            </w:pPr>
          </w:p>
        </w:tc>
        <w:tc>
          <w:tcPr>
            <w:tcW w:w="961" w:type="dxa"/>
            <w:tcBorders>
              <w:top w:val="nil"/>
              <w:left w:val="single" w:color="auto" w:sz="4" w:space="0"/>
              <w:bottom w:val="nil"/>
              <w:right w:val="single" w:color="auto" w:sz="4" w:space="0"/>
            </w:tcBorders>
          </w:tcPr>
          <w:p w:rsidRPr="000E7A45" w:rsidR="00BB3FD9" w:rsidP="00F06452" w:rsidRDefault="00BB3FD9" w14:paraId="7587571C" w14:textId="22925631">
            <w:pPr>
              <w:spacing w:after="0" w:line="240" w:lineRule="auto"/>
              <w:jc w:val="right"/>
              <w:rPr>
                <w:rFonts w:eastAsia="Times New Roman" w:cs="Arial"/>
                <w:color w:val="000000"/>
                <w:sz w:val="20"/>
                <w:szCs w:val="20"/>
                <w:lang w:eastAsia="en-GB"/>
              </w:rPr>
            </w:pPr>
          </w:p>
        </w:tc>
        <w:tc>
          <w:tcPr>
            <w:tcW w:w="850" w:type="dxa"/>
            <w:tcBorders>
              <w:top w:val="nil"/>
              <w:left w:val="single" w:color="auto" w:sz="4" w:space="0"/>
              <w:bottom w:val="nil"/>
              <w:right w:val="single" w:color="auto" w:sz="4" w:space="0"/>
            </w:tcBorders>
            <w:shd w:val="clear" w:color="auto" w:fill="auto"/>
            <w:noWrap/>
            <w:vAlign w:val="bottom"/>
          </w:tcPr>
          <w:p w:rsidRPr="00722D78" w:rsidR="00BB3FD9" w:rsidP="00F06452" w:rsidRDefault="00BB3FD9" w14:paraId="6425CC53" w14:textId="470290D2">
            <w:pPr>
              <w:spacing w:after="0" w:line="240" w:lineRule="auto"/>
              <w:jc w:val="right"/>
              <w:rPr>
                <w:rFonts w:eastAsia="Times New Roman" w:cs="Arial"/>
                <w:b/>
                <w:color w:val="000000"/>
                <w:sz w:val="20"/>
                <w:szCs w:val="20"/>
                <w:lang w:eastAsia="en-GB"/>
              </w:rPr>
            </w:pPr>
            <w:r w:rsidRPr="00722D78">
              <w:rPr>
                <w:rFonts w:eastAsia="Times New Roman" w:cs="Arial"/>
                <w:color w:val="000000"/>
                <w:sz w:val="20"/>
                <w:szCs w:val="20"/>
                <w:lang w:eastAsia="en-GB"/>
              </w:rPr>
              <w:t> </w:t>
            </w:r>
          </w:p>
        </w:tc>
        <w:tc>
          <w:tcPr>
            <w:tcW w:w="4732" w:type="dxa"/>
            <w:tcBorders>
              <w:top w:val="nil"/>
              <w:left w:val="nil"/>
              <w:bottom w:val="nil"/>
              <w:right w:val="single" w:color="auto" w:sz="4" w:space="0"/>
            </w:tcBorders>
            <w:shd w:val="clear" w:color="auto" w:fill="auto"/>
            <w:noWrap/>
            <w:vAlign w:val="bottom"/>
          </w:tcPr>
          <w:p w:rsidRPr="00EC0BA1" w:rsidR="00BB3FD9" w:rsidP="00663324" w:rsidRDefault="00BB3FD9" w14:paraId="191C6F6F" w14:textId="487AB16A">
            <w:pPr>
              <w:spacing w:after="0" w:line="240" w:lineRule="auto"/>
              <w:rPr>
                <w:rFonts w:eastAsia="Times New Roman" w:cs="Arial"/>
                <w:color w:val="000000"/>
                <w:sz w:val="20"/>
                <w:szCs w:val="20"/>
                <w:lang w:eastAsia="en-GB"/>
              </w:rPr>
            </w:pPr>
          </w:p>
        </w:tc>
        <w:tc>
          <w:tcPr>
            <w:tcW w:w="993" w:type="dxa"/>
            <w:tcBorders>
              <w:top w:val="nil"/>
              <w:left w:val="single" w:color="auto" w:sz="4" w:space="0"/>
              <w:bottom w:val="nil"/>
              <w:right w:val="single" w:color="auto" w:sz="4" w:space="0"/>
            </w:tcBorders>
          </w:tcPr>
          <w:p w:rsidRPr="00F06452" w:rsidR="00BB3FD9" w:rsidP="00F06452" w:rsidRDefault="00BB3FD9" w14:paraId="72EBC2A6" w14:textId="25F50348">
            <w:pPr>
              <w:spacing w:after="0" w:line="240" w:lineRule="auto"/>
              <w:jc w:val="right"/>
              <w:rPr>
                <w:rFonts w:eastAsia="Times New Roman" w:cs="Arial"/>
                <w:bCs/>
                <w:color w:val="000000"/>
                <w:sz w:val="20"/>
                <w:szCs w:val="20"/>
                <w:lang w:eastAsia="en-GB"/>
              </w:rPr>
            </w:pPr>
          </w:p>
        </w:tc>
        <w:tc>
          <w:tcPr>
            <w:tcW w:w="961" w:type="dxa"/>
            <w:tcBorders>
              <w:top w:val="nil"/>
              <w:left w:val="single" w:color="auto" w:sz="4" w:space="0"/>
              <w:bottom w:val="nil"/>
              <w:right w:val="single" w:color="auto" w:sz="4" w:space="0"/>
            </w:tcBorders>
          </w:tcPr>
          <w:p w:rsidRPr="00F06452" w:rsidR="00BB3FD9" w:rsidP="00F06452" w:rsidRDefault="00BB3FD9" w14:paraId="59974587" w14:textId="438B977B">
            <w:pPr>
              <w:spacing w:after="0" w:line="240" w:lineRule="auto"/>
              <w:jc w:val="right"/>
              <w:rPr>
                <w:rFonts w:eastAsia="Times New Roman" w:cs="Arial"/>
                <w:bCs/>
                <w:color w:val="000000"/>
                <w:sz w:val="20"/>
                <w:szCs w:val="20"/>
                <w:lang w:eastAsia="en-GB"/>
              </w:rPr>
            </w:pPr>
          </w:p>
        </w:tc>
        <w:tc>
          <w:tcPr>
            <w:tcW w:w="1008" w:type="dxa"/>
            <w:tcBorders>
              <w:top w:val="nil"/>
              <w:left w:val="single" w:color="auto" w:sz="4" w:space="0"/>
              <w:bottom w:val="nil"/>
              <w:right w:val="single" w:color="auto" w:sz="4" w:space="0"/>
            </w:tcBorders>
            <w:shd w:val="clear" w:color="auto" w:fill="auto"/>
            <w:noWrap/>
            <w:vAlign w:val="bottom"/>
          </w:tcPr>
          <w:p w:rsidRPr="00F06452" w:rsidR="00BB3FD9" w:rsidP="00F06452" w:rsidRDefault="00BB3FD9" w14:paraId="1B532330" w14:textId="5D3F179C">
            <w:pPr>
              <w:spacing w:after="0" w:line="240" w:lineRule="auto"/>
              <w:jc w:val="right"/>
              <w:rPr>
                <w:rFonts w:eastAsia="Times New Roman" w:cs="Arial"/>
                <w:b/>
                <w:bCs/>
                <w:color w:val="000000"/>
                <w:sz w:val="20"/>
                <w:szCs w:val="20"/>
                <w:lang w:eastAsia="en-GB"/>
              </w:rPr>
            </w:pPr>
          </w:p>
        </w:tc>
      </w:tr>
      <w:tr w:rsidRPr="00614894" w:rsidR="00BB3FD9" w:rsidTr="00BB3FD9" w14:paraId="09D13F46" w14:textId="77777777">
        <w:trPr>
          <w:gridAfter w:val="1"/>
          <w:wAfter w:w="7" w:type="dxa"/>
          <w:trHeight w:val="255"/>
        </w:trPr>
        <w:tc>
          <w:tcPr>
            <w:tcW w:w="828" w:type="dxa"/>
            <w:tcBorders>
              <w:top w:val="nil"/>
              <w:left w:val="single" w:color="auto" w:sz="4" w:space="0"/>
              <w:bottom w:val="nil"/>
              <w:right w:val="single" w:color="auto" w:sz="4" w:space="0"/>
            </w:tcBorders>
          </w:tcPr>
          <w:p w:rsidRPr="00614894" w:rsidR="00BB3FD9" w:rsidP="00F06452" w:rsidRDefault="00BB3FD9" w14:paraId="07AAD651" w14:textId="587991EA">
            <w:pPr>
              <w:spacing w:after="0" w:line="240" w:lineRule="auto"/>
              <w:jc w:val="right"/>
              <w:rPr>
                <w:rFonts w:eastAsia="Times New Roman" w:cs="Arial"/>
                <w:b/>
                <w:bCs/>
                <w:color w:val="000000"/>
                <w:sz w:val="20"/>
                <w:szCs w:val="20"/>
                <w:highlight w:val="yellow"/>
                <w:lang w:eastAsia="en-GB"/>
              </w:rPr>
            </w:pPr>
          </w:p>
        </w:tc>
        <w:tc>
          <w:tcPr>
            <w:tcW w:w="961" w:type="dxa"/>
            <w:tcBorders>
              <w:top w:val="nil"/>
              <w:left w:val="single" w:color="auto" w:sz="4" w:space="0"/>
              <w:bottom w:val="nil"/>
              <w:right w:val="single" w:color="auto" w:sz="4" w:space="0"/>
            </w:tcBorders>
          </w:tcPr>
          <w:p w:rsidRPr="00614894" w:rsidR="00BB3FD9" w:rsidP="00F06452" w:rsidRDefault="00BB3FD9" w14:paraId="3FEC8398" w14:textId="4ADF9A78">
            <w:pPr>
              <w:spacing w:after="0" w:line="240" w:lineRule="auto"/>
              <w:jc w:val="right"/>
              <w:rPr>
                <w:rFonts w:eastAsia="Times New Roman" w:cs="Arial"/>
                <w:b/>
                <w:bCs/>
                <w:color w:val="000000"/>
                <w:sz w:val="20"/>
                <w:szCs w:val="20"/>
                <w:highlight w:val="yellow"/>
                <w:lang w:eastAsia="en-GB"/>
              </w:rPr>
            </w:pPr>
          </w:p>
        </w:tc>
        <w:tc>
          <w:tcPr>
            <w:tcW w:w="850" w:type="dxa"/>
            <w:tcBorders>
              <w:top w:val="nil"/>
              <w:left w:val="single" w:color="auto" w:sz="4" w:space="0"/>
              <w:bottom w:val="nil"/>
              <w:right w:val="single" w:color="auto" w:sz="4" w:space="0"/>
            </w:tcBorders>
            <w:shd w:val="clear" w:color="auto" w:fill="auto"/>
            <w:noWrap/>
            <w:vAlign w:val="bottom"/>
            <w:hideMark/>
          </w:tcPr>
          <w:p w:rsidRPr="00722D78" w:rsidR="00BB3FD9" w:rsidP="00F06452" w:rsidRDefault="00BB3FD9" w14:paraId="6F813176" w14:textId="4E05756D">
            <w:pPr>
              <w:spacing w:after="0" w:line="240" w:lineRule="auto"/>
              <w:jc w:val="right"/>
              <w:rPr>
                <w:rFonts w:eastAsia="Times New Roman" w:cs="Arial"/>
                <w:b/>
                <w:bCs/>
                <w:color w:val="000000"/>
                <w:sz w:val="20"/>
                <w:szCs w:val="20"/>
                <w:lang w:eastAsia="en-GB"/>
              </w:rPr>
            </w:pPr>
            <w:r w:rsidRPr="00722D78">
              <w:rPr>
                <w:rFonts w:eastAsia="Times New Roman" w:cs="Arial"/>
                <w:color w:val="000000"/>
                <w:sz w:val="20"/>
                <w:szCs w:val="20"/>
                <w:lang w:eastAsia="en-GB"/>
              </w:rPr>
              <w:t> </w:t>
            </w:r>
          </w:p>
        </w:tc>
        <w:tc>
          <w:tcPr>
            <w:tcW w:w="4732" w:type="dxa"/>
            <w:tcBorders>
              <w:top w:val="nil"/>
              <w:left w:val="nil"/>
              <w:bottom w:val="nil"/>
              <w:right w:val="single" w:color="auto" w:sz="4" w:space="0"/>
            </w:tcBorders>
            <w:shd w:val="clear" w:color="auto" w:fill="auto"/>
            <w:noWrap/>
            <w:vAlign w:val="bottom"/>
            <w:hideMark/>
          </w:tcPr>
          <w:p w:rsidRPr="00EC0BA1" w:rsidR="00BB3FD9" w:rsidP="00D038BC" w:rsidRDefault="00BB3FD9" w14:paraId="4A537480" w14:textId="5E9507C5">
            <w:pPr>
              <w:spacing w:after="0" w:line="240" w:lineRule="auto"/>
              <w:rPr>
                <w:rFonts w:eastAsia="Times New Roman" w:cs="Arial"/>
                <w:b/>
                <w:bCs/>
                <w:color w:val="000000"/>
                <w:sz w:val="20"/>
                <w:szCs w:val="20"/>
                <w:lang w:eastAsia="en-GB"/>
              </w:rPr>
            </w:pPr>
            <w:r w:rsidRPr="00EC0BA1">
              <w:rPr>
                <w:rFonts w:eastAsia="Times New Roman" w:cs="Arial"/>
                <w:b/>
                <w:bCs/>
                <w:color w:val="000000"/>
                <w:sz w:val="20"/>
                <w:szCs w:val="20"/>
                <w:u w:val="single"/>
                <w:lang w:eastAsia="en-GB"/>
              </w:rPr>
              <w:t>Other Comprehensive Income &amp; Expenditure</w:t>
            </w:r>
          </w:p>
        </w:tc>
        <w:tc>
          <w:tcPr>
            <w:tcW w:w="993" w:type="dxa"/>
            <w:tcBorders>
              <w:top w:val="nil"/>
              <w:left w:val="single" w:color="auto" w:sz="4" w:space="0"/>
              <w:bottom w:val="nil"/>
              <w:right w:val="single" w:color="auto" w:sz="4" w:space="0"/>
            </w:tcBorders>
          </w:tcPr>
          <w:p w:rsidRPr="00F06452" w:rsidR="00BB3FD9" w:rsidP="00F06452" w:rsidRDefault="00BB3FD9" w14:paraId="7EA93D6B" w14:textId="16580AA1">
            <w:pPr>
              <w:spacing w:after="0" w:line="240" w:lineRule="auto"/>
              <w:jc w:val="right"/>
              <w:rPr>
                <w:rFonts w:eastAsia="Times New Roman" w:cs="Arial"/>
                <w:b/>
                <w:bCs/>
                <w:color w:val="000000"/>
                <w:sz w:val="20"/>
                <w:szCs w:val="20"/>
                <w:lang w:eastAsia="en-GB"/>
              </w:rPr>
            </w:pPr>
          </w:p>
        </w:tc>
        <w:tc>
          <w:tcPr>
            <w:tcW w:w="961" w:type="dxa"/>
            <w:tcBorders>
              <w:top w:val="nil"/>
              <w:left w:val="single" w:color="auto" w:sz="4" w:space="0"/>
              <w:bottom w:val="nil"/>
              <w:right w:val="single" w:color="auto" w:sz="4" w:space="0"/>
            </w:tcBorders>
          </w:tcPr>
          <w:p w:rsidRPr="00F06452" w:rsidR="00BB3FD9" w:rsidP="00F06452" w:rsidRDefault="00BB3FD9" w14:paraId="3DA639CB" w14:textId="4A9C71D8">
            <w:pPr>
              <w:spacing w:after="0" w:line="240" w:lineRule="auto"/>
              <w:jc w:val="right"/>
              <w:rPr>
                <w:rFonts w:eastAsia="Times New Roman" w:cs="Arial"/>
                <w:b/>
                <w:bCs/>
                <w:color w:val="000000"/>
                <w:sz w:val="20"/>
                <w:szCs w:val="20"/>
                <w:lang w:eastAsia="en-GB"/>
              </w:rPr>
            </w:pPr>
          </w:p>
        </w:tc>
        <w:tc>
          <w:tcPr>
            <w:tcW w:w="1008" w:type="dxa"/>
            <w:tcBorders>
              <w:top w:val="nil"/>
              <w:left w:val="single" w:color="auto" w:sz="4" w:space="0"/>
              <w:bottom w:val="nil"/>
              <w:right w:val="single" w:color="auto" w:sz="4" w:space="0"/>
            </w:tcBorders>
            <w:shd w:val="clear" w:color="auto" w:fill="auto"/>
            <w:noWrap/>
            <w:vAlign w:val="bottom"/>
          </w:tcPr>
          <w:p w:rsidRPr="00F06452" w:rsidR="00BB3FD9" w:rsidP="00F06452" w:rsidRDefault="00BB3FD9" w14:paraId="2D03E768" w14:textId="6EC83D83">
            <w:pPr>
              <w:spacing w:after="0" w:line="240" w:lineRule="auto"/>
              <w:jc w:val="right"/>
              <w:rPr>
                <w:rFonts w:eastAsia="Times New Roman" w:cs="Arial"/>
                <w:b/>
                <w:bCs/>
                <w:color w:val="000000"/>
                <w:sz w:val="20"/>
                <w:szCs w:val="20"/>
                <w:lang w:eastAsia="en-GB"/>
              </w:rPr>
            </w:pPr>
          </w:p>
        </w:tc>
      </w:tr>
      <w:tr w:rsidRPr="00614894" w:rsidR="00BB3FD9" w:rsidTr="00BB3FD9" w14:paraId="33478FFA" w14:textId="77777777">
        <w:trPr>
          <w:gridAfter w:val="1"/>
          <w:wAfter w:w="7" w:type="dxa"/>
          <w:trHeight w:val="255"/>
        </w:trPr>
        <w:tc>
          <w:tcPr>
            <w:tcW w:w="828" w:type="dxa"/>
            <w:tcBorders>
              <w:top w:val="nil"/>
              <w:left w:val="single" w:color="auto" w:sz="4" w:space="0"/>
              <w:bottom w:val="nil"/>
              <w:right w:val="single" w:color="auto" w:sz="4" w:space="0"/>
            </w:tcBorders>
          </w:tcPr>
          <w:p w:rsidRPr="00614894" w:rsidR="00BB3FD9" w:rsidP="00F06452" w:rsidRDefault="00BB3FD9" w14:paraId="3B7526A3" w14:textId="0058E3A0">
            <w:pPr>
              <w:spacing w:after="0" w:line="240" w:lineRule="auto"/>
              <w:jc w:val="right"/>
              <w:rPr>
                <w:rFonts w:eastAsia="Times New Roman" w:cs="Arial"/>
                <w:color w:val="000000"/>
                <w:sz w:val="20"/>
                <w:szCs w:val="20"/>
                <w:highlight w:val="yellow"/>
                <w:lang w:eastAsia="en-GB"/>
              </w:rPr>
            </w:pPr>
          </w:p>
        </w:tc>
        <w:tc>
          <w:tcPr>
            <w:tcW w:w="961" w:type="dxa"/>
            <w:tcBorders>
              <w:top w:val="nil"/>
              <w:left w:val="single" w:color="auto" w:sz="4" w:space="0"/>
              <w:bottom w:val="nil"/>
              <w:right w:val="single" w:color="auto" w:sz="4" w:space="0"/>
            </w:tcBorders>
          </w:tcPr>
          <w:p w:rsidRPr="00614894" w:rsidR="00BB3FD9" w:rsidP="00F06452" w:rsidRDefault="00BB3FD9" w14:paraId="18581CA0" w14:textId="77777777">
            <w:pPr>
              <w:spacing w:after="0" w:line="240" w:lineRule="auto"/>
              <w:jc w:val="right"/>
              <w:rPr>
                <w:rFonts w:eastAsia="Times New Roman" w:cs="Arial"/>
                <w:color w:val="000000"/>
                <w:sz w:val="20"/>
                <w:szCs w:val="20"/>
                <w:highlight w:val="yellow"/>
                <w:lang w:eastAsia="en-GB"/>
              </w:rPr>
            </w:pPr>
          </w:p>
        </w:tc>
        <w:tc>
          <w:tcPr>
            <w:tcW w:w="850" w:type="dxa"/>
            <w:tcBorders>
              <w:top w:val="nil"/>
              <w:left w:val="single" w:color="auto" w:sz="4" w:space="0"/>
              <w:bottom w:val="nil"/>
              <w:right w:val="single" w:color="auto" w:sz="4" w:space="0"/>
            </w:tcBorders>
            <w:shd w:val="clear" w:color="auto" w:fill="auto"/>
            <w:noWrap/>
            <w:vAlign w:val="bottom"/>
            <w:hideMark/>
          </w:tcPr>
          <w:p w:rsidRPr="00722D78" w:rsidR="00BB3FD9" w:rsidP="00F06452" w:rsidRDefault="00722D78" w14:paraId="074EDEB3" w14:textId="3D5D8338">
            <w:pPr>
              <w:spacing w:after="0" w:line="240" w:lineRule="auto"/>
              <w:jc w:val="right"/>
              <w:rPr>
                <w:rFonts w:eastAsia="Times New Roman" w:cs="Arial"/>
                <w:color w:val="000000"/>
                <w:sz w:val="20"/>
                <w:szCs w:val="20"/>
                <w:lang w:eastAsia="en-GB"/>
              </w:rPr>
            </w:pPr>
            <w:r w:rsidRPr="00722D78">
              <w:rPr>
                <w:rFonts w:eastAsia="Times New Roman" w:cs="Arial"/>
                <w:color w:val="000000"/>
                <w:sz w:val="20"/>
                <w:szCs w:val="20"/>
                <w:lang w:eastAsia="en-GB"/>
              </w:rPr>
              <w:t>(3,350)</w:t>
            </w:r>
          </w:p>
        </w:tc>
        <w:tc>
          <w:tcPr>
            <w:tcW w:w="4732" w:type="dxa"/>
            <w:tcBorders>
              <w:top w:val="nil"/>
              <w:left w:val="nil"/>
              <w:bottom w:val="nil"/>
              <w:right w:val="single" w:color="auto" w:sz="4" w:space="0"/>
            </w:tcBorders>
            <w:shd w:val="clear" w:color="auto" w:fill="auto"/>
            <w:noWrap/>
            <w:vAlign w:val="bottom"/>
            <w:hideMark/>
          </w:tcPr>
          <w:p w:rsidRPr="00EC0BA1" w:rsidR="00BB3FD9" w:rsidP="00D038BC" w:rsidRDefault="00BB3FD9" w14:paraId="77C231D2" w14:textId="288750EC">
            <w:pPr>
              <w:spacing w:after="0" w:line="240" w:lineRule="auto"/>
              <w:rPr>
                <w:rFonts w:eastAsia="Times New Roman" w:cs="Arial"/>
                <w:color w:val="000000"/>
                <w:sz w:val="20"/>
                <w:szCs w:val="20"/>
                <w:lang w:eastAsia="en-GB"/>
              </w:rPr>
            </w:pPr>
            <w:r w:rsidRPr="00EC0BA1">
              <w:rPr>
                <w:rFonts w:eastAsia="Times New Roman" w:cs="Arial"/>
                <w:color w:val="000000"/>
                <w:sz w:val="20"/>
                <w:szCs w:val="20"/>
                <w:lang w:eastAsia="en-GB"/>
              </w:rPr>
              <w:t>Re-measurement of Pension Liability (</w:t>
            </w:r>
            <w:r w:rsidRPr="00EC0BA1">
              <w:rPr>
                <w:rFonts w:eastAsia="Times New Roman" w:cs="Arial"/>
                <w:b/>
                <w:bCs/>
                <w:color w:val="000000"/>
                <w:sz w:val="20"/>
                <w:szCs w:val="20"/>
                <w:lang w:eastAsia="en-GB"/>
              </w:rPr>
              <w:t xml:space="preserve">Note </w:t>
            </w:r>
            <w:r w:rsidRPr="00EC0BA1" w:rsidR="00EC0BA1">
              <w:rPr>
                <w:rFonts w:eastAsia="Times New Roman" w:cs="Arial"/>
                <w:b/>
                <w:bCs/>
                <w:color w:val="000000"/>
                <w:sz w:val="20"/>
                <w:szCs w:val="20"/>
                <w:lang w:eastAsia="en-GB"/>
              </w:rPr>
              <w:t>17</w:t>
            </w:r>
            <w:r w:rsidRPr="00EC0BA1">
              <w:rPr>
                <w:rFonts w:eastAsia="Times New Roman" w:cs="Arial"/>
                <w:color w:val="000000"/>
                <w:sz w:val="20"/>
                <w:szCs w:val="20"/>
                <w:lang w:eastAsia="en-GB"/>
              </w:rPr>
              <w:t>)</w:t>
            </w:r>
          </w:p>
        </w:tc>
        <w:tc>
          <w:tcPr>
            <w:tcW w:w="993" w:type="dxa"/>
            <w:tcBorders>
              <w:top w:val="nil"/>
              <w:left w:val="single" w:color="auto" w:sz="4" w:space="0"/>
              <w:bottom w:val="nil"/>
              <w:right w:val="single" w:color="auto" w:sz="4" w:space="0"/>
            </w:tcBorders>
          </w:tcPr>
          <w:p w:rsidRPr="00F06452" w:rsidR="00BB3FD9" w:rsidP="00F06452" w:rsidRDefault="00BB3FD9" w14:paraId="6FFE395A" w14:textId="77777777">
            <w:pPr>
              <w:spacing w:after="0" w:line="240" w:lineRule="auto"/>
              <w:jc w:val="right"/>
              <w:rPr>
                <w:rFonts w:eastAsia="Times New Roman" w:cs="Arial"/>
                <w:b/>
                <w:bCs/>
                <w:color w:val="000000"/>
                <w:sz w:val="20"/>
                <w:szCs w:val="20"/>
                <w:lang w:eastAsia="en-GB"/>
              </w:rPr>
            </w:pPr>
          </w:p>
        </w:tc>
        <w:tc>
          <w:tcPr>
            <w:tcW w:w="961" w:type="dxa"/>
            <w:tcBorders>
              <w:top w:val="nil"/>
              <w:left w:val="single" w:color="auto" w:sz="4" w:space="0"/>
              <w:bottom w:val="nil"/>
              <w:right w:val="single" w:color="auto" w:sz="4" w:space="0"/>
            </w:tcBorders>
          </w:tcPr>
          <w:p w:rsidRPr="00F06452" w:rsidR="00BB3FD9" w:rsidP="00F06452" w:rsidRDefault="00BB3FD9" w14:paraId="06EB197A" w14:textId="77777777">
            <w:pPr>
              <w:spacing w:after="0" w:line="240" w:lineRule="auto"/>
              <w:jc w:val="right"/>
              <w:rPr>
                <w:rFonts w:eastAsia="Times New Roman" w:cs="Arial"/>
                <w:b/>
                <w:bCs/>
                <w:color w:val="000000"/>
                <w:sz w:val="20"/>
                <w:szCs w:val="20"/>
                <w:lang w:eastAsia="en-GB"/>
              </w:rPr>
            </w:pPr>
          </w:p>
        </w:tc>
        <w:tc>
          <w:tcPr>
            <w:tcW w:w="1008" w:type="dxa"/>
            <w:tcBorders>
              <w:top w:val="nil"/>
              <w:left w:val="single" w:color="auto" w:sz="4" w:space="0"/>
              <w:bottom w:val="nil"/>
              <w:right w:val="single" w:color="auto" w:sz="4" w:space="0"/>
            </w:tcBorders>
            <w:shd w:val="clear" w:color="auto" w:fill="auto"/>
            <w:noWrap/>
            <w:vAlign w:val="bottom"/>
            <w:hideMark/>
          </w:tcPr>
          <w:p w:rsidRPr="00F06452" w:rsidR="00BB3FD9" w:rsidP="00F06452" w:rsidRDefault="00722D78" w14:paraId="043D0077" w14:textId="21264182">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 xml:space="preserve">  (1,020)</w:t>
            </w:r>
          </w:p>
        </w:tc>
      </w:tr>
      <w:tr w:rsidRPr="00614894" w:rsidR="00BB3FD9" w:rsidTr="00BB3FD9" w14:paraId="368088A6" w14:textId="77777777">
        <w:trPr>
          <w:gridAfter w:val="1"/>
          <w:wAfter w:w="7" w:type="dxa"/>
          <w:trHeight w:val="255"/>
        </w:trPr>
        <w:tc>
          <w:tcPr>
            <w:tcW w:w="828"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614894" w:rsidR="00BB3FD9" w:rsidP="00F06452" w:rsidRDefault="00BB3FD9" w14:paraId="5B6B2CE1" w14:textId="38937B82">
            <w:pPr>
              <w:spacing w:after="0" w:line="240" w:lineRule="auto"/>
              <w:jc w:val="right"/>
              <w:rPr>
                <w:rFonts w:eastAsia="Times New Roman" w:cs="Arial"/>
                <w:b/>
                <w:color w:val="000000"/>
                <w:sz w:val="20"/>
                <w:szCs w:val="20"/>
                <w:highlight w:val="yellow"/>
                <w:lang w:eastAsia="en-GB"/>
              </w:rPr>
            </w:pPr>
          </w:p>
        </w:tc>
        <w:tc>
          <w:tcPr>
            <w:tcW w:w="96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614894" w:rsidR="00BB3FD9" w:rsidP="00F06452" w:rsidRDefault="00BB3FD9" w14:paraId="39A5A362" w14:textId="0CF5ED97">
            <w:pPr>
              <w:spacing w:after="0" w:line="240" w:lineRule="auto"/>
              <w:jc w:val="right"/>
              <w:rPr>
                <w:rFonts w:eastAsia="Times New Roman" w:cs="Arial"/>
                <w:b/>
                <w:color w:val="000000"/>
                <w:sz w:val="20"/>
                <w:szCs w:val="20"/>
                <w:highlight w:val="yellow"/>
                <w:lang w:eastAsia="en-GB"/>
              </w:rPr>
            </w:pPr>
          </w:p>
        </w:tc>
        <w:tc>
          <w:tcPr>
            <w:tcW w:w="850"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722D78" w:rsidR="00BB3FD9" w:rsidP="00F06452" w:rsidRDefault="00722D78" w14:paraId="2279B2CE" w14:textId="6C103D7F">
            <w:pPr>
              <w:spacing w:after="0" w:line="240" w:lineRule="auto"/>
              <w:jc w:val="right"/>
              <w:rPr>
                <w:rFonts w:eastAsia="Times New Roman" w:cs="Arial"/>
                <w:b/>
                <w:color w:val="000000"/>
                <w:sz w:val="20"/>
                <w:szCs w:val="20"/>
                <w:lang w:eastAsia="en-GB"/>
              </w:rPr>
            </w:pPr>
            <w:r w:rsidRPr="00722D78">
              <w:rPr>
                <w:rFonts w:eastAsia="Times New Roman" w:cs="Arial"/>
                <w:b/>
                <w:color w:val="000000"/>
                <w:sz w:val="20"/>
                <w:szCs w:val="20"/>
                <w:lang w:eastAsia="en-GB"/>
              </w:rPr>
              <w:t>(3,350)</w:t>
            </w:r>
          </w:p>
        </w:tc>
        <w:tc>
          <w:tcPr>
            <w:tcW w:w="4732"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F06452" w:rsidR="00BB3FD9" w:rsidP="00D038BC" w:rsidRDefault="00BB3FD9" w14:paraId="31CD5843" w14:textId="0EF414E2">
            <w:pPr>
              <w:spacing w:after="0" w:line="240" w:lineRule="auto"/>
              <w:rPr>
                <w:rFonts w:eastAsia="Times New Roman" w:cs="Arial"/>
                <w:b/>
                <w:bCs/>
                <w:color w:val="000000"/>
                <w:sz w:val="20"/>
                <w:szCs w:val="20"/>
                <w:lang w:eastAsia="en-GB"/>
              </w:rPr>
            </w:pPr>
            <w:r w:rsidRPr="00F06452">
              <w:rPr>
                <w:rFonts w:eastAsia="Times New Roman" w:cs="Arial"/>
                <w:b/>
                <w:bCs/>
                <w:color w:val="000000"/>
                <w:sz w:val="20"/>
                <w:szCs w:val="20"/>
                <w:lang w:eastAsia="en-GB"/>
              </w:rPr>
              <w:t>Other Comprehensive Income &amp; Expenditure</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F06452" w:rsidR="00BB3FD9" w:rsidP="00F06452" w:rsidRDefault="00BB3FD9" w14:paraId="2DBFCA7F" w14:textId="44D1CCD0">
            <w:pPr>
              <w:spacing w:after="0" w:line="240" w:lineRule="auto"/>
              <w:jc w:val="right"/>
              <w:rPr>
                <w:rFonts w:eastAsia="Times New Roman" w:cs="Arial"/>
                <w:b/>
                <w:bCs/>
                <w:color w:val="000000"/>
                <w:sz w:val="20"/>
                <w:szCs w:val="20"/>
                <w:lang w:eastAsia="en-GB"/>
              </w:rPr>
            </w:pPr>
          </w:p>
        </w:tc>
        <w:tc>
          <w:tcPr>
            <w:tcW w:w="96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F06452" w:rsidR="00BB3FD9" w:rsidP="00F06452" w:rsidRDefault="00BB3FD9" w14:paraId="31C840E8" w14:textId="3FAB0F92">
            <w:pPr>
              <w:spacing w:after="0" w:line="240" w:lineRule="auto"/>
              <w:jc w:val="right"/>
              <w:rPr>
                <w:rFonts w:eastAsia="Times New Roman" w:cs="Arial"/>
                <w:b/>
                <w:bCs/>
                <w:color w:val="000000"/>
                <w:sz w:val="20"/>
                <w:szCs w:val="20"/>
                <w:lang w:eastAsia="en-GB"/>
              </w:rPr>
            </w:pPr>
          </w:p>
        </w:tc>
        <w:tc>
          <w:tcPr>
            <w:tcW w:w="100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F06452" w:rsidR="00BB3FD9" w:rsidP="00F06452" w:rsidRDefault="00BB3FD9" w14:paraId="6A6EC4CB" w14:textId="233BF45C">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w:t>
            </w:r>
            <w:r w:rsidRPr="00F06452" w:rsidR="00722D78">
              <w:rPr>
                <w:rFonts w:eastAsia="Times New Roman" w:cs="Arial"/>
                <w:b/>
                <w:bCs/>
                <w:color w:val="000000"/>
                <w:sz w:val="20"/>
                <w:szCs w:val="20"/>
                <w:lang w:eastAsia="en-GB"/>
              </w:rPr>
              <w:t>1,020</w:t>
            </w:r>
            <w:r w:rsidRPr="00F06452">
              <w:rPr>
                <w:rFonts w:eastAsia="Times New Roman" w:cs="Arial"/>
                <w:b/>
                <w:bCs/>
                <w:color w:val="000000"/>
                <w:sz w:val="20"/>
                <w:szCs w:val="20"/>
                <w:lang w:eastAsia="en-GB"/>
              </w:rPr>
              <w:t>)</w:t>
            </w:r>
          </w:p>
        </w:tc>
      </w:tr>
      <w:tr w:rsidRPr="00614894" w:rsidR="00BB3FD9" w:rsidTr="00BB3FD9" w14:paraId="3C50BEF0" w14:textId="77777777">
        <w:trPr>
          <w:gridAfter w:val="1"/>
          <w:wAfter w:w="7" w:type="dxa"/>
          <w:trHeight w:val="255"/>
        </w:trPr>
        <w:tc>
          <w:tcPr>
            <w:tcW w:w="828"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614894" w:rsidR="00BB3FD9" w:rsidP="00F06452" w:rsidRDefault="00BB3FD9" w14:paraId="7C07072B" w14:textId="77777777">
            <w:pPr>
              <w:spacing w:after="0" w:line="240" w:lineRule="auto"/>
              <w:jc w:val="right"/>
              <w:rPr>
                <w:rFonts w:eastAsia="Times New Roman" w:cs="Arial"/>
                <w:color w:val="000000"/>
                <w:sz w:val="20"/>
                <w:szCs w:val="20"/>
                <w:highlight w:val="yellow"/>
                <w:lang w:eastAsia="en-GB"/>
              </w:rPr>
            </w:pPr>
          </w:p>
        </w:tc>
        <w:tc>
          <w:tcPr>
            <w:tcW w:w="96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722D78" w:rsidR="00BB3FD9" w:rsidP="00F06452" w:rsidRDefault="00BB3FD9" w14:paraId="34AAE5AC" w14:textId="77777777">
            <w:pPr>
              <w:spacing w:after="0" w:line="240" w:lineRule="auto"/>
              <w:jc w:val="right"/>
              <w:rPr>
                <w:rFonts w:eastAsia="Times New Roman" w:cs="Arial"/>
                <w:b/>
                <w:bCs/>
                <w:color w:val="000000"/>
                <w:sz w:val="20"/>
                <w:szCs w:val="20"/>
                <w:highlight w:val="yellow"/>
                <w:lang w:eastAsia="en-GB"/>
              </w:rPr>
            </w:pPr>
          </w:p>
        </w:tc>
        <w:tc>
          <w:tcPr>
            <w:tcW w:w="850"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722D78" w:rsidR="00BB3FD9" w:rsidP="00F06452" w:rsidRDefault="00722D78" w14:paraId="1B39C470" w14:textId="329096CC">
            <w:pPr>
              <w:spacing w:after="0" w:line="240" w:lineRule="auto"/>
              <w:jc w:val="right"/>
              <w:rPr>
                <w:rFonts w:eastAsia="Times New Roman" w:cs="Arial"/>
                <w:b/>
                <w:bCs/>
                <w:color w:val="000000"/>
                <w:sz w:val="20"/>
                <w:szCs w:val="20"/>
                <w:lang w:eastAsia="en-GB"/>
              </w:rPr>
            </w:pPr>
            <w:r w:rsidRPr="00722D78">
              <w:rPr>
                <w:rFonts w:eastAsia="Times New Roman" w:cs="Arial"/>
                <w:b/>
                <w:bCs/>
                <w:color w:val="000000"/>
                <w:sz w:val="20"/>
                <w:szCs w:val="20"/>
                <w:lang w:eastAsia="en-GB"/>
              </w:rPr>
              <w:t>(2,937)</w:t>
            </w:r>
          </w:p>
        </w:tc>
        <w:tc>
          <w:tcPr>
            <w:tcW w:w="4732"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F06452" w:rsidR="00BB3FD9" w:rsidP="00D038BC" w:rsidRDefault="00BB3FD9" w14:paraId="1231C512" w14:textId="074151A2">
            <w:pPr>
              <w:spacing w:after="0" w:line="240" w:lineRule="auto"/>
              <w:rPr>
                <w:rFonts w:eastAsia="Times New Roman" w:cs="Arial"/>
                <w:color w:val="000000"/>
                <w:sz w:val="20"/>
                <w:szCs w:val="20"/>
                <w:lang w:eastAsia="en-GB"/>
              </w:rPr>
            </w:pPr>
            <w:r w:rsidRPr="00F06452">
              <w:rPr>
                <w:rFonts w:eastAsia="Times New Roman" w:cs="Arial"/>
                <w:b/>
                <w:bCs/>
                <w:color w:val="000000"/>
                <w:sz w:val="20"/>
                <w:szCs w:val="20"/>
                <w:lang w:eastAsia="en-GB"/>
              </w:rPr>
              <w:t>Total Comprehensive Income &amp; Expenditure</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F06452" w:rsidR="00BB3FD9" w:rsidP="00F06452" w:rsidRDefault="00BB3FD9" w14:paraId="1A6208DA" w14:textId="77777777">
            <w:pPr>
              <w:spacing w:after="0" w:line="240" w:lineRule="auto"/>
              <w:jc w:val="right"/>
              <w:rPr>
                <w:rFonts w:eastAsia="Times New Roman" w:cs="Arial"/>
                <w:b/>
                <w:bCs/>
                <w:color w:val="000000"/>
                <w:sz w:val="20"/>
                <w:szCs w:val="20"/>
                <w:lang w:eastAsia="en-GB"/>
              </w:rPr>
            </w:pPr>
          </w:p>
        </w:tc>
        <w:tc>
          <w:tcPr>
            <w:tcW w:w="96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F06452" w:rsidR="00BB3FD9" w:rsidP="00F06452" w:rsidRDefault="00BB3FD9" w14:paraId="3DFA4759" w14:textId="77777777">
            <w:pPr>
              <w:spacing w:after="0" w:line="240" w:lineRule="auto"/>
              <w:jc w:val="right"/>
              <w:rPr>
                <w:rFonts w:eastAsia="Times New Roman" w:cs="Arial"/>
                <w:b/>
                <w:bCs/>
                <w:color w:val="000000"/>
                <w:sz w:val="20"/>
                <w:szCs w:val="20"/>
                <w:lang w:eastAsia="en-GB"/>
              </w:rPr>
            </w:pPr>
          </w:p>
        </w:tc>
        <w:tc>
          <w:tcPr>
            <w:tcW w:w="100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F06452" w:rsidR="00BB3FD9" w:rsidP="00F06452" w:rsidRDefault="00722D78" w14:paraId="458FE4FE" w14:textId="6FAF2AE4">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 xml:space="preserve">  </w:t>
            </w:r>
            <w:r w:rsidRPr="00F06452" w:rsidR="00BB3FD9">
              <w:rPr>
                <w:rFonts w:eastAsia="Times New Roman" w:cs="Arial"/>
                <w:b/>
                <w:bCs/>
                <w:color w:val="000000"/>
                <w:sz w:val="20"/>
                <w:szCs w:val="20"/>
                <w:lang w:eastAsia="en-GB"/>
              </w:rPr>
              <w:t>(</w:t>
            </w:r>
            <w:r w:rsidRPr="00F06452">
              <w:rPr>
                <w:rFonts w:eastAsia="Times New Roman" w:cs="Arial"/>
                <w:b/>
                <w:bCs/>
                <w:color w:val="000000"/>
                <w:sz w:val="20"/>
                <w:szCs w:val="20"/>
                <w:lang w:eastAsia="en-GB"/>
              </w:rPr>
              <w:t>669</w:t>
            </w:r>
            <w:r w:rsidRPr="00F06452" w:rsidR="00BB3FD9">
              <w:rPr>
                <w:rFonts w:eastAsia="Times New Roman" w:cs="Arial"/>
                <w:b/>
                <w:bCs/>
                <w:color w:val="000000"/>
                <w:sz w:val="20"/>
                <w:szCs w:val="20"/>
                <w:lang w:eastAsia="en-GB"/>
              </w:rPr>
              <w:t>)</w:t>
            </w:r>
          </w:p>
        </w:tc>
      </w:tr>
    </w:tbl>
    <w:p w:rsidRPr="00614894" w:rsidR="00B87574" w:rsidP="00F75A6B" w:rsidRDefault="00B87574" w14:paraId="6203533D" w14:textId="77777777">
      <w:pPr>
        <w:jc w:val="both"/>
        <w:rPr>
          <w:rFonts w:cs="Arial"/>
          <w:sz w:val="20"/>
          <w:szCs w:val="20"/>
          <w:highlight w:val="yellow"/>
        </w:rPr>
      </w:pPr>
    </w:p>
    <w:p w:rsidR="005C65CB" w:rsidP="00F75A6B" w:rsidRDefault="005C65CB" w14:paraId="0A0DAD39" w14:textId="56E16B86">
      <w:pPr>
        <w:jc w:val="both"/>
        <w:rPr>
          <w:rFonts w:cs="Arial"/>
          <w:sz w:val="20"/>
          <w:szCs w:val="20"/>
          <w:highlight w:val="yellow"/>
        </w:rPr>
      </w:pPr>
    </w:p>
    <w:p w:rsidRPr="00614894" w:rsidR="00EA7F42" w:rsidP="00F75A6B" w:rsidRDefault="00EA7F42" w14:paraId="20E6CC06" w14:textId="77777777">
      <w:pPr>
        <w:jc w:val="both"/>
        <w:rPr>
          <w:rFonts w:cs="Arial"/>
          <w:sz w:val="20"/>
          <w:szCs w:val="20"/>
          <w:highlight w:val="yellow"/>
        </w:rPr>
      </w:pPr>
    </w:p>
    <w:p w:rsidR="005C65CB" w:rsidP="00F75A6B" w:rsidRDefault="005C65CB" w14:paraId="5EB38B77" w14:textId="4C35F028">
      <w:pPr>
        <w:jc w:val="both"/>
        <w:rPr>
          <w:rFonts w:cs="Arial"/>
          <w:sz w:val="20"/>
          <w:szCs w:val="20"/>
          <w:highlight w:val="yellow"/>
        </w:rPr>
      </w:pPr>
    </w:p>
    <w:p w:rsidR="00BB3FD9" w:rsidP="00F75A6B" w:rsidRDefault="00BB3FD9" w14:paraId="4C4B0A78" w14:textId="75DD728F">
      <w:pPr>
        <w:jc w:val="both"/>
        <w:rPr>
          <w:rFonts w:cs="Arial"/>
          <w:sz w:val="20"/>
          <w:szCs w:val="20"/>
          <w:highlight w:val="yellow"/>
        </w:rPr>
      </w:pPr>
    </w:p>
    <w:p w:rsidR="00BB3FD9" w:rsidP="00F75A6B" w:rsidRDefault="00BB3FD9" w14:paraId="4B80D767" w14:textId="3A509692">
      <w:pPr>
        <w:jc w:val="both"/>
        <w:rPr>
          <w:rFonts w:cs="Arial"/>
          <w:sz w:val="20"/>
          <w:szCs w:val="20"/>
          <w:highlight w:val="yellow"/>
        </w:rPr>
      </w:pPr>
    </w:p>
    <w:p w:rsidR="00F06452" w:rsidP="00F75A6B" w:rsidRDefault="00F06452" w14:paraId="40AD3189" w14:textId="4F522E15">
      <w:pPr>
        <w:jc w:val="both"/>
        <w:rPr>
          <w:rFonts w:cs="Arial"/>
          <w:sz w:val="20"/>
          <w:szCs w:val="20"/>
          <w:highlight w:val="yellow"/>
        </w:rPr>
      </w:pPr>
    </w:p>
    <w:p w:rsidR="00F06452" w:rsidP="00F75A6B" w:rsidRDefault="00F06452" w14:paraId="1EBEC940" w14:textId="183B6C20">
      <w:pPr>
        <w:jc w:val="both"/>
        <w:rPr>
          <w:rFonts w:cs="Arial"/>
          <w:sz w:val="20"/>
          <w:szCs w:val="20"/>
          <w:highlight w:val="yellow"/>
        </w:rPr>
      </w:pPr>
    </w:p>
    <w:p w:rsidR="00F06452" w:rsidP="00F75A6B" w:rsidRDefault="00F06452" w14:paraId="75E7D714" w14:textId="77777777">
      <w:pPr>
        <w:jc w:val="both"/>
        <w:rPr>
          <w:rFonts w:cs="Arial"/>
          <w:sz w:val="20"/>
          <w:szCs w:val="20"/>
          <w:highlight w:val="yellow"/>
        </w:rPr>
      </w:pPr>
    </w:p>
    <w:p w:rsidR="00BB3FD9" w:rsidP="00F75A6B" w:rsidRDefault="00BB3FD9" w14:paraId="1CE05E21" w14:textId="307A40BC">
      <w:pPr>
        <w:jc w:val="both"/>
        <w:rPr>
          <w:rFonts w:cs="Arial"/>
          <w:sz w:val="20"/>
          <w:szCs w:val="20"/>
          <w:highlight w:val="yellow"/>
        </w:rPr>
      </w:pPr>
    </w:p>
    <w:p w:rsidRPr="00614894" w:rsidR="00BB3FD9" w:rsidP="00F75A6B" w:rsidRDefault="00BB3FD9" w14:paraId="5D122744" w14:textId="77777777">
      <w:pPr>
        <w:jc w:val="both"/>
        <w:rPr>
          <w:rFonts w:cs="Arial"/>
          <w:sz w:val="20"/>
          <w:szCs w:val="20"/>
          <w:highlight w:val="yellow"/>
        </w:rPr>
      </w:pPr>
    </w:p>
    <w:p w:rsidRPr="00752863" w:rsidR="008A1012" w:rsidP="008A1012" w:rsidRDefault="003C4DCD" w14:paraId="07A4681F" w14:textId="6CAC203A">
      <w:pPr>
        <w:pStyle w:val="Heading1"/>
      </w:pPr>
      <w:bookmarkStart w:name="_Toc485903702" w:id="19"/>
      <w:bookmarkStart w:name="_Toc158193767" w:id="20"/>
      <w:r>
        <w:lastRenderedPageBreak/>
        <w:t>VVC</w:t>
      </w:r>
      <w:r w:rsidRPr="00752863" w:rsidR="00752863">
        <w:t xml:space="preserve"> Adoption</w:t>
      </w:r>
      <w:r w:rsidR="001E2079">
        <w:t xml:space="preserve"> Collaborative</w:t>
      </w:r>
      <w:r w:rsidRPr="00752863" w:rsidR="001A2064">
        <w:t xml:space="preserve"> Balance Sheet as </w:t>
      </w:r>
      <w:proofErr w:type="gramStart"/>
      <w:r w:rsidRPr="00752863" w:rsidR="001A2064">
        <w:t>at</w:t>
      </w:r>
      <w:proofErr w:type="gramEnd"/>
      <w:r w:rsidRPr="00752863" w:rsidR="001A2064">
        <w:t xml:space="preserve"> 31</w:t>
      </w:r>
      <w:r w:rsidRPr="00752863" w:rsidR="001A2064">
        <w:rPr>
          <w:vertAlign w:val="superscript"/>
        </w:rPr>
        <w:t>st</w:t>
      </w:r>
      <w:r w:rsidRPr="00752863" w:rsidR="001A2064">
        <w:t xml:space="preserve"> March 20</w:t>
      </w:r>
      <w:bookmarkEnd w:id="19"/>
      <w:r w:rsidRPr="00752863" w:rsidR="001D29DF">
        <w:t>2</w:t>
      </w:r>
      <w:r w:rsidRPr="00752863" w:rsidR="00392716">
        <w:t>3</w:t>
      </w:r>
      <w:bookmarkEnd w:id="20"/>
    </w:p>
    <w:p w:rsidRPr="00EC0BA1" w:rsidR="008A1012" w:rsidP="008A1012" w:rsidRDefault="008A1012" w14:paraId="493B2B9A" w14:textId="1BC42F46">
      <w:pPr>
        <w:jc w:val="both"/>
        <w:rPr>
          <w:rFonts w:eastAsia="HGSMinchoE" w:cs="Times New Roman"/>
          <w:lang w:val="en-US"/>
        </w:rPr>
      </w:pPr>
      <w:r w:rsidRPr="00752863">
        <w:rPr>
          <w:rFonts w:eastAsia="HGSMinchoE" w:cs="Times New Roman"/>
          <w:lang w:val="en-US"/>
        </w:rPr>
        <w:t>The Balance Sheet sho</w:t>
      </w:r>
      <w:r w:rsidRPr="00752863" w:rsidR="00500682">
        <w:rPr>
          <w:rFonts w:eastAsia="HGSMinchoE" w:cs="Times New Roman"/>
          <w:lang w:val="en-US"/>
        </w:rPr>
        <w:t>ws the value as at the Balance S</w:t>
      </w:r>
      <w:r w:rsidRPr="00752863">
        <w:rPr>
          <w:rFonts w:eastAsia="HGSMinchoE" w:cs="Times New Roman"/>
          <w:lang w:val="en-US"/>
        </w:rPr>
        <w:t>heet date of the assets and liabilities recognised by the Authority.</w:t>
      </w:r>
      <w:r w:rsidRPr="00752863" w:rsidR="00BD27A5">
        <w:rPr>
          <w:rFonts w:eastAsia="HGSMinchoE" w:cs="Times New Roman"/>
          <w:lang w:val="en-US"/>
        </w:rPr>
        <w:t xml:space="preserve"> The net assets of </w:t>
      </w:r>
      <w:r w:rsidRPr="00386566" w:rsidR="003C4DCD">
        <w:rPr>
          <w:bCs/>
        </w:rPr>
        <w:t xml:space="preserve">VVC </w:t>
      </w:r>
      <w:r w:rsidRPr="00752863">
        <w:rPr>
          <w:rFonts w:eastAsia="HGSMinchoE" w:cs="Times New Roman"/>
          <w:lang w:val="en-US"/>
        </w:rPr>
        <w:t>(Assets less Liabilities) are matched by the re</w:t>
      </w:r>
      <w:r w:rsidRPr="00752863" w:rsidR="00BD27A5">
        <w:rPr>
          <w:rFonts w:eastAsia="HGSMinchoE" w:cs="Times New Roman"/>
          <w:lang w:val="en-US"/>
        </w:rPr>
        <w:t xml:space="preserve">serves held by </w:t>
      </w:r>
      <w:r w:rsidRPr="00386566" w:rsidR="003C4DCD">
        <w:rPr>
          <w:bCs/>
        </w:rPr>
        <w:t>VVC</w:t>
      </w:r>
      <w:r w:rsidRPr="00752863">
        <w:rPr>
          <w:rFonts w:eastAsia="HGSMinchoE" w:cs="Times New Roman"/>
          <w:lang w:val="en-US"/>
        </w:rPr>
        <w:t>. Reserves are reported in two categories: Usable and Unusable Reserves</w:t>
      </w:r>
      <w:r w:rsidRPr="00EC0BA1">
        <w:rPr>
          <w:rFonts w:eastAsia="HGSMinchoE" w:cs="Times New Roman"/>
          <w:lang w:val="en-US"/>
        </w:rPr>
        <w:t xml:space="preserve">. </w:t>
      </w:r>
      <w:r w:rsidRPr="00EC0BA1" w:rsidR="006827D7">
        <w:rPr>
          <w:rFonts w:eastAsia="HGSMinchoE" w:cs="Times New Roman"/>
          <w:lang w:val="en-US"/>
        </w:rPr>
        <w:t xml:space="preserve">Further information on this statement is shown on </w:t>
      </w:r>
      <w:r w:rsidRPr="00EC0BA1" w:rsidR="001B6373">
        <w:rPr>
          <w:rFonts w:eastAsia="HGSMinchoE" w:cs="Times New Roman"/>
          <w:lang w:val="en-US"/>
        </w:rPr>
        <w:t xml:space="preserve">page </w:t>
      </w:r>
      <w:r w:rsidRPr="00EC0BA1" w:rsidR="00EC0BA1">
        <w:rPr>
          <w:rFonts w:eastAsia="HGSMinchoE" w:cs="Times New Roman"/>
          <w:lang w:val="en-US"/>
        </w:rPr>
        <w:t>1</w:t>
      </w:r>
      <w:r w:rsidR="00B42AAF">
        <w:rPr>
          <w:rFonts w:eastAsia="HGSMinchoE" w:cs="Times New Roman"/>
          <w:lang w:val="en-US"/>
        </w:rPr>
        <w:t>6</w:t>
      </w:r>
      <w:r w:rsidRPr="00EC0BA1" w:rsidR="006827D7">
        <w:rPr>
          <w:rFonts w:eastAsia="HGSMinchoE" w:cs="Times New Roman"/>
          <w:lang w:val="en-US"/>
        </w:rPr>
        <w:t xml:space="preserve"> of this report.</w:t>
      </w:r>
    </w:p>
    <w:tbl>
      <w:tblPr>
        <w:tblW w:w="9068" w:type="dxa"/>
        <w:tblInd w:w="93" w:type="dxa"/>
        <w:tblLook w:val="04A0" w:firstRow="1" w:lastRow="0" w:firstColumn="1" w:lastColumn="0" w:noHBand="0" w:noVBand="1"/>
      </w:tblPr>
      <w:tblGrid>
        <w:gridCol w:w="1320"/>
        <w:gridCol w:w="661"/>
        <w:gridCol w:w="5670"/>
        <w:gridCol w:w="1417"/>
      </w:tblGrid>
      <w:tr w:rsidRPr="00614894" w:rsidR="00D94777" w:rsidTr="003520A9" w14:paraId="782F9F47" w14:textId="77777777">
        <w:trPr>
          <w:trHeight w:val="300"/>
        </w:trPr>
        <w:tc>
          <w:tcPr>
            <w:tcW w:w="1320" w:type="dxa"/>
            <w:tcBorders>
              <w:top w:val="single" w:color="auto" w:sz="4" w:space="0"/>
              <w:left w:val="single" w:color="auto" w:sz="4" w:space="0"/>
              <w:bottom w:val="nil"/>
              <w:right w:val="single" w:color="auto" w:sz="4" w:space="0"/>
            </w:tcBorders>
            <w:shd w:val="clear" w:color="auto" w:fill="DBE5F1" w:themeFill="accent1" w:themeFillTint="33"/>
            <w:vAlign w:val="bottom"/>
            <w:hideMark/>
          </w:tcPr>
          <w:p w:rsidRPr="00752863" w:rsidR="00D94777" w:rsidP="003234BB" w:rsidRDefault="00D94777" w14:paraId="1DE98EC8" w14:textId="77777777">
            <w:pPr>
              <w:spacing w:after="0" w:line="240" w:lineRule="auto"/>
              <w:jc w:val="center"/>
              <w:rPr>
                <w:rFonts w:eastAsia="Times New Roman" w:cs="Arial"/>
                <w:b/>
                <w:bCs/>
                <w:color w:val="000000"/>
                <w:sz w:val="20"/>
                <w:szCs w:val="20"/>
                <w:lang w:eastAsia="en-GB"/>
              </w:rPr>
            </w:pPr>
            <w:r w:rsidRPr="00752863">
              <w:rPr>
                <w:rFonts w:eastAsia="Times New Roman" w:cs="Arial"/>
                <w:b/>
                <w:bCs/>
                <w:color w:val="000000"/>
                <w:sz w:val="20"/>
                <w:szCs w:val="20"/>
                <w:lang w:eastAsia="en-GB"/>
              </w:rPr>
              <w:t>31st March</w:t>
            </w:r>
          </w:p>
        </w:tc>
        <w:tc>
          <w:tcPr>
            <w:tcW w:w="661" w:type="dxa"/>
            <w:tcBorders>
              <w:top w:val="single" w:color="auto" w:sz="4" w:space="0"/>
              <w:left w:val="nil"/>
              <w:bottom w:val="nil"/>
              <w:right w:val="single" w:color="auto" w:sz="4" w:space="0"/>
            </w:tcBorders>
            <w:shd w:val="clear" w:color="auto" w:fill="DBE5F1" w:themeFill="accent1" w:themeFillTint="33"/>
          </w:tcPr>
          <w:p w:rsidRPr="00752863" w:rsidR="00D94777" w:rsidP="003234BB" w:rsidRDefault="00D94777" w14:paraId="08E55C3F" w14:textId="5C645A86">
            <w:pPr>
              <w:spacing w:after="0" w:line="240" w:lineRule="auto"/>
              <w:rPr>
                <w:rFonts w:eastAsia="Times New Roman" w:cs="Arial"/>
                <w:b/>
                <w:bCs/>
                <w:color w:val="000000"/>
                <w:sz w:val="20"/>
                <w:szCs w:val="20"/>
                <w:lang w:eastAsia="en-GB"/>
              </w:rPr>
            </w:pPr>
            <w:r w:rsidRPr="00752863">
              <w:rPr>
                <w:rFonts w:eastAsia="Times New Roman" w:cs="Arial"/>
                <w:b/>
                <w:bCs/>
                <w:color w:val="000000"/>
                <w:sz w:val="20"/>
                <w:szCs w:val="20"/>
                <w:lang w:eastAsia="en-GB"/>
              </w:rPr>
              <w:t>Note</w:t>
            </w:r>
          </w:p>
        </w:tc>
        <w:tc>
          <w:tcPr>
            <w:tcW w:w="5670"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752863" w:rsidR="00D94777" w:rsidP="003234BB" w:rsidRDefault="00D94777" w14:paraId="24176307" w14:textId="2F3D5E33">
            <w:pPr>
              <w:spacing w:after="0" w:line="240" w:lineRule="auto"/>
              <w:rPr>
                <w:rFonts w:eastAsia="Times New Roman" w:cs="Arial"/>
                <w:b/>
                <w:bCs/>
                <w:color w:val="000000"/>
                <w:sz w:val="20"/>
                <w:szCs w:val="20"/>
                <w:lang w:eastAsia="en-GB"/>
              </w:rPr>
            </w:pPr>
            <w:r w:rsidRPr="00752863">
              <w:rPr>
                <w:rFonts w:eastAsia="Times New Roman" w:cs="Arial"/>
                <w:b/>
                <w:bCs/>
                <w:color w:val="000000"/>
                <w:sz w:val="20"/>
                <w:szCs w:val="20"/>
                <w:lang w:eastAsia="en-GB"/>
              </w:rPr>
              <w:t xml:space="preserve">Balance Sheet as </w:t>
            </w:r>
            <w:proofErr w:type="gramStart"/>
            <w:r w:rsidRPr="00752863">
              <w:rPr>
                <w:rFonts w:eastAsia="Times New Roman" w:cs="Arial"/>
                <w:b/>
                <w:bCs/>
                <w:color w:val="000000"/>
                <w:sz w:val="20"/>
                <w:szCs w:val="20"/>
                <w:lang w:eastAsia="en-GB"/>
              </w:rPr>
              <w:t>at</w:t>
            </w:r>
            <w:proofErr w:type="gramEnd"/>
            <w:r w:rsidRPr="00752863">
              <w:rPr>
                <w:rFonts w:eastAsia="Times New Roman" w:cs="Arial"/>
                <w:b/>
                <w:bCs/>
                <w:color w:val="000000"/>
                <w:sz w:val="20"/>
                <w:szCs w:val="20"/>
                <w:lang w:eastAsia="en-GB"/>
              </w:rPr>
              <w:t xml:space="preserve"> 31st March 202</w:t>
            </w:r>
            <w:r w:rsidRPr="00752863" w:rsidR="00392716">
              <w:rPr>
                <w:rFonts w:eastAsia="Times New Roman" w:cs="Arial"/>
                <w:b/>
                <w:bCs/>
                <w:color w:val="000000"/>
                <w:sz w:val="20"/>
                <w:szCs w:val="20"/>
                <w:lang w:eastAsia="en-GB"/>
              </w:rPr>
              <w:t>3</w:t>
            </w:r>
          </w:p>
        </w:tc>
        <w:tc>
          <w:tcPr>
            <w:tcW w:w="1417" w:type="dxa"/>
            <w:tcBorders>
              <w:top w:val="single" w:color="auto" w:sz="4" w:space="0"/>
              <w:left w:val="single" w:color="auto" w:sz="4" w:space="0"/>
              <w:bottom w:val="nil"/>
              <w:right w:val="single" w:color="auto" w:sz="4" w:space="0"/>
            </w:tcBorders>
            <w:shd w:val="clear" w:color="auto" w:fill="DBE5F1" w:themeFill="accent1" w:themeFillTint="33"/>
            <w:vAlign w:val="bottom"/>
            <w:hideMark/>
          </w:tcPr>
          <w:p w:rsidRPr="003520A9" w:rsidR="00D94777" w:rsidP="003234BB" w:rsidRDefault="00D94777" w14:paraId="74082991" w14:textId="77777777">
            <w:pPr>
              <w:spacing w:after="0" w:line="240" w:lineRule="auto"/>
              <w:jc w:val="center"/>
              <w:rPr>
                <w:rFonts w:eastAsia="Times New Roman" w:cs="Arial"/>
                <w:b/>
                <w:bCs/>
                <w:color w:val="000000"/>
                <w:sz w:val="20"/>
                <w:szCs w:val="20"/>
                <w:lang w:eastAsia="en-GB"/>
              </w:rPr>
            </w:pPr>
            <w:r w:rsidRPr="003520A9">
              <w:rPr>
                <w:rFonts w:eastAsia="Times New Roman" w:cs="Arial"/>
                <w:b/>
                <w:bCs/>
                <w:color w:val="000000"/>
                <w:sz w:val="20"/>
                <w:szCs w:val="20"/>
                <w:lang w:eastAsia="en-GB"/>
              </w:rPr>
              <w:t>31st March</w:t>
            </w:r>
          </w:p>
        </w:tc>
      </w:tr>
      <w:tr w:rsidRPr="00614894" w:rsidR="00D94777" w:rsidTr="003520A9" w14:paraId="2D8544A1" w14:textId="77777777">
        <w:trPr>
          <w:trHeight w:val="300"/>
        </w:trPr>
        <w:tc>
          <w:tcPr>
            <w:tcW w:w="1320" w:type="dxa"/>
            <w:tcBorders>
              <w:top w:val="nil"/>
              <w:left w:val="single" w:color="auto" w:sz="4" w:space="0"/>
              <w:bottom w:val="nil"/>
              <w:right w:val="single" w:color="auto" w:sz="4" w:space="0"/>
            </w:tcBorders>
            <w:shd w:val="clear" w:color="auto" w:fill="DBE5F1" w:themeFill="accent1" w:themeFillTint="33"/>
            <w:noWrap/>
            <w:vAlign w:val="bottom"/>
            <w:hideMark/>
          </w:tcPr>
          <w:p w:rsidRPr="00752863" w:rsidR="00D94777" w:rsidP="003234BB" w:rsidRDefault="00D94777" w14:paraId="55FE4D85" w14:textId="0DE620CF">
            <w:pPr>
              <w:spacing w:after="0" w:line="240" w:lineRule="auto"/>
              <w:jc w:val="center"/>
              <w:rPr>
                <w:rFonts w:eastAsia="Times New Roman" w:cs="Arial"/>
                <w:b/>
                <w:bCs/>
                <w:color w:val="000000"/>
                <w:sz w:val="20"/>
                <w:szCs w:val="20"/>
                <w:lang w:eastAsia="en-GB"/>
              </w:rPr>
            </w:pPr>
            <w:r w:rsidRPr="00752863">
              <w:rPr>
                <w:rFonts w:eastAsia="Times New Roman" w:cs="Arial"/>
                <w:b/>
                <w:bCs/>
                <w:color w:val="000000"/>
                <w:sz w:val="20"/>
                <w:szCs w:val="20"/>
                <w:lang w:eastAsia="en-GB"/>
              </w:rPr>
              <w:t>202</w:t>
            </w:r>
            <w:r w:rsidRPr="00752863" w:rsidR="00392716">
              <w:rPr>
                <w:rFonts w:eastAsia="Times New Roman" w:cs="Arial"/>
                <w:b/>
                <w:bCs/>
                <w:color w:val="000000"/>
                <w:sz w:val="20"/>
                <w:szCs w:val="20"/>
                <w:lang w:eastAsia="en-GB"/>
              </w:rPr>
              <w:t>3</w:t>
            </w:r>
          </w:p>
        </w:tc>
        <w:tc>
          <w:tcPr>
            <w:tcW w:w="661" w:type="dxa"/>
            <w:tcBorders>
              <w:top w:val="nil"/>
              <w:left w:val="nil"/>
              <w:bottom w:val="nil"/>
              <w:right w:val="single" w:color="auto" w:sz="4" w:space="0"/>
            </w:tcBorders>
            <w:shd w:val="clear" w:color="auto" w:fill="DBE5F1" w:themeFill="accent1" w:themeFillTint="33"/>
          </w:tcPr>
          <w:p w:rsidRPr="00614894" w:rsidR="00D94777" w:rsidP="003234BB" w:rsidRDefault="00D94777" w14:paraId="31090B40" w14:textId="77777777">
            <w:pPr>
              <w:spacing w:after="0" w:line="240" w:lineRule="auto"/>
              <w:rPr>
                <w:rFonts w:eastAsia="Times New Roman" w:cs="Arial"/>
                <w:b/>
                <w:bCs/>
                <w:color w:val="000000"/>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DBE5F1" w:themeFill="accent1" w:themeFillTint="33"/>
            <w:noWrap/>
            <w:vAlign w:val="bottom"/>
            <w:hideMark/>
          </w:tcPr>
          <w:p w:rsidRPr="00752863" w:rsidR="00D94777" w:rsidP="003234BB" w:rsidRDefault="00752863" w14:paraId="17F0C25B" w14:textId="052F69DC">
            <w:pPr>
              <w:spacing w:after="0" w:line="240" w:lineRule="auto"/>
              <w:rPr>
                <w:rFonts w:eastAsia="Times New Roman" w:cs="Arial"/>
                <w:b/>
                <w:bCs/>
                <w:color w:val="000000"/>
                <w:sz w:val="20"/>
                <w:szCs w:val="20"/>
                <w:lang w:eastAsia="en-GB"/>
              </w:rPr>
            </w:pPr>
            <w:r w:rsidRPr="00752863">
              <w:rPr>
                <w:rFonts w:eastAsia="Times New Roman" w:cs="Arial"/>
                <w:b/>
                <w:bCs/>
                <w:color w:val="000000"/>
                <w:sz w:val="20"/>
                <w:szCs w:val="20"/>
                <w:lang w:eastAsia="en-GB"/>
              </w:rPr>
              <w:t>Regional Adoption</w:t>
            </w:r>
            <w:r w:rsidRPr="00752863" w:rsidR="00D94777">
              <w:rPr>
                <w:rFonts w:eastAsia="Times New Roman" w:cs="Arial"/>
                <w:b/>
                <w:bCs/>
                <w:color w:val="000000"/>
                <w:sz w:val="20"/>
                <w:szCs w:val="20"/>
                <w:lang w:eastAsia="en-GB"/>
              </w:rPr>
              <w:t xml:space="preserve"> Service</w:t>
            </w:r>
          </w:p>
        </w:tc>
        <w:tc>
          <w:tcPr>
            <w:tcW w:w="1417" w:type="dxa"/>
            <w:tcBorders>
              <w:top w:val="nil"/>
              <w:left w:val="single" w:color="auto" w:sz="4" w:space="0"/>
              <w:bottom w:val="nil"/>
              <w:right w:val="single" w:color="auto" w:sz="4" w:space="0"/>
            </w:tcBorders>
            <w:shd w:val="clear" w:color="auto" w:fill="DBE5F1" w:themeFill="accent1" w:themeFillTint="33"/>
            <w:noWrap/>
            <w:vAlign w:val="bottom"/>
            <w:hideMark/>
          </w:tcPr>
          <w:p w:rsidRPr="003520A9" w:rsidR="00D94777" w:rsidP="003234BB" w:rsidRDefault="00D94777" w14:paraId="29B55B88" w14:textId="7F57AF8C">
            <w:pPr>
              <w:spacing w:after="0" w:line="240" w:lineRule="auto"/>
              <w:jc w:val="center"/>
              <w:rPr>
                <w:rFonts w:eastAsia="Times New Roman" w:cs="Arial"/>
                <w:b/>
                <w:bCs/>
                <w:color w:val="000000"/>
                <w:sz w:val="20"/>
                <w:szCs w:val="20"/>
                <w:lang w:eastAsia="en-GB"/>
              </w:rPr>
            </w:pPr>
            <w:r w:rsidRPr="003520A9">
              <w:rPr>
                <w:rFonts w:eastAsia="Times New Roman" w:cs="Arial"/>
                <w:b/>
                <w:bCs/>
                <w:color w:val="000000"/>
                <w:sz w:val="20"/>
                <w:szCs w:val="20"/>
                <w:lang w:eastAsia="en-GB"/>
              </w:rPr>
              <w:t>202</w:t>
            </w:r>
            <w:r w:rsidRPr="003520A9" w:rsidR="00392716">
              <w:rPr>
                <w:rFonts w:eastAsia="Times New Roman" w:cs="Arial"/>
                <w:b/>
                <w:bCs/>
                <w:color w:val="000000"/>
                <w:sz w:val="20"/>
                <w:szCs w:val="20"/>
                <w:lang w:eastAsia="en-GB"/>
              </w:rPr>
              <w:t>2</w:t>
            </w:r>
          </w:p>
        </w:tc>
      </w:tr>
      <w:tr w:rsidRPr="00614894" w:rsidR="00D94777" w:rsidTr="003520A9" w14:paraId="00B12F22" w14:textId="77777777">
        <w:trPr>
          <w:trHeight w:val="300"/>
        </w:trPr>
        <w:tc>
          <w:tcPr>
            <w:tcW w:w="1320"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752863" w:rsidR="00D94777" w:rsidP="003234BB" w:rsidRDefault="00D94777" w14:paraId="6CA68E41" w14:textId="77777777">
            <w:pPr>
              <w:spacing w:after="0" w:line="240" w:lineRule="auto"/>
              <w:jc w:val="center"/>
              <w:rPr>
                <w:rFonts w:eastAsia="Times New Roman" w:cs="Arial"/>
                <w:b/>
                <w:bCs/>
                <w:color w:val="000000"/>
                <w:sz w:val="20"/>
                <w:szCs w:val="20"/>
                <w:lang w:eastAsia="en-GB"/>
              </w:rPr>
            </w:pPr>
            <w:r w:rsidRPr="00752863">
              <w:rPr>
                <w:rFonts w:eastAsia="Times New Roman" w:cs="Arial"/>
                <w:b/>
                <w:bCs/>
                <w:color w:val="000000"/>
                <w:sz w:val="20"/>
                <w:szCs w:val="20"/>
                <w:lang w:eastAsia="en-GB"/>
              </w:rPr>
              <w:t>£'000</w:t>
            </w:r>
          </w:p>
        </w:tc>
        <w:tc>
          <w:tcPr>
            <w:tcW w:w="661" w:type="dxa"/>
            <w:tcBorders>
              <w:top w:val="nil"/>
              <w:left w:val="nil"/>
              <w:bottom w:val="single" w:color="auto" w:sz="4" w:space="0"/>
              <w:right w:val="single" w:color="auto" w:sz="4" w:space="0"/>
            </w:tcBorders>
            <w:shd w:val="clear" w:color="auto" w:fill="DBE5F1" w:themeFill="accent1" w:themeFillTint="33"/>
          </w:tcPr>
          <w:p w:rsidRPr="00614894" w:rsidR="00D94777" w:rsidP="003234BB" w:rsidRDefault="00D94777" w14:paraId="283EBF27" w14:textId="77777777">
            <w:pPr>
              <w:spacing w:after="0" w:line="240" w:lineRule="auto"/>
              <w:rPr>
                <w:rFonts w:eastAsia="Times New Roman" w:cs="Arial"/>
                <w:b/>
                <w:bCs/>
                <w:color w:val="000000"/>
                <w:sz w:val="20"/>
                <w:szCs w:val="20"/>
                <w:highlight w:val="yellow"/>
                <w:lang w:eastAsia="en-GB"/>
              </w:rPr>
            </w:pPr>
          </w:p>
        </w:tc>
        <w:tc>
          <w:tcPr>
            <w:tcW w:w="5670"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614894" w:rsidR="00D94777" w:rsidP="003234BB" w:rsidRDefault="00D94777" w14:paraId="4CAC558A" w14:textId="430169A5">
            <w:pPr>
              <w:spacing w:after="0" w:line="240" w:lineRule="auto"/>
              <w:rPr>
                <w:rFonts w:eastAsia="Times New Roman" w:cs="Arial"/>
                <w:b/>
                <w:bCs/>
                <w:color w:val="000000"/>
                <w:sz w:val="20"/>
                <w:szCs w:val="20"/>
                <w:highlight w:val="yellow"/>
                <w:lang w:eastAsia="en-GB"/>
              </w:rPr>
            </w:pPr>
            <w:r w:rsidRPr="00752863">
              <w:rPr>
                <w:rFonts w:eastAsia="Times New Roman" w:cs="Arial"/>
                <w:b/>
                <w:bCs/>
                <w:color w:val="000000"/>
                <w:sz w:val="20"/>
                <w:szCs w:val="20"/>
                <w:lang w:eastAsia="en-GB"/>
              </w:rPr>
              <w:t> </w:t>
            </w:r>
          </w:p>
        </w:tc>
        <w:tc>
          <w:tcPr>
            <w:tcW w:w="1417"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3520A9" w:rsidR="00D94777" w:rsidP="003234BB" w:rsidRDefault="00D94777" w14:paraId="494BEC33" w14:textId="77777777">
            <w:pPr>
              <w:spacing w:after="0" w:line="240" w:lineRule="auto"/>
              <w:jc w:val="center"/>
              <w:rPr>
                <w:rFonts w:eastAsia="Times New Roman" w:cs="Arial"/>
                <w:b/>
                <w:bCs/>
                <w:color w:val="000000"/>
                <w:sz w:val="20"/>
                <w:szCs w:val="20"/>
                <w:lang w:eastAsia="en-GB"/>
              </w:rPr>
            </w:pPr>
            <w:r w:rsidRPr="003520A9">
              <w:rPr>
                <w:rFonts w:eastAsia="Times New Roman" w:cs="Arial"/>
                <w:b/>
                <w:bCs/>
                <w:color w:val="000000"/>
                <w:sz w:val="20"/>
                <w:szCs w:val="20"/>
                <w:lang w:eastAsia="en-GB"/>
              </w:rPr>
              <w:t>£'000</w:t>
            </w:r>
          </w:p>
        </w:tc>
      </w:tr>
      <w:tr w:rsidRPr="00614894" w:rsidR="00D94777" w:rsidTr="003520A9" w14:paraId="657EC036"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752863" w:rsidR="00D94777" w:rsidP="003234BB" w:rsidRDefault="00D94777" w14:paraId="2869CD39" w14:textId="77777777">
            <w:pPr>
              <w:spacing w:after="0" w:line="240" w:lineRule="auto"/>
              <w:rPr>
                <w:rFonts w:eastAsia="Times New Roman" w:cs="Arial"/>
                <w:color w:val="000000"/>
                <w:sz w:val="20"/>
                <w:szCs w:val="20"/>
                <w:lang w:eastAsia="en-GB"/>
              </w:rPr>
            </w:pPr>
            <w:r w:rsidRPr="00752863">
              <w:rPr>
                <w:rFonts w:eastAsia="Times New Roman" w:cs="Arial"/>
                <w:color w:val="000000"/>
                <w:sz w:val="20"/>
                <w:szCs w:val="20"/>
                <w:lang w:eastAsia="en-GB"/>
              </w:rPr>
              <w:t> </w:t>
            </w:r>
          </w:p>
        </w:tc>
        <w:tc>
          <w:tcPr>
            <w:tcW w:w="661" w:type="dxa"/>
            <w:tcBorders>
              <w:top w:val="nil"/>
              <w:left w:val="nil"/>
              <w:bottom w:val="nil"/>
              <w:right w:val="single" w:color="auto" w:sz="4" w:space="0"/>
            </w:tcBorders>
          </w:tcPr>
          <w:p w:rsidRPr="00614894" w:rsidR="00D94777" w:rsidP="003234BB" w:rsidRDefault="00D94777" w14:paraId="2018729D" w14:textId="77777777">
            <w:pPr>
              <w:spacing w:after="0" w:line="240" w:lineRule="auto"/>
              <w:rPr>
                <w:rFonts w:eastAsia="Times New Roman" w:cs="Arial"/>
                <w:b/>
                <w:bCs/>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4894" w:rsidR="00D94777" w:rsidP="003234BB" w:rsidRDefault="00D94777" w14:paraId="7DF2BB14" w14:textId="0A37F757">
            <w:pPr>
              <w:spacing w:after="0" w:line="240" w:lineRule="auto"/>
              <w:rPr>
                <w:rFonts w:eastAsia="Times New Roman" w:cs="Arial"/>
                <w:b/>
                <w:bCs/>
                <w:sz w:val="20"/>
                <w:szCs w:val="20"/>
                <w:highlight w:val="yellow"/>
                <w:lang w:eastAsia="en-GB"/>
              </w:rPr>
            </w:pPr>
            <w:r w:rsidRPr="00752863">
              <w:rPr>
                <w:rFonts w:eastAsia="Times New Roman" w:cs="Arial"/>
                <w:b/>
                <w:bCs/>
                <w:sz w:val="20"/>
                <w:szCs w:val="20"/>
                <w:lang w:eastAsia="en-GB"/>
              </w:rPr>
              <w:t>Long Term Non-Current Assets</w:t>
            </w:r>
          </w:p>
        </w:tc>
        <w:tc>
          <w:tcPr>
            <w:tcW w:w="1417" w:type="dxa"/>
            <w:tcBorders>
              <w:top w:val="nil"/>
              <w:left w:val="single" w:color="auto" w:sz="4" w:space="0"/>
              <w:bottom w:val="nil"/>
              <w:right w:val="single" w:color="auto" w:sz="4" w:space="0"/>
            </w:tcBorders>
            <w:shd w:val="clear" w:color="auto" w:fill="auto"/>
            <w:noWrap/>
            <w:vAlign w:val="bottom"/>
            <w:hideMark/>
          </w:tcPr>
          <w:p w:rsidRPr="00614894" w:rsidR="00D94777" w:rsidP="003234BB" w:rsidRDefault="00D94777" w14:paraId="69BBD246" w14:textId="77777777">
            <w:pPr>
              <w:spacing w:after="0" w:line="240" w:lineRule="auto"/>
              <w:rPr>
                <w:rFonts w:eastAsia="Times New Roman" w:cs="Arial"/>
                <w:color w:val="000000"/>
                <w:sz w:val="20"/>
                <w:szCs w:val="20"/>
                <w:highlight w:val="yellow"/>
                <w:lang w:eastAsia="en-GB"/>
              </w:rPr>
            </w:pPr>
            <w:r w:rsidRPr="00752863">
              <w:rPr>
                <w:rFonts w:eastAsia="Times New Roman" w:cs="Arial"/>
                <w:color w:val="000000"/>
                <w:sz w:val="20"/>
                <w:szCs w:val="20"/>
                <w:lang w:eastAsia="en-GB"/>
              </w:rPr>
              <w:t> </w:t>
            </w:r>
          </w:p>
        </w:tc>
      </w:tr>
      <w:tr w:rsidRPr="00614894" w:rsidR="00D94777" w:rsidTr="003520A9" w14:paraId="40E5DE3E"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752863" w:rsidR="00D94777" w:rsidP="003234BB" w:rsidRDefault="00752863" w14:paraId="4AA0D054" w14:textId="5A9CFE72">
            <w:pPr>
              <w:spacing w:after="0" w:line="240" w:lineRule="auto"/>
              <w:jc w:val="right"/>
              <w:rPr>
                <w:rFonts w:eastAsia="Times New Roman" w:cs="Arial"/>
                <w:color w:val="000000"/>
                <w:sz w:val="20"/>
                <w:szCs w:val="20"/>
                <w:lang w:eastAsia="en-GB"/>
              </w:rPr>
            </w:pPr>
            <w:r w:rsidRPr="00752863">
              <w:rPr>
                <w:rFonts w:eastAsia="Times New Roman" w:cs="Arial"/>
                <w:color w:val="000000"/>
                <w:sz w:val="20"/>
                <w:szCs w:val="20"/>
                <w:lang w:eastAsia="en-GB"/>
              </w:rPr>
              <w:t>0</w:t>
            </w:r>
          </w:p>
        </w:tc>
        <w:tc>
          <w:tcPr>
            <w:tcW w:w="661" w:type="dxa"/>
            <w:tcBorders>
              <w:top w:val="nil"/>
              <w:left w:val="nil"/>
              <w:bottom w:val="nil"/>
              <w:right w:val="single" w:color="auto" w:sz="4" w:space="0"/>
            </w:tcBorders>
          </w:tcPr>
          <w:p w:rsidRPr="00614894" w:rsidR="00D94777" w:rsidP="005736F9" w:rsidRDefault="00D94777" w14:paraId="28492458" w14:textId="5F4B470B">
            <w:pPr>
              <w:spacing w:after="0" w:line="240" w:lineRule="auto"/>
              <w:jc w:val="center"/>
              <w:rPr>
                <w:rFonts w:eastAsia="Times New Roman" w:cs="Arial"/>
                <w:color w:val="000000"/>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752863" w:rsidR="00D94777" w:rsidP="003234BB" w:rsidRDefault="00D94777" w14:paraId="1664F1E5" w14:textId="64F1B8BD">
            <w:pPr>
              <w:spacing w:after="0" w:line="240" w:lineRule="auto"/>
              <w:rPr>
                <w:rFonts w:eastAsia="Times New Roman" w:cs="Arial"/>
                <w:color w:val="000000"/>
                <w:sz w:val="20"/>
                <w:szCs w:val="20"/>
                <w:lang w:eastAsia="en-GB"/>
              </w:rPr>
            </w:pPr>
            <w:r w:rsidRPr="00752863">
              <w:rPr>
                <w:rFonts w:eastAsia="Times New Roman" w:cs="Arial"/>
                <w:color w:val="000000"/>
                <w:sz w:val="20"/>
                <w:szCs w:val="20"/>
                <w:lang w:eastAsia="en-GB"/>
              </w:rPr>
              <w:t>Property, Plant and Equipment</w:t>
            </w:r>
          </w:p>
        </w:tc>
        <w:tc>
          <w:tcPr>
            <w:tcW w:w="1417" w:type="dxa"/>
            <w:tcBorders>
              <w:top w:val="nil"/>
              <w:left w:val="single" w:color="auto" w:sz="4" w:space="0"/>
              <w:bottom w:val="nil"/>
              <w:right w:val="single" w:color="auto" w:sz="4" w:space="0"/>
            </w:tcBorders>
            <w:shd w:val="clear" w:color="auto" w:fill="auto"/>
            <w:noWrap/>
            <w:vAlign w:val="bottom"/>
          </w:tcPr>
          <w:p w:rsidRPr="00752863" w:rsidR="00D94777" w:rsidP="003234BB" w:rsidRDefault="00752863" w14:paraId="64342E6C" w14:textId="2F9479DB">
            <w:pPr>
              <w:spacing w:after="0" w:line="240" w:lineRule="auto"/>
              <w:jc w:val="right"/>
              <w:rPr>
                <w:rFonts w:eastAsia="Times New Roman" w:cs="Arial"/>
                <w:color w:val="000000"/>
                <w:sz w:val="20"/>
                <w:szCs w:val="20"/>
                <w:lang w:eastAsia="en-GB"/>
              </w:rPr>
            </w:pPr>
            <w:r w:rsidRPr="00752863">
              <w:rPr>
                <w:rFonts w:eastAsia="Times New Roman" w:cs="Arial"/>
                <w:color w:val="000000"/>
                <w:sz w:val="20"/>
                <w:szCs w:val="20"/>
                <w:lang w:eastAsia="en-GB"/>
              </w:rPr>
              <w:t>0</w:t>
            </w:r>
          </w:p>
        </w:tc>
      </w:tr>
      <w:tr w:rsidRPr="00614894" w:rsidR="00D94777" w:rsidTr="003520A9" w14:paraId="027686AE" w14:textId="77777777">
        <w:trPr>
          <w:trHeight w:val="255"/>
        </w:trPr>
        <w:tc>
          <w:tcPr>
            <w:tcW w:w="1320" w:type="dxa"/>
            <w:tcBorders>
              <w:top w:val="nil"/>
              <w:left w:val="single" w:color="auto" w:sz="4" w:space="0"/>
              <w:bottom w:val="nil"/>
              <w:right w:val="single" w:color="auto" w:sz="4" w:space="0"/>
            </w:tcBorders>
            <w:shd w:val="clear" w:color="auto" w:fill="auto"/>
            <w:noWrap/>
            <w:vAlign w:val="bottom"/>
          </w:tcPr>
          <w:p w:rsidRPr="00752863" w:rsidR="00D94777" w:rsidP="003234BB" w:rsidRDefault="00752863" w14:paraId="4D8BD7C6" w14:textId="0AF7CE49">
            <w:pPr>
              <w:spacing w:after="0" w:line="240" w:lineRule="auto"/>
              <w:jc w:val="right"/>
              <w:rPr>
                <w:rFonts w:eastAsia="Times New Roman" w:cs="Arial"/>
                <w:color w:val="000000"/>
                <w:sz w:val="20"/>
                <w:szCs w:val="20"/>
                <w:lang w:eastAsia="en-GB"/>
              </w:rPr>
            </w:pPr>
            <w:r w:rsidRPr="00752863">
              <w:rPr>
                <w:rFonts w:eastAsia="Times New Roman" w:cs="Arial"/>
                <w:color w:val="000000"/>
                <w:sz w:val="20"/>
                <w:szCs w:val="20"/>
                <w:lang w:eastAsia="en-GB"/>
              </w:rPr>
              <w:t>0</w:t>
            </w:r>
          </w:p>
        </w:tc>
        <w:tc>
          <w:tcPr>
            <w:tcW w:w="661" w:type="dxa"/>
            <w:tcBorders>
              <w:top w:val="nil"/>
              <w:left w:val="nil"/>
              <w:bottom w:val="nil"/>
              <w:right w:val="single" w:color="auto" w:sz="4" w:space="0"/>
            </w:tcBorders>
          </w:tcPr>
          <w:p w:rsidRPr="00614894" w:rsidR="00D94777" w:rsidP="005736F9" w:rsidRDefault="00D94777" w14:paraId="4DE160E8" w14:textId="38FE0987">
            <w:pPr>
              <w:spacing w:after="0" w:line="240" w:lineRule="auto"/>
              <w:jc w:val="center"/>
              <w:rPr>
                <w:rFonts w:eastAsia="Times New Roman" w:cs="Arial"/>
                <w:color w:val="000000"/>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tcPr>
          <w:p w:rsidRPr="00752863" w:rsidR="00D94777" w:rsidP="003234BB" w:rsidRDefault="00D94777" w14:paraId="08E1AC50" w14:textId="19041D36">
            <w:pPr>
              <w:spacing w:after="0" w:line="240" w:lineRule="auto"/>
              <w:rPr>
                <w:rFonts w:eastAsia="Times New Roman" w:cs="Arial"/>
                <w:color w:val="000000"/>
                <w:sz w:val="20"/>
                <w:szCs w:val="20"/>
                <w:lang w:eastAsia="en-GB"/>
              </w:rPr>
            </w:pPr>
            <w:r w:rsidRPr="00752863">
              <w:rPr>
                <w:rFonts w:eastAsia="Times New Roman" w:cs="Arial"/>
                <w:color w:val="000000"/>
                <w:sz w:val="20"/>
                <w:szCs w:val="20"/>
                <w:lang w:eastAsia="en-GB"/>
              </w:rPr>
              <w:t>Intangible Assets</w:t>
            </w:r>
          </w:p>
        </w:tc>
        <w:tc>
          <w:tcPr>
            <w:tcW w:w="1417" w:type="dxa"/>
            <w:tcBorders>
              <w:top w:val="nil"/>
              <w:left w:val="single" w:color="auto" w:sz="4" w:space="0"/>
              <w:bottom w:val="nil"/>
              <w:right w:val="single" w:color="auto" w:sz="4" w:space="0"/>
            </w:tcBorders>
            <w:shd w:val="clear" w:color="auto" w:fill="auto"/>
            <w:noWrap/>
            <w:vAlign w:val="bottom"/>
          </w:tcPr>
          <w:p w:rsidRPr="00752863" w:rsidR="00D94777" w:rsidP="003234BB" w:rsidRDefault="00392716" w14:paraId="0503EBB7" w14:textId="5341A751">
            <w:pPr>
              <w:spacing w:after="0" w:line="240" w:lineRule="auto"/>
              <w:jc w:val="right"/>
              <w:rPr>
                <w:rFonts w:eastAsia="Times New Roman" w:cs="Arial"/>
                <w:color w:val="000000"/>
                <w:sz w:val="20"/>
                <w:szCs w:val="20"/>
                <w:lang w:eastAsia="en-GB"/>
              </w:rPr>
            </w:pPr>
            <w:r w:rsidRPr="00752863">
              <w:rPr>
                <w:rFonts w:eastAsia="Times New Roman" w:cs="Arial"/>
                <w:color w:val="000000"/>
                <w:sz w:val="20"/>
                <w:szCs w:val="20"/>
                <w:lang w:eastAsia="en-GB"/>
              </w:rPr>
              <w:t>0</w:t>
            </w:r>
          </w:p>
        </w:tc>
      </w:tr>
      <w:tr w:rsidRPr="00614894" w:rsidR="00D94777" w:rsidTr="003520A9" w14:paraId="0967519F" w14:textId="77777777">
        <w:trPr>
          <w:trHeight w:val="255"/>
        </w:trPr>
        <w:tc>
          <w:tcPr>
            <w:tcW w:w="1320" w:type="dxa"/>
            <w:tcBorders>
              <w:top w:val="nil"/>
              <w:left w:val="single" w:color="auto" w:sz="4" w:space="0"/>
              <w:bottom w:val="single" w:color="auto" w:sz="4" w:space="0"/>
              <w:right w:val="single" w:color="auto" w:sz="4" w:space="0"/>
            </w:tcBorders>
            <w:shd w:val="clear" w:color="auto" w:fill="auto"/>
            <w:noWrap/>
            <w:vAlign w:val="bottom"/>
            <w:hideMark/>
          </w:tcPr>
          <w:p w:rsidRPr="00752863" w:rsidR="00D94777" w:rsidP="003234BB" w:rsidRDefault="00752863" w14:paraId="1819615C" w14:textId="0EF4F3D1">
            <w:pPr>
              <w:spacing w:after="0" w:line="240" w:lineRule="auto"/>
              <w:jc w:val="right"/>
              <w:rPr>
                <w:rFonts w:eastAsia="Times New Roman" w:cs="Arial"/>
                <w:color w:val="000000"/>
                <w:sz w:val="20"/>
                <w:szCs w:val="20"/>
                <w:lang w:eastAsia="en-GB"/>
              </w:rPr>
            </w:pPr>
            <w:r w:rsidRPr="00752863">
              <w:rPr>
                <w:rFonts w:eastAsia="Times New Roman" w:cs="Arial"/>
                <w:color w:val="000000"/>
                <w:sz w:val="20"/>
                <w:szCs w:val="20"/>
                <w:lang w:eastAsia="en-GB"/>
              </w:rPr>
              <w:t>0</w:t>
            </w:r>
          </w:p>
        </w:tc>
        <w:tc>
          <w:tcPr>
            <w:tcW w:w="661" w:type="dxa"/>
            <w:tcBorders>
              <w:top w:val="nil"/>
              <w:left w:val="nil"/>
              <w:bottom w:val="nil"/>
              <w:right w:val="single" w:color="auto" w:sz="4" w:space="0"/>
            </w:tcBorders>
          </w:tcPr>
          <w:p w:rsidRPr="00614894" w:rsidR="00D94777" w:rsidP="005736F9" w:rsidRDefault="00D94777" w14:paraId="35C60706" w14:textId="77777777">
            <w:pPr>
              <w:spacing w:after="0" w:line="240" w:lineRule="auto"/>
              <w:jc w:val="center"/>
              <w:rPr>
                <w:rFonts w:eastAsia="Times New Roman" w:cs="Arial"/>
                <w:color w:val="000000"/>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752863" w:rsidR="00D94777" w:rsidP="003234BB" w:rsidRDefault="00D94777" w14:paraId="20B8B6FB" w14:textId="5A4F7846">
            <w:pPr>
              <w:spacing w:after="0" w:line="240" w:lineRule="auto"/>
              <w:rPr>
                <w:rFonts w:eastAsia="Times New Roman" w:cs="Arial"/>
                <w:color w:val="000000"/>
                <w:sz w:val="20"/>
                <w:szCs w:val="20"/>
                <w:lang w:eastAsia="en-GB"/>
              </w:rPr>
            </w:pPr>
            <w:r w:rsidRPr="00752863">
              <w:rPr>
                <w:rFonts w:eastAsia="Times New Roman" w:cs="Arial"/>
                <w:color w:val="000000"/>
                <w:sz w:val="20"/>
                <w:szCs w:val="20"/>
                <w:lang w:eastAsia="en-GB"/>
              </w:rPr>
              <w:t>Long Term Debtors</w:t>
            </w:r>
          </w:p>
        </w:tc>
        <w:tc>
          <w:tcPr>
            <w:tcW w:w="1417" w:type="dxa"/>
            <w:tcBorders>
              <w:top w:val="nil"/>
              <w:left w:val="single" w:color="auto" w:sz="4" w:space="0"/>
              <w:bottom w:val="single" w:color="auto" w:sz="4" w:space="0"/>
              <w:right w:val="single" w:color="auto" w:sz="4" w:space="0"/>
            </w:tcBorders>
            <w:shd w:val="clear" w:color="auto" w:fill="auto"/>
            <w:noWrap/>
            <w:vAlign w:val="bottom"/>
          </w:tcPr>
          <w:p w:rsidRPr="00752863" w:rsidR="00D94777" w:rsidP="003234BB" w:rsidRDefault="00D94777" w14:paraId="4F6FA705" w14:textId="77777777">
            <w:pPr>
              <w:spacing w:after="0" w:line="240" w:lineRule="auto"/>
              <w:jc w:val="right"/>
              <w:rPr>
                <w:rFonts w:eastAsia="Times New Roman" w:cs="Arial"/>
                <w:color w:val="000000"/>
                <w:sz w:val="20"/>
                <w:szCs w:val="20"/>
                <w:lang w:eastAsia="en-GB"/>
              </w:rPr>
            </w:pPr>
            <w:r w:rsidRPr="00752863">
              <w:rPr>
                <w:rFonts w:eastAsia="Times New Roman" w:cs="Arial"/>
                <w:color w:val="000000"/>
                <w:sz w:val="20"/>
                <w:szCs w:val="20"/>
                <w:lang w:eastAsia="en-GB"/>
              </w:rPr>
              <w:t>0</w:t>
            </w:r>
          </w:p>
        </w:tc>
      </w:tr>
      <w:tr w:rsidRPr="00614894" w:rsidR="00D94777" w:rsidTr="003520A9" w14:paraId="27AFFB39" w14:textId="77777777">
        <w:trPr>
          <w:trHeight w:val="255"/>
        </w:trPr>
        <w:tc>
          <w:tcPr>
            <w:tcW w:w="1320" w:type="dxa"/>
            <w:tcBorders>
              <w:top w:val="single" w:color="auto" w:sz="4" w:space="0"/>
              <w:left w:val="single" w:color="auto" w:sz="4" w:space="0"/>
              <w:right w:val="single" w:color="auto" w:sz="4" w:space="0"/>
            </w:tcBorders>
            <w:shd w:val="clear" w:color="auto" w:fill="auto"/>
            <w:noWrap/>
            <w:vAlign w:val="bottom"/>
            <w:hideMark/>
          </w:tcPr>
          <w:p w:rsidRPr="00752863" w:rsidR="00D94777" w:rsidP="003234BB" w:rsidRDefault="00752863" w14:paraId="5BB2FC54" w14:textId="23B0754C">
            <w:pPr>
              <w:spacing w:after="0" w:line="240" w:lineRule="auto"/>
              <w:jc w:val="right"/>
              <w:rPr>
                <w:rFonts w:eastAsia="Times New Roman" w:cs="Arial"/>
                <w:b/>
                <w:bCs/>
                <w:color w:val="000000"/>
                <w:sz w:val="20"/>
                <w:szCs w:val="20"/>
                <w:lang w:eastAsia="en-GB"/>
              </w:rPr>
            </w:pPr>
            <w:r w:rsidRPr="00752863">
              <w:rPr>
                <w:rFonts w:eastAsia="Times New Roman" w:cs="Arial"/>
                <w:b/>
                <w:bCs/>
                <w:color w:val="000000"/>
                <w:sz w:val="20"/>
                <w:szCs w:val="20"/>
                <w:lang w:eastAsia="en-GB"/>
              </w:rPr>
              <w:t>0</w:t>
            </w:r>
          </w:p>
        </w:tc>
        <w:tc>
          <w:tcPr>
            <w:tcW w:w="661" w:type="dxa"/>
            <w:tcBorders>
              <w:top w:val="nil"/>
              <w:left w:val="nil"/>
              <w:right w:val="single" w:color="auto" w:sz="4" w:space="0"/>
            </w:tcBorders>
          </w:tcPr>
          <w:p w:rsidRPr="00614894" w:rsidR="00D94777" w:rsidP="005736F9" w:rsidRDefault="00D94777" w14:paraId="1A8F7A64" w14:textId="77777777">
            <w:pPr>
              <w:spacing w:after="0" w:line="240" w:lineRule="auto"/>
              <w:jc w:val="center"/>
              <w:rPr>
                <w:rFonts w:eastAsia="Times New Roman" w:cs="Arial"/>
                <w:b/>
                <w:bCs/>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752863" w:rsidR="00D94777" w:rsidP="003234BB" w:rsidRDefault="00D94777" w14:paraId="7C870BDD" w14:textId="090832BF">
            <w:pPr>
              <w:spacing w:after="0" w:line="240" w:lineRule="auto"/>
              <w:rPr>
                <w:rFonts w:eastAsia="Times New Roman" w:cs="Arial"/>
                <w:b/>
                <w:bCs/>
                <w:sz w:val="20"/>
                <w:szCs w:val="20"/>
                <w:lang w:eastAsia="en-GB"/>
              </w:rPr>
            </w:pPr>
            <w:r w:rsidRPr="00752863">
              <w:rPr>
                <w:rFonts w:eastAsia="Times New Roman" w:cs="Arial"/>
                <w:b/>
                <w:bCs/>
                <w:sz w:val="20"/>
                <w:szCs w:val="20"/>
                <w:lang w:eastAsia="en-GB"/>
              </w:rPr>
              <w:t>Total Non-Current Assets</w:t>
            </w:r>
          </w:p>
        </w:tc>
        <w:tc>
          <w:tcPr>
            <w:tcW w:w="1417" w:type="dxa"/>
            <w:tcBorders>
              <w:top w:val="single" w:color="auto" w:sz="4" w:space="0"/>
              <w:left w:val="single" w:color="auto" w:sz="4" w:space="0"/>
              <w:bottom w:val="nil"/>
              <w:right w:val="single" w:color="auto" w:sz="4" w:space="0"/>
            </w:tcBorders>
            <w:shd w:val="clear" w:color="auto" w:fill="auto"/>
            <w:noWrap/>
            <w:vAlign w:val="bottom"/>
          </w:tcPr>
          <w:p w:rsidRPr="00752863" w:rsidR="00D94777" w:rsidP="003234BB" w:rsidRDefault="00752863" w14:paraId="7DF47EC3" w14:textId="269D2269">
            <w:pPr>
              <w:spacing w:after="0" w:line="240" w:lineRule="auto"/>
              <w:jc w:val="right"/>
              <w:rPr>
                <w:rFonts w:eastAsia="Times New Roman" w:cs="Arial"/>
                <w:b/>
                <w:bCs/>
                <w:color w:val="000000"/>
                <w:sz w:val="20"/>
                <w:szCs w:val="20"/>
                <w:lang w:eastAsia="en-GB"/>
              </w:rPr>
            </w:pPr>
            <w:r w:rsidRPr="00752863">
              <w:rPr>
                <w:rFonts w:eastAsia="Times New Roman" w:cs="Arial"/>
                <w:b/>
                <w:bCs/>
                <w:color w:val="000000"/>
                <w:sz w:val="20"/>
                <w:szCs w:val="20"/>
                <w:lang w:eastAsia="en-GB"/>
              </w:rPr>
              <w:t>0</w:t>
            </w:r>
          </w:p>
        </w:tc>
      </w:tr>
      <w:tr w:rsidRPr="00614894" w:rsidR="00D94777" w:rsidTr="003520A9" w14:paraId="12B4B1D5" w14:textId="77777777">
        <w:trPr>
          <w:trHeight w:val="255"/>
        </w:trPr>
        <w:tc>
          <w:tcPr>
            <w:tcW w:w="1320" w:type="dxa"/>
            <w:tcBorders>
              <w:left w:val="single" w:color="auto" w:sz="4" w:space="0"/>
              <w:bottom w:val="nil"/>
              <w:right w:val="single" w:color="auto" w:sz="4" w:space="0"/>
            </w:tcBorders>
            <w:shd w:val="clear" w:color="auto" w:fill="auto"/>
            <w:noWrap/>
            <w:vAlign w:val="bottom"/>
            <w:hideMark/>
          </w:tcPr>
          <w:p w:rsidRPr="003520A9" w:rsidR="00D94777" w:rsidP="003234BB" w:rsidRDefault="00D94777" w14:paraId="25458144" w14:textId="77777777">
            <w:pPr>
              <w:spacing w:after="0" w:line="240" w:lineRule="auto"/>
              <w:rPr>
                <w:rFonts w:eastAsia="Times New Roman" w:cs="Arial"/>
                <w:color w:val="000000"/>
                <w:sz w:val="20"/>
                <w:szCs w:val="20"/>
                <w:lang w:eastAsia="en-GB"/>
              </w:rPr>
            </w:pPr>
            <w:r w:rsidRPr="003520A9">
              <w:rPr>
                <w:rFonts w:eastAsia="Times New Roman" w:cs="Arial"/>
                <w:color w:val="000000"/>
                <w:sz w:val="20"/>
                <w:szCs w:val="20"/>
                <w:lang w:eastAsia="en-GB"/>
              </w:rPr>
              <w:t> </w:t>
            </w:r>
          </w:p>
        </w:tc>
        <w:tc>
          <w:tcPr>
            <w:tcW w:w="661" w:type="dxa"/>
            <w:tcBorders>
              <w:left w:val="nil"/>
              <w:bottom w:val="nil"/>
              <w:right w:val="single" w:color="auto" w:sz="4" w:space="0"/>
            </w:tcBorders>
          </w:tcPr>
          <w:p w:rsidRPr="00614894" w:rsidR="00D94777" w:rsidP="005736F9" w:rsidRDefault="00D94777" w14:paraId="627C1900" w14:textId="77777777">
            <w:pPr>
              <w:spacing w:after="0" w:line="240" w:lineRule="auto"/>
              <w:jc w:val="center"/>
              <w:rPr>
                <w:rFonts w:eastAsia="Times New Roman" w:cs="Arial"/>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4894" w:rsidR="00D94777" w:rsidP="003234BB" w:rsidRDefault="00D94777" w14:paraId="767CD315" w14:textId="0D57203A">
            <w:pPr>
              <w:spacing w:after="0" w:line="240" w:lineRule="auto"/>
              <w:rPr>
                <w:rFonts w:eastAsia="Times New Roman" w:cs="Arial"/>
                <w:sz w:val="20"/>
                <w:szCs w:val="20"/>
                <w:highlight w:val="yellow"/>
                <w:lang w:eastAsia="en-GB"/>
              </w:rPr>
            </w:pPr>
          </w:p>
        </w:tc>
        <w:tc>
          <w:tcPr>
            <w:tcW w:w="1417" w:type="dxa"/>
            <w:tcBorders>
              <w:top w:val="nil"/>
              <w:left w:val="single" w:color="auto" w:sz="4" w:space="0"/>
              <w:bottom w:val="nil"/>
              <w:right w:val="single" w:color="auto" w:sz="4" w:space="0"/>
            </w:tcBorders>
            <w:shd w:val="clear" w:color="auto" w:fill="auto"/>
            <w:noWrap/>
            <w:vAlign w:val="bottom"/>
          </w:tcPr>
          <w:p w:rsidRPr="00614894" w:rsidR="00D94777" w:rsidP="003234BB" w:rsidRDefault="00D94777" w14:paraId="73760BEE" w14:textId="77777777">
            <w:pPr>
              <w:spacing w:after="0" w:line="240" w:lineRule="auto"/>
              <w:rPr>
                <w:rFonts w:eastAsia="Times New Roman" w:cs="Arial"/>
                <w:color w:val="000000"/>
                <w:sz w:val="20"/>
                <w:szCs w:val="20"/>
                <w:highlight w:val="yellow"/>
                <w:lang w:eastAsia="en-GB"/>
              </w:rPr>
            </w:pPr>
          </w:p>
        </w:tc>
      </w:tr>
      <w:tr w:rsidRPr="00614894" w:rsidR="00D94777" w:rsidTr="003520A9" w14:paraId="2A4C5C31"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3520A9" w:rsidR="00D94777" w:rsidP="003234BB" w:rsidRDefault="003520A9" w14:paraId="39170255" w14:textId="65913A86">
            <w:pPr>
              <w:spacing w:after="0" w:line="240" w:lineRule="auto"/>
              <w:jc w:val="right"/>
              <w:rPr>
                <w:rFonts w:eastAsia="Times New Roman" w:cs="Arial"/>
                <w:color w:val="000000"/>
                <w:sz w:val="20"/>
                <w:szCs w:val="20"/>
                <w:lang w:eastAsia="en-GB"/>
              </w:rPr>
            </w:pPr>
            <w:r w:rsidRPr="003520A9">
              <w:rPr>
                <w:rFonts w:eastAsia="Times New Roman" w:cs="Arial"/>
                <w:color w:val="000000"/>
                <w:sz w:val="20"/>
                <w:szCs w:val="20"/>
                <w:lang w:eastAsia="en-GB"/>
              </w:rPr>
              <w:t>807</w:t>
            </w:r>
          </w:p>
        </w:tc>
        <w:tc>
          <w:tcPr>
            <w:tcW w:w="661" w:type="dxa"/>
            <w:tcBorders>
              <w:top w:val="nil"/>
              <w:left w:val="nil"/>
              <w:bottom w:val="nil"/>
              <w:right w:val="single" w:color="auto" w:sz="4" w:space="0"/>
            </w:tcBorders>
          </w:tcPr>
          <w:p w:rsidRPr="00614894" w:rsidR="00D94777" w:rsidP="005736F9" w:rsidRDefault="00D94777" w14:paraId="721A66F2" w14:textId="77777777">
            <w:pPr>
              <w:spacing w:after="0" w:line="240" w:lineRule="auto"/>
              <w:jc w:val="center"/>
              <w:rPr>
                <w:rFonts w:eastAsia="Times New Roman" w:cs="Arial"/>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4894" w:rsidR="00D94777" w:rsidP="003234BB" w:rsidRDefault="00D94777" w14:paraId="42C15B6F" w14:textId="4DD7FD3A">
            <w:pPr>
              <w:spacing w:after="0" w:line="240" w:lineRule="auto"/>
              <w:rPr>
                <w:rFonts w:eastAsia="Times New Roman" w:cs="Arial"/>
                <w:sz w:val="20"/>
                <w:szCs w:val="20"/>
                <w:highlight w:val="yellow"/>
                <w:lang w:eastAsia="en-GB"/>
              </w:rPr>
            </w:pPr>
            <w:r w:rsidRPr="003520A9">
              <w:rPr>
                <w:rFonts w:eastAsia="Times New Roman" w:cs="Arial"/>
                <w:sz w:val="20"/>
                <w:szCs w:val="20"/>
                <w:lang w:eastAsia="en-GB"/>
              </w:rPr>
              <w:t>Short Term Debtors</w:t>
            </w:r>
          </w:p>
        </w:tc>
        <w:tc>
          <w:tcPr>
            <w:tcW w:w="1417" w:type="dxa"/>
            <w:tcBorders>
              <w:top w:val="nil"/>
              <w:left w:val="single" w:color="auto" w:sz="4" w:space="0"/>
              <w:bottom w:val="nil"/>
              <w:right w:val="single" w:color="auto" w:sz="4" w:space="0"/>
            </w:tcBorders>
            <w:shd w:val="clear" w:color="auto" w:fill="auto"/>
            <w:noWrap/>
            <w:vAlign w:val="bottom"/>
          </w:tcPr>
          <w:p w:rsidRPr="00614894" w:rsidR="00D94777" w:rsidP="003234BB" w:rsidRDefault="003520A9" w14:paraId="62D1EBB5" w14:textId="1FD0D52D">
            <w:pPr>
              <w:spacing w:after="0" w:line="240" w:lineRule="auto"/>
              <w:jc w:val="right"/>
              <w:rPr>
                <w:rFonts w:eastAsia="Times New Roman" w:cs="Arial"/>
                <w:color w:val="000000"/>
                <w:sz w:val="20"/>
                <w:szCs w:val="20"/>
                <w:highlight w:val="yellow"/>
                <w:lang w:eastAsia="en-GB"/>
              </w:rPr>
            </w:pPr>
            <w:r w:rsidRPr="003520A9">
              <w:rPr>
                <w:rFonts w:eastAsia="Times New Roman" w:cs="Arial"/>
                <w:color w:val="000000"/>
                <w:sz w:val="20"/>
                <w:szCs w:val="20"/>
                <w:lang w:eastAsia="en-GB"/>
              </w:rPr>
              <w:t>791</w:t>
            </w:r>
          </w:p>
        </w:tc>
      </w:tr>
      <w:tr w:rsidRPr="00614894" w:rsidR="00D94777" w:rsidTr="003520A9" w14:paraId="7996253B" w14:textId="77777777">
        <w:trPr>
          <w:trHeight w:val="255"/>
        </w:trPr>
        <w:tc>
          <w:tcPr>
            <w:tcW w:w="1320" w:type="dxa"/>
            <w:tcBorders>
              <w:top w:val="nil"/>
              <w:left w:val="single" w:color="auto" w:sz="4" w:space="0"/>
              <w:bottom w:val="nil"/>
              <w:right w:val="single" w:color="auto" w:sz="4" w:space="0"/>
            </w:tcBorders>
            <w:shd w:val="clear" w:color="auto" w:fill="auto"/>
            <w:noWrap/>
            <w:vAlign w:val="bottom"/>
          </w:tcPr>
          <w:p w:rsidRPr="003520A9" w:rsidR="00D94777" w:rsidP="003234BB" w:rsidRDefault="003520A9" w14:paraId="4E798AAF" w14:textId="2B6C8FE0">
            <w:pPr>
              <w:spacing w:after="0" w:line="240" w:lineRule="auto"/>
              <w:jc w:val="right"/>
              <w:rPr>
                <w:rFonts w:eastAsia="Times New Roman" w:cs="Arial"/>
                <w:color w:val="000000"/>
                <w:sz w:val="20"/>
                <w:szCs w:val="20"/>
                <w:lang w:eastAsia="en-GB"/>
              </w:rPr>
            </w:pPr>
            <w:r w:rsidRPr="003520A9">
              <w:rPr>
                <w:rFonts w:eastAsia="Times New Roman" w:cs="Arial"/>
                <w:color w:val="000000"/>
                <w:sz w:val="20"/>
                <w:szCs w:val="20"/>
                <w:lang w:eastAsia="en-GB"/>
              </w:rPr>
              <w:t>0</w:t>
            </w:r>
          </w:p>
        </w:tc>
        <w:tc>
          <w:tcPr>
            <w:tcW w:w="661" w:type="dxa"/>
            <w:tcBorders>
              <w:top w:val="nil"/>
              <w:left w:val="nil"/>
              <w:bottom w:val="nil"/>
              <w:right w:val="single" w:color="auto" w:sz="4" w:space="0"/>
            </w:tcBorders>
          </w:tcPr>
          <w:p w:rsidRPr="003520A9" w:rsidR="00D94777" w:rsidP="005736F9" w:rsidRDefault="00D94777" w14:paraId="766E04CD" w14:textId="77777777">
            <w:pPr>
              <w:spacing w:after="0" w:line="240" w:lineRule="auto"/>
              <w:jc w:val="center"/>
              <w:rPr>
                <w:rFonts w:eastAsia="Times New Roman" w:cs="Arial"/>
                <w:sz w:val="20"/>
                <w:szCs w:val="20"/>
                <w:lang w:eastAsia="en-GB"/>
              </w:rPr>
            </w:pPr>
          </w:p>
        </w:tc>
        <w:tc>
          <w:tcPr>
            <w:tcW w:w="5670" w:type="dxa"/>
            <w:tcBorders>
              <w:top w:val="nil"/>
              <w:left w:val="single" w:color="auto" w:sz="4" w:space="0"/>
              <w:bottom w:val="nil"/>
              <w:right w:val="single" w:color="auto" w:sz="4" w:space="0"/>
            </w:tcBorders>
            <w:shd w:val="clear" w:color="auto" w:fill="auto"/>
            <w:noWrap/>
            <w:vAlign w:val="bottom"/>
          </w:tcPr>
          <w:p w:rsidRPr="003520A9" w:rsidR="00D94777" w:rsidP="003234BB" w:rsidRDefault="00D94777" w14:paraId="27CA2EF9" w14:textId="79EC39B0">
            <w:pPr>
              <w:spacing w:after="0" w:line="240" w:lineRule="auto"/>
              <w:rPr>
                <w:rFonts w:eastAsia="Times New Roman" w:cs="Arial"/>
                <w:sz w:val="20"/>
                <w:szCs w:val="20"/>
                <w:lang w:eastAsia="en-GB"/>
              </w:rPr>
            </w:pPr>
            <w:r w:rsidRPr="003520A9">
              <w:rPr>
                <w:rFonts w:eastAsia="Times New Roman" w:cs="Arial"/>
                <w:sz w:val="20"/>
                <w:szCs w:val="20"/>
                <w:lang w:eastAsia="en-GB"/>
              </w:rPr>
              <w:t>Short Term Payment in Advance</w:t>
            </w:r>
          </w:p>
        </w:tc>
        <w:tc>
          <w:tcPr>
            <w:tcW w:w="1417" w:type="dxa"/>
            <w:tcBorders>
              <w:top w:val="nil"/>
              <w:left w:val="single" w:color="auto" w:sz="4" w:space="0"/>
              <w:bottom w:val="nil"/>
              <w:right w:val="single" w:color="auto" w:sz="4" w:space="0"/>
            </w:tcBorders>
            <w:shd w:val="clear" w:color="auto" w:fill="auto"/>
            <w:noWrap/>
            <w:vAlign w:val="bottom"/>
          </w:tcPr>
          <w:p w:rsidRPr="003520A9" w:rsidR="00D94777" w:rsidP="003234BB" w:rsidRDefault="00392716" w14:paraId="3D762C81" w14:textId="46ABC9BE">
            <w:pPr>
              <w:spacing w:after="0" w:line="240" w:lineRule="auto"/>
              <w:jc w:val="right"/>
              <w:rPr>
                <w:rFonts w:eastAsia="Times New Roman" w:cs="Arial"/>
                <w:color w:val="000000"/>
                <w:sz w:val="20"/>
                <w:szCs w:val="20"/>
                <w:lang w:eastAsia="en-GB"/>
              </w:rPr>
            </w:pPr>
            <w:r w:rsidRPr="003520A9">
              <w:rPr>
                <w:rFonts w:eastAsia="Times New Roman" w:cs="Arial"/>
                <w:color w:val="000000"/>
                <w:sz w:val="20"/>
                <w:szCs w:val="20"/>
                <w:lang w:eastAsia="en-GB"/>
              </w:rPr>
              <w:t>0</w:t>
            </w:r>
          </w:p>
        </w:tc>
      </w:tr>
      <w:tr w:rsidRPr="003520A9" w:rsidR="00D94777" w:rsidTr="003520A9" w14:paraId="4D38E9AD" w14:textId="77777777">
        <w:trPr>
          <w:trHeight w:val="255"/>
        </w:trPr>
        <w:tc>
          <w:tcPr>
            <w:tcW w:w="1320" w:type="dxa"/>
            <w:tcBorders>
              <w:top w:val="nil"/>
              <w:left w:val="single" w:color="auto" w:sz="4" w:space="0"/>
              <w:bottom w:val="single" w:color="auto" w:sz="4" w:space="0"/>
              <w:right w:val="single" w:color="auto" w:sz="4" w:space="0"/>
            </w:tcBorders>
            <w:shd w:val="clear" w:color="auto" w:fill="auto"/>
            <w:noWrap/>
            <w:vAlign w:val="bottom"/>
            <w:hideMark/>
          </w:tcPr>
          <w:p w:rsidRPr="003520A9" w:rsidR="00D94777" w:rsidP="003234BB" w:rsidRDefault="003520A9" w14:paraId="101F3682" w14:textId="71C0C1A6">
            <w:pPr>
              <w:spacing w:after="0" w:line="240" w:lineRule="auto"/>
              <w:jc w:val="right"/>
              <w:rPr>
                <w:rFonts w:eastAsia="Times New Roman" w:cs="Arial"/>
                <w:color w:val="000000"/>
                <w:sz w:val="20"/>
                <w:szCs w:val="20"/>
                <w:lang w:eastAsia="en-GB"/>
              </w:rPr>
            </w:pPr>
            <w:r w:rsidRPr="003520A9">
              <w:rPr>
                <w:rFonts w:eastAsia="Times New Roman" w:cs="Arial"/>
                <w:color w:val="000000"/>
                <w:sz w:val="20"/>
                <w:szCs w:val="20"/>
                <w:lang w:eastAsia="en-GB"/>
              </w:rPr>
              <w:t>0</w:t>
            </w:r>
          </w:p>
        </w:tc>
        <w:tc>
          <w:tcPr>
            <w:tcW w:w="661" w:type="dxa"/>
            <w:tcBorders>
              <w:top w:val="nil"/>
              <w:left w:val="nil"/>
              <w:bottom w:val="nil"/>
              <w:right w:val="single" w:color="auto" w:sz="4" w:space="0"/>
            </w:tcBorders>
          </w:tcPr>
          <w:p w:rsidRPr="003520A9" w:rsidR="00D94777" w:rsidP="005736F9" w:rsidRDefault="00D94777" w14:paraId="29C76DEC" w14:textId="77777777">
            <w:pPr>
              <w:spacing w:after="0" w:line="240" w:lineRule="auto"/>
              <w:jc w:val="center"/>
              <w:rPr>
                <w:rFonts w:eastAsia="Times New Roman" w:cs="Arial"/>
                <w:sz w:val="20"/>
                <w:szCs w:val="20"/>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3520A9" w:rsidR="00D94777" w:rsidP="003234BB" w:rsidRDefault="00D94777" w14:paraId="187AC643" w14:textId="75BB3404">
            <w:pPr>
              <w:spacing w:after="0" w:line="240" w:lineRule="auto"/>
              <w:rPr>
                <w:rFonts w:eastAsia="Times New Roman" w:cs="Arial"/>
                <w:sz w:val="20"/>
                <w:szCs w:val="20"/>
                <w:lang w:eastAsia="en-GB"/>
              </w:rPr>
            </w:pPr>
            <w:r w:rsidRPr="003520A9">
              <w:rPr>
                <w:rFonts w:eastAsia="Times New Roman" w:cs="Arial"/>
                <w:sz w:val="20"/>
                <w:szCs w:val="20"/>
                <w:lang w:eastAsia="en-GB"/>
              </w:rPr>
              <w:t>Short Term Debtors Cash Owing from Host Authority</w:t>
            </w:r>
          </w:p>
        </w:tc>
        <w:tc>
          <w:tcPr>
            <w:tcW w:w="1417" w:type="dxa"/>
            <w:tcBorders>
              <w:top w:val="nil"/>
              <w:left w:val="single" w:color="auto" w:sz="4" w:space="0"/>
              <w:bottom w:val="single" w:color="auto" w:sz="4" w:space="0"/>
              <w:right w:val="single" w:color="auto" w:sz="4" w:space="0"/>
            </w:tcBorders>
            <w:shd w:val="clear" w:color="auto" w:fill="auto"/>
            <w:noWrap/>
            <w:vAlign w:val="bottom"/>
          </w:tcPr>
          <w:p w:rsidRPr="003520A9" w:rsidR="00D94777" w:rsidP="003234BB" w:rsidRDefault="003520A9" w14:paraId="6A04979A" w14:textId="4D3938E9">
            <w:pPr>
              <w:spacing w:after="0" w:line="240" w:lineRule="auto"/>
              <w:jc w:val="right"/>
              <w:rPr>
                <w:rFonts w:eastAsia="Times New Roman" w:cs="Arial"/>
                <w:color w:val="000000"/>
                <w:sz w:val="20"/>
                <w:szCs w:val="20"/>
                <w:lang w:eastAsia="en-GB"/>
              </w:rPr>
            </w:pPr>
            <w:r w:rsidRPr="003520A9">
              <w:rPr>
                <w:rFonts w:eastAsia="Times New Roman" w:cs="Arial"/>
                <w:color w:val="000000"/>
                <w:sz w:val="20"/>
                <w:szCs w:val="20"/>
                <w:lang w:eastAsia="en-GB"/>
              </w:rPr>
              <w:t>0</w:t>
            </w:r>
          </w:p>
        </w:tc>
      </w:tr>
      <w:tr w:rsidRPr="00614894" w:rsidR="00D94777" w:rsidTr="003520A9" w14:paraId="375C2F04"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4894" w:rsidR="00D94777" w:rsidP="003234BB" w:rsidRDefault="003520A9" w14:paraId="1B697FEB" w14:textId="77185CDD">
            <w:pPr>
              <w:spacing w:after="0" w:line="240" w:lineRule="auto"/>
              <w:jc w:val="right"/>
              <w:rPr>
                <w:rFonts w:eastAsia="Times New Roman" w:cs="Arial"/>
                <w:b/>
                <w:bCs/>
                <w:color w:val="000000"/>
                <w:sz w:val="20"/>
                <w:szCs w:val="20"/>
                <w:highlight w:val="yellow"/>
                <w:lang w:eastAsia="en-GB"/>
              </w:rPr>
            </w:pPr>
            <w:r w:rsidRPr="003520A9">
              <w:rPr>
                <w:rFonts w:eastAsia="Times New Roman" w:cs="Arial"/>
                <w:b/>
                <w:bCs/>
                <w:color w:val="000000"/>
                <w:sz w:val="20"/>
                <w:szCs w:val="20"/>
                <w:lang w:eastAsia="en-GB"/>
              </w:rPr>
              <w:t>807</w:t>
            </w:r>
          </w:p>
        </w:tc>
        <w:tc>
          <w:tcPr>
            <w:tcW w:w="661" w:type="dxa"/>
            <w:tcBorders>
              <w:top w:val="nil"/>
              <w:left w:val="nil"/>
              <w:bottom w:val="nil"/>
              <w:right w:val="single" w:color="auto" w:sz="4" w:space="0"/>
            </w:tcBorders>
          </w:tcPr>
          <w:p w:rsidRPr="00614894" w:rsidR="00D94777" w:rsidP="005736F9" w:rsidRDefault="00445BBB" w14:paraId="7DD3409C" w14:textId="28E15E4F">
            <w:pPr>
              <w:spacing w:after="0" w:line="240" w:lineRule="auto"/>
              <w:jc w:val="center"/>
              <w:rPr>
                <w:rFonts w:eastAsia="Times New Roman" w:cs="Arial"/>
                <w:bCs/>
                <w:sz w:val="20"/>
                <w:szCs w:val="20"/>
                <w:highlight w:val="yellow"/>
                <w:lang w:eastAsia="en-GB"/>
              </w:rPr>
            </w:pPr>
            <w:r w:rsidRPr="00445BBB">
              <w:rPr>
                <w:rFonts w:eastAsia="Times New Roman" w:cs="Arial"/>
                <w:bCs/>
                <w:sz w:val="20"/>
                <w:szCs w:val="20"/>
                <w:lang w:eastAsia="en-GB"/>
              </w:rPr>
              <w:t>13</w:t>
            </w:r>
          </w:p>
        </w:tc>
        <w:tc>
          <w:tcPr>
            <w:tcW w:w="5670" w:type="dxa"/>
            <w:tcBorders>
              <w:top w:val="nil"/>
              <w:left w:val="single" w:color="auto" w:sz="4" w:space="0"/>
              <w:bottom w:val="nil"/>
              <w:right w:val="single" w:color="auto" w:sz="4" w:space="0"/>
            </w:tcBorders>
            <w:shd w:val="clear" w:color="auto" w:fill="auto"/>
            <w:noWrap/>
            <w:vAlign w:val="bottom"/>
            <w:hideMark/>
          </w:tcPr>
          <w:p w:rsidRPr="003520A9" w:rsidR="00D94777" w:rsidP="003234BB" w:rsidRDefault="00D94777" w14:paraId="395D2DB1" w14:textId="62D0C2EF">
            <w:pPr>
              <w:spacing w:after="0" w:line="240" w:lineRule="auto"/>
              <w:rPr>
                <w:rFonts w:eastAsia="Times New Roman" w:cs="Arial"/>
                <w:b/>
                <w:bCs/>
                <w:sz w:val="20"/>
                <w:szCs w:val="20"/>
                <w:lang w:eastAsia="en-GB"/>
              </w:rPr>
            </w:pPr>
            <w:r w:rsidRPr="003520A9">
              <w:rPr>
                <w:rFonts w:eastAsia="Times New Roman" w:cs="Arial"/>
                <w:b/>
                <w:bCs/>
                <w:sz w:val="20"/>
                <w:szCs w:val="20"/>
                <w:lang w:eastAsia="en-GB"/>
              </w:rPr>
              <w:t>Current Assets</w:t>
            </w:r>
          </w:p>
        </w:tc>
        <w:tc>
          <w:tcPr>
            <w:tcW w:w="1417" w:type="dxa"/>
            <w:tcBorders>
              <w:top w:val="nil"/>
              <w:left w:val="single" w:color="auto" w:sz="4" w:space="0"/>
              <w:bottom w:val="nil"/>
              <w:right w:val="single" w:color="auto" w:sz="4" w:space="0"/>
            </w:tcBorders>
            <w:shd w:val="clear" w:color="auto" w:fill="auto"/>
            <w:noWrap/>
            <w:vAlign w:val="bottom"/>
          </w:tcPr>
          <w:p w:rsidRPr="003520A9" w:rsidR="00D94777" w:rsidP="003234BB" w:rsidRDefault="00612819" w14:paraId="37EA6CC9" w14:textId="0E13E888">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791</w:t>
            </w:r>
          </w:p>
        </w:tc>
      </w:tr>
      <w:tr w:rsidRPr="00614894" w:rsidR="00D94777" w:rsidTr="003520A9" w14:paraId="0EEA28FB"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4894" w:rsidR="00D94777" w:rsidP="003234BB" w:rsidRDefault="00D94777" w14:paraId="668477AE" w14:textId="77777777">
            <w:pPr>
              <w:spacing w:after="0" w:line="240" w:lineRule="auto"/>
              <w:rPr>
                <w:rFonts w:eastAsia="Times New Roman" w:cs="Arial"/>
                <w:b/>
                <w:bCs/>
                <w:color w:val="000000"/>
                <w:sz w:val="20"/>
                <w:szCs w:val="20"/>
                <w:highlight w:val="yellow"/>
                <w:lang w:eastAsia="en-GB"/>
              </w:rPr>
            </w:pPr>
            <w:r w:rsidRPr="003520A9">
              <w:rPr>
                <w:rFonts w:eastAsia="Times New Roman" w:cs="Arial"/>
                <w:b/>
                <w:bCs/>
                <w:color w:val="000000"/>
                <w:sz w:val="20"/>
                <w:szCs w:val="20"/>
                <w:lang w:eastAsia="en-GB"/>
              </w:rPr>
              <w:t> </w:t>
            </w:r>
          </w:p>
        </w:tc>
        <w:tc>
          <w:tcPr>
            <w:tcW w:w="661" w:type="dxa"/>
            <w:tcBorders>
              <w:top w:val="nil"/>
              <w:left w:val="nil"/>
              <w:bottom w:val="nil"/>
              <w:right w:val="single" w:color="auto" w:sz="4" w:space="0"/>
            </w:tcBorders>
          </w:tcPr>
          <w:p w:rsidRPr="00614894" w:rsidR="00D94777" w:rsidP="005736F9" w:rsidRDefault="00D94777" w14:paraId="5C1C21A4" w14:textId="77777777">
            <w:pPr>
              <w:spacing w:after="0" w:line="240" w:lineRule="auto"/>
              <w:jc w:val="center"/>
              <w:rPr>
                <w:rFonts w:eastAsia="Times New Roman" w:cs="Arial"/>
                <w:bCs/>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4894" w:rsidR="00D94777" w:rsidP="003234BB" w:rsidRDefault="00D94777" w14:paraId="02F03624" w14:textId="2C628F31">
            <w:pPr>
              <w:spacing w:after="0" w:line="240" w:lineRule="auto"/>
              <w:rPr>
                <w:rFonts w:eastAsia="Times New Roman" w:cs="Arial"/>
                <w:b/>
                <w:bCs/>
                <w:sz w:val="20"/>
                <w:szCs w:val="20"/>
                <w:highlight w:val="yellow"/>
                <w:lang w:eastAsia="en-GB"/>
              </w:rPr>
            </w:pPr>
          </w:p>
        </w:tc>
        <w:tc>
          <w:tcPr>
            <w:tcW w:w="1417" w:type="dxa"/>
            <w:tcBorders>
              <w:top w:val="nil"/>
              <w:left w:val="single" w:color="auto" w:sz="4" w:space="0"/>
              <w:bottom w:val="nil"/>
              <w:right w:val="single" w:color="auto" w:sz="4" w:space="0"/>
            </w:tcBorders>
            <w:shd w:val="clear" w:color="auto" w:fill="auto"/>
            <w:noWrap/>
            <w:vAlign w:val="bottom"/>
          </w:tcPr>
          <w:p w:rsidRPr="00614894" w:rsidR="00D94777" w:rsidP="003234BB" w:rsidRDefault="00D94777" w14:paraId="105E5B88" w14:textId="77777777">
            <w:pPr>
              <w:spacing w:after="0" w:line="240" w:lineRule="auto"/>
              <w:rPr>
                <w:rFonts w:eastAsia="Times New Roman" w:cs="Arial"/>
                <w:b/>
                <w:bCs/>
                <w:color w:val="000000"/>
                <w:sz w:val="20"/>
                <w:szCs w:val="20"/>
                <w:highlight w:val="yellow"/>
                <w:lang w:eastAsia="en-GB"/>
              </w:rPr>
            </w:pPr>
          </w:p>
        </w:tc>
      </w:tr>
      <w:tr w:rsidRPr="00614894" w:rsidR="003520A9" w:rsidTr="003520A9" w14:paraId="389B9D3A" w14:textId="77777777">
        <w:trPr>
          <w:trHeight w:val="255"/>
        </w:trPr>
        <w:tc>
          <w:tcPr>
            <w:tcW w:w="1320" w:type="dxa"/>
            <w:tcBorders>
              <w:top w:val="nil"/>
              <w:left w:val="single" w:color="auto" w:sz="4" w:space="0"/>
              <w:bottom w:val="nil"/>
              <w:right w:val="single" w:color="auto" w:sz="4" w:space="0"/>
            </w:tcBorders>
            <w:shd w:val="clear" w:color="auto" w:fill="auto"/>
            <w:noWrap/>
            <w:vAlign w:val="bottom"/>
          </w:tcPr>
          <w:p w:rsidRPr="003520A9" w:rsidR="003520A9" w:rsidP="003520A9" w:rsidRDefault="003520A9" w14:paraId="2A66CED9" w14:textId="4DC7A375">
            <w:pPr>
              <w:spacing w:after="0" w:line="240" w:lineRule="auto"/>
              <w:jc w:val="right"/>
              <w:rPr>
                <w:rFonts w:eastAsia="Times New Roman" w:cs="Arial"/>
                <w:color w:val="000000"/>
                <w:sz w:val="20"/>
                <w:szCs w:val="20"/>
                <w:lang w:eastAsia="en-GB"/>
              </w:rPr>
            </w:pPr>
            <w:r w:rsidRPr="003520A9">
              <w:rPr>
                <w:rFonts w:eastAsia="Times New Roman" w:cs="Arial"/>
                <w:color w:val="000000"/>
                <w:sz w:val="20"/>
                <w:szCs w:val="20"/>
                <w:lang w:eastAsia="en-GB"/>
              </w:rPr>
              <w:t>(399)</w:t>
            </w:r>
          </w:p>
        </w:tc>
        <w:tc>
          <w:tcPr>
            <w:tcW w:w="661" w:type="dxa"/>
            <w:tcBorders>
              <w:top w:val="nil"/>
              <w:left w:val="nil"/>
              <w:bottom w:val="nil"/>
              <w:right w:val="single" w:color="auto" w:sz="4" w:space="0"/>
            </w:tcBorders>
          </w:tcPr>
          <w:p w:rsidRPr="003520A9" w:rsidR="003520A9" w:rsidP="003520A9" w:rsidRDefault="003520A9" w14:paraId="451A20D1" w14:textId="77777777">
            <w:pPr>
              <w:spacing w:after="0" w:line="240" w:lineRule="auto"/>
              <w:jc w:val="center"/>
              <w:rPr>
                <w:rFonts w:eastAsia="Times New Roman" w:cs="Arial"/>
                <w:sz w:val="20"/>
                <w:szCs w:val="20"/>
                <w:lang w:eastAsia="en-GB"/>
              </w:rPr>
            </w:pPr>
          </w:p>
        </w:tc>
        <w:tc>
          <w:tcPr>
            <w:tcW w:w="5670" w:type="dxa"/>
            <w:tcBorders>
              <w:top w:val="nil"/>
              <w:left w:val="single" w:color="auto" w:sz="4" w:space="0"/>
              <w:bottom w:val="nil"/>
              <w:right w:val="single" w:color="auto" w:sz="4" w:space="0"/>
            </w:tcBorders>
            <w:shd w:val="clear" w:color="auto" w:fill="auto"/>
            <w:noWrap/>
            <w:vAlign w:val="bottom"/>
          </w:tcPr>
          <w:p w:rsidRPr="003520A9" w:rsidR="003520A9" w:rsidP="003520A9" w:rsidRDefault="003520A9" w14:paraId="1669BE6E" w14:textId="7ED6B0B8">
            <w:pPr>
              <w:spacing w:after="0" w:line="240" w:lineRule="auto"/>
              <w:rPr>
                <w:rFonts w:eastAsia="Times New Roman" w:cs="Arial"/>
                <w:sz w:val="20"/>
                <w:szCs w:val="20"/>
                <w:lang w:eastAsia="en-GB"/>
              </w:rPr>
            </w:pPr>
            <w:r w:rsidRPr="003520A9">
              <w:rPr>
                <w:rFonts w:eastAsia="Times New Roman" w:cs="Arial"/>
                <w:sz w:val="20"/>
                <w:szCs w:val="20"/>
                <w:lang w:eastAsia="en-GB"/>
              </w:rPr>
              <w:t>Short Term Creditors</w:t>
            </w:r>
          </w:p>
        </w:tc>
        <w:tc>
          <w:tcPr>
            <w:tcW w:w="1417" w:type="dxa"/>
            <w:tcBorders>
              <w:top w:val="nil"/>
              <w:left w:val="single" w:color="auto" w:sz="4" w:space="0"/>
              <w:bottom w:val="nil"/>
              <w:right w:val="single" w:color="auto" w:sz="4" w:space="0"/>
            </w:tcBorders>
            <w:shd w:val="clear" w:color="auto" w:fill="auto"/>
            <w:noWrap/>
            <w:vAlign w:val="bottom"/>
          </w:tcPr>
          <w:p w:rsidRPr="003520A9" w:rsidR="003520A9" w:rsidP="003520A9" w:rsidRDefault="003520A9" w14:paraId="71BB46E4" w14:textId="0D466E4B">
            <w:pPr>
              <w:spacing w:after="0" w:line="240" w:lineRule="auto"/>
              <w:jc w:val="right"/>
              <w:rPr>
                <w:rFonts w:eastAsia="Times New Roman" w:cs="Arial"/>
                <w:color w:val="000000"/>
                <w:sz w:val="20"/>
                <w:szCs w:val="20"/>
                <w:lang w:eastAsia="en-GB"/>
              </w:rPr>
            </w:pPr>
            <w:r w:rsidRPr="003520A9">
              <w:rPr>
                <w:rFonts w:eastAsia="Times New Roman" w:cs="Arial"/>
                <w:color w:val="000000"/>
                <w:sz w:val="20"/>
                <w:szCs w:val="20"/>
                <w:lang w:eastAsia="en-GB"/>
              </w:rPr>
              <w:t>(364)</w:t>
            </w:r>
          </w:p>
        </w:tc>
      </w:tr>
      <w:tr w:rsidRPr="00614894" w:rsidR="003520A9" w:rsidTr="003520A9" w14:paraId="008F2CF4"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3520A9" w:rsidR="003520A9" w:rsidP="003520A9" w:rsidRDefault="003520A9" w14:paraId="4BC533D2" w14:textId="00BA7954">
            <w:pPr>
              <w:spacing w:after="0" w:line="240" w:lineRule="auto"/>
              <w:jc w:val="right"/>
              <w:rPr>
                <w:rFonts w:eastAsia="Times New Roman" w:cs="Arial"/>
                <w:color w:val="000000"/>
                <w:sz w:val="20"/>
                <w:szCs w:val="20"/>
                <w:lang w:eastAsia="en-GB"/>
              </w:rPr>
            </w:pPr>
            <w:r w:rsidRPr="003520A9">
              <w:rPr>
                <w:rFonts w:eastAsia="Times New Roman" w:cs="Arial"/>
                <w:color w:val="000000"/>
                <w:sz w:val="20"/>
                <w:szCs w:val="20"/>
                <w:lang w:eastAsia="en-GB"/>
              </w:rPr>
              <w:t>(21)</w:t>
            </w:r>
          </w:p>
        </w:tc>
        <w:tc>
          <w:tcPr>
            <w:tcW w:w="661" w:type="dxa"/>
            <w:tcBorders>
              <w:top w:val="nil"/>
              <w:left w:val="nil"/>
              <w:bottom w:val="nil"/>
              <w:right w:val="single" w:color="auto" w:sz="4" w:space="0"/>
            </w:tcBorders>
          </w:tcPr>
          <w:p w:rsidRPr="003520A9" w:rsidR="003520A9" w:rsidP="003520A9" w:rsidRDefault="003520A9" w14:paraId="3E55DA03" w14:textId="77777777">
            <w:pPr>
              <w:spacing w:after="0" w:line="240" w:lineRule="auto"/>
              <w:jc w:val="center"/>
              <w:rPr>
                <w:rFonts w:eastAsia="Times New Roman" w:cs="Arial"/>
                <w:sz w:val="20"/>
                <w:szCs w:val="20"/>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3520A9" w:rsidR="003520A9" w:rsidP="003520A9" w:rsidRDefault="003520A9" w14:paraId="6761CBB7" w14:textId="37AEB6B1">
            <w:pPr>
              <w:spacing w:after="0" w:line="240" w:lineRule="auto"/>
              <w:rPr>
                <w:rFonts w:eastAsia="Times New Roman" w:cs="Arial"/>
                <w:sz w:val="20"/>
                <w:szCs w:val="20"/>
                <w:lang w:eastAsia="en-GB"/>
              </w:rPr>
            </w:pPr>
            <w:r w:rsidRPr="003520A9">
              <w:rPr>
                <w:rFonts w:eastAsia="Times New Roman" w:cs="Arial"/>
                <w:sz w:val="20"/>
                <w:szCs w:val="20"/>
                <w:lang w:eastAsia="en-GB"/>
              </w:rPr>
              <w:t>Accumulated Absence Provision</w:t>
            </w:r>
          </w:p>
        </w:tc>
        <w:tc>
          <w:tcPr>
            <w:tcW w:w="1417" w:type="dxa"/>
            <w:tcBorders>
              <w:top w:val="nil"/>
              <w:left w:val="single" w:color="auto" w:sz="4" w:space="0"/>
              <w:bottom w:val="nil"/>
              <w:right w:val="single" w:color="auto" w:sz="4" w:space="0"/>
            </w:tcBorders>
            <w:shd w:val="clear" w:color="auto" w:fill="auto"/>
            <w:noWrap/>
            <w:vAlign w:val="bottom"/>
          </w:tcPr>
          <w:p w:rsidRPr="003520A9" w:rsidR="003520A9" w:rsidP="003520A9" w:rsidRDefault="003520A9" w14:paraId="48585A5B" w14:textId="4C7D6BA2">
            <w:pPr>
              <w:spacing w:after="0" w:line="240" w:lineRule="auto"/>
              <w:jc w:val="right"/>
              <w:rPr>
                <w:rFonts w:eastAsia="Times New Roman" w:cs="Arial"/>
                <w:color w:val="000000"/>
                <w:sz w:val="20"/>
                <w:szCs w:val="20"/>
                <w:lang w:eastAsia="en-GB"/>
              </w:rPr>
            </w:pPr>
            <w:r w:rsidRPr="003520A9">
              <w:rPr>
                <w:rFonts w:eastAsia="Times New Roman" w:cs="Arial"/>
                <w:color w:val="000000"/>
                <w:sz w:val="20"/>
                <w:szCs w:val="20"/>
                <w:lang w:eastAsia="en-GB"/>
              </w:rPr>
              <w:t>(19)</w:t>
            </w:r>
          </w:p>
        </w:tc>
      </w:tr>
      <w:tr w:rsidRPr="00614894" w:rsidR="003520A9" w:rsidTr="003520A9" w14:paraId="13838AA7" w14:textId="77777777">
        <w:trPr>
          <w:trHeight w:val="255"/>
        </w:trPr>
        <w:tc>
          <w:tcPr>
            <w:tcW w:w="1320" w:type="dxa"/>
            <w:tcBorders>
              <w:top w:val="nil"/>
              <w:left w:val="single" w:color="auto" w:sz="4" w:space="0"/>
              <w:bottom w:val="single" w:color="auto" w:sz="4" w:space="0"/>
              <w:right w:val="single" w:color="auto" w:sz="4" w:space="0"/>
            </w:tcBorders>
            <w:shd w:val="clear" w:color="auto" w:fill="auto"/>
            <w:noWrap/>
            <w:vAlign w:val="bottom"/>
          </w:tcPr>
          <w:p w:rsidRPr="003520A9" w:rsidR="003520A9" w:rsidP="003520A9" w:rsidRDefault="00612819" w14:paraId="0FBC4298" w14:textId="40EEF868">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(266)</w:t>
            </w:r>
          </w:p>
        </w:tc>
        <w:tc>
          <w:tcPr>
            <w:tcW w:w="661" w:type="dxa"/>
            <w:tcBorders>
              <w:top w:val="nil"/>
              <w:left w:val="nil"/>
              <w:bottom w:val="nil"/>
              <w:right w:val="single" w:color="auto" w:sz="4" w:space="0"/>
            </w:tcBorders>
          </w:tcPr>
          <w:p w:rsidRPr="003520A9" w:rsidR="003520A9" w:rsidP="003520A9" w:rsidRDefault="003520A9" w14:paraId="636A8DD4" w14:textId="77777777">
            <w:pPr>
              <w:spacing w:after="0" w:line="240" w:lineRule="auto"/>
              <w:jc w:val="center"/>
              <w:rPr>
                <w:rFonts w:eastAsia="Times New Roman" w:cs="Arial"/>
                <w:sz w:val="20"/>
                <w:szCs w:val="20"/>
                <w:lang w:eastAsia="en-GB"/>
              </w:rPr>
            </w:pPr>
          </w:p>
        </w:tc>
        <w:tc>
          <w:tcPr>
            <w:tcW w:w="5670" w:type="dxa"/>
            <w:tcBorders>
              <w:top w:val="nil"/>
              <w:left w:val="single" w:color="auto" w:sz="4" w:space="0"/>
              <w:bottom w:val="nil"/>
              <w:right w:val="single" w:color="auto" w:sz="4" w:space="0"/>
            </w:tcBorders>
            <w:shd w:val="clear" w:color="auto" w:fill="auto"/>
            <w:noWrap/>
            <w:vAlign w:val="bottom"/>
          </w:tcPr>
          <w:p w:rsidRPr="003520A9" w:rsidR="003520A9" w:rsidP="003520A9" w:rsidRDefault="003520A9" w14:paraId="44536C4E" w14:textId="25149C2F">
            <w:pPr>
              <w:spacing w:after="0" w:line="240" w:lineRule="auto"/>
              <w:rPr>
                <w:rFonts w:eastAsia="Times New Roman" w:cs="Arial"/>
                <w:sz w:val="20"/>
                <w:szCs w:val="20"/>
                <w:lang w:eastAsia="en-GB"/>
              </w:rPr>
            </w:pPr>
            <w:r>
              <w:rPr>
                <w:rFonts w:eastAsia="Times New Roman" w:cs="Arial"/>
                <w:sz w:val="20"/>
                <w:szCs w:val="20"/>
                <w:lang w:eastAsia="en-GB"/>
              </w:rPr>
              <w:t xml:space="preserve">Short Term </w:t>
            </w:r>
            <w:r w:rsidR="00612819">
              <w:rPr>
                <w:rFonts w:eastAsia="Times New Roman" w:cs="Arial"/>
                <w:sz w:val="20"/>
                <w:szCs w:val="20"/>
                <w:lang w:eastAsia="en-GB"/>
              </w:rPr>
              <w:t>Cash</w:t>
            </w:r>
          </w:p>
        </w:tc>
        <w:tc>
          <w:tcPr>
            <w:tcW w:w="1417" w:type="dxa"/>
            <w:tcBorders>
              <w:top w:val="nil"/>
              <w:left w:val="single" w:color="auto" w:sz="4" w:space="0"/>
              <w:bottom w:val="single" w:color="auto" w:sz="4" w:space="0"/>
              <w:right w:val="single" w:color="auto" w:sz="4" w:space="0"/>
            </w:tcBorders>
            <w:shd w:val="clear" w:color="auto" w:fill="auto"/>
            <w:noWrap/>
            <w:vAlign w:val="bottom"/>
          </w:tcPr>
          <w:p w:rsidRPr="003520A9" w:rsidR="003520A9" w:rsidP="003520A9" w:rsidRDefault="00612819" w14:paraId="663B7EFD" w14:textId="471397B1">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(264)</w:t>
            </w:r>
          </w:p>
        </w:tc>
      </w:tr>
      <w:tr w:rsidRPr="00614894" w:rsidR="003520A9" w:rsidTr="003520A9" w14:paraId="4C969EA2"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4894" w:rsidR="003520A9" w:rsidP="003520A9" w:rsidRDefault="00612819" w14:paraId="386ADADF" w14:textId="3E5E1FAE">
            <w:pPr>
              <w:spacing w:after="0" w:line="240" w:lineRule="auto"/>
              <w:jc w:val="right"/>
              <w:rPr>
                <w:rFonts w:eastAsia="Times New Roman" w:cs="Arial"/>
                <w:b/>
                <w:bCs/>
                <w:color w:val="000000"/>
                <w:sz w:val="20"/>
                <w:szCs w:val="20"/>
                <w:highlight w:val="yellow"/>
                <w:lang w:eastAsia="en-GB"/>
              </w:rPr>
            </w:pPr>
            <w:r w:rsidRPr="00612819">
              <w:rPr>
                <w:rFonts w:eastAsia="Times New Roman" w:cs="Arial"/>
                <w:b/>
                <w:bCs/>
                <w:color w:val="000000"/>
                <w:sz w:val="20"/>
                <w:szCs w:val="20"/>
                <w:lang w:eastAsia="en-GB"/>
              </w:rPr>
              <w:t>(686)</w:t>
            </w:r>
          </w:p>
        </w:tc>
        <w:tc>
          <w:tcPr>
            <w:tcW w:w="661" w:type="dxa"/>
            <w:tcBorders>
              <w:top w:val="nil"/>
              <w:left w:val="nil"/>
              <w:bottom w:val="nil"/>
              <w:right w:val="single" w:color="auto" w:sz="4" w:space="0"/>
            </w:tcBorders>
          </w:tcPr>
          <w:p w:rsidRPr="00614894" w:rsidR="003520A9" w:rsidP="003520A9" w:rsidRDefault="00445BBB" w14:paraId="0650B5F5" w14:textId="35766426">
            <w:pPr>
              <w:spacing w:after="0" w:line="240" w:lineRule="auto"/>
              <w:jc w:val="center"/>
              <w:rPr>
                <w:rFonts w:eastAsia="Times New Roman" w:cs="Arial"/>
                <w:bCs/>
                <w:sz w:val="20"/>
                <w:szCs w:val="20"/>
                <w:highlight w:val="yellow"/>
                <w:lang w:eastAsia="en-GB"/>
              </w:rPr>
            </w:pPr>
            <w:r w:rsidRPr="00445BBB">
              <w:rPr>
                <w:rFonts w:eastAsia="Times New Roman" w:cs="Arial"/>
                <w:bCs/>
                <w:sz w:val="20"/>
                <w:szCs w:val="20"/>
                <w:lang w:eastAsia="en-GB"/>
              </w:rPr>
              <w:t>14</w:t>
            </w:r>
          </w:p>
        </w:tc>
        <w:tc>
          <w:tcPr>
            <w:tcW w:w="5670" w:type="dxa"/>
            <w:tcBorders>
              <w:top w:val="nil"/>
              <w:left w:val="single" w:color="auto" w:sz="4" w:space="0"/>
              <w:bottom w:val="nil"/>
              <w:right w:val="single" w:color="auto" w:sz="4" w:space="0"/>
            </w:tcBorders>
            <w:shd w:val="clear" w:color="auto" w:fill="auto"/>
            <w:noWrap/>
            <w:vAlign w:val="bottom"/>
            <w:hideMark/>
          </w:tcPr>
          <w:p w:rsidRPr="00614894" w:rsidR="003520A9" w:rsidP="003520A9" w:rsidRDefault="003520A9" w14:paraId="765B6B4F" w14:textId="09CFDCA7">
            <w:pPr>
              <w:spacing w:after="0" w:line="240" w:lineRule="auto"/>
              <w:rPr>
                <w:rFonts w:eastAsia="Times New Roman" w:cs="Arial"/>
                <w:b/>
                <w:bCs/>
                <w:sz w:val="20"/>
                <w:szCs w:val="20"/>
                <w:highlight w:val="yellow"/>
                <w:lang w:eastAsia="en-GB"/>
              </w:rPr>
            </w:pPr>
            <w:r w:rsidRPr="00612819">
              <w:rPr>
                <w:rFonts w:eastAsia="Times New Roman" w:cs="Arial"/>
                <w:b/>
                <w:bCs/>
                <w:sz w:val="20"/>
                <w:szCs w:val="20"/>
                <w:lang w:eastAsia="en-GB"/>
              </w:rPr>
              <w:t>Current Liabilities</w:t>
            </w:r>
          </w:p>
        </w:tc>
        <w:tc>
          <w:tcPr>
            <w:tcW w:w="1417" w:type="dxa"/>
            <w:tcBorders>
              <w:top w:val="nil"/>
              <w:left w:val="single" w:color="auto" w:sz="4" w:space="0"/>
              <w:bottom w:val="nil"/>
              <w:right w:val="single" w:color="auto" w:sz="4" w:space="0"/>
            </w:tcBorders>
            <w:shd w:val="clear" w:color="auto" w:fill="auto"/>
            <w:noWrap/>
            <w:vAlign w:val="bottom"/>
          </w:tcPr>
          <w:p w:rsidRPr="00614894" w:rsidR="003520A9" w:rsidP="003520A9" w:rsidRDefault="003520A9" w14:paraId="62AE1CE0" w14:textId="39532B2A">
            <w:pPr>
              <w:spacing w:after="0" w:line="240" w:lineRule="auto"/>
              <w:jc w:val="right"/>
              <w:rPr>
                <w:rFonts w:eastAsia="Times New Roman" w:cs="Arial"/>
                <w:b/>
                <w:bCs/>
                <w:color w:val="000000"/>
                <w:sz w:val="20"/>
                <w:szCs w:val="20"/>
                <w:highlight w:val="yellow"/>
                <w:lang w:eastAsia="en-GB"/>
              </w:rPr>
            </w:pPr>
            <w:r w:rsidRPr="00612819">
              <w:rPr>
                <w:rFonts w:eastAsia="Times New Roman" w:cs="Arial"/>
                <w:b/>
                <w:bCs/>
                <w:color w:val="000000"/>
                <w:sz w:val="20"/>
                <w:szCs w:val="20"/>
                <w:lang w:eastAsia="en-GB"/>
              </w:rPr>
              <w:t>(</w:t>
            </w:r>
            <w:r w:rsidRPr="00612819" w:rsidR="00612819">
              <w:rPr>
                <w:rFonts w:eastAsia="Times New Roman" w:cs="Arial"/>
                <w:b/>
                <w:bCs/>
                <w:color w:val="000000"/>
                <w:sz w:val="20"/>
                <w:szCs w:val="20"/>
                <w:lang w:eastAsia="en-GB"/>
              </w:rPr>
              <w:t>647</w:t>
            </w:r>
            <w:r w:rsidRPr="00612819">
              <w:rPr>
                <w:rFonts w:eastAsia="Times New Roman" w:cs="Arial"/>
                <w:b/>
                <w:bCs/>
                <w:color w:val="000000"/>
                <w:sz w:val="20"/>
                <w:szCs w:val="20"/>
                <w:lang w:eastAsia="en-GB"/>
              </w:rPr>
              <w:t>)</w:t>
            </w:r>
          </w:p>
        </w:tc>
      </w:tr>
      <w:tr w:rsidRPr="00614894" w:rsidR="003520A9" w:rsidTr="003520A9" w14:paraId="19C036D0"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49507DD9" w14:textId="77777777">
            <w:pPr>
              <w:spacing w:after="0" w:line="240" w:lineRule="auto"/>
              <w:rPr>
                <w:rFonts w:eastAsia="Times New Roman" w:cs="Arial"/>
                <w:color w:val="000000"/>
                <w:sz w:val="20"/>
                <w:szCs w:val="20"/>
                <w:lang w:eastAsia="en-GB"/>
              </w:rPr>
            </w:pPr>
            <w:r w:rsidRPr="00612819">
              <w:rPr>
                <w:rFonts w:eastAsia="Times New Roman" w:cs="Arial"/>
                <w:color w:val="000000"/>
                <w:sz w:val="20"/>
                <w:szCs w:val="20"/>
                <w:lang w:eastAsia="en-GB"/>
              </w:rPr>
              <w:t> </w:t>
            </w:r>
          </w:p>
        </w:tc>
        <w:tc>
          <w:tcPr>
            <w:tcW w:w="661" w:type="dxa"/>
            <w:tcBorders>
              <w:top w:val="nil"/>
              <w:left w:val="nil"/>
              <w:bottom w:val="nil"/>
              <w:right w:val="single" w:color="auto" w:sz="4" w:space="0"/>
            </w:tcBorders>
          </w:tcPr>
          <w:p w:rsidRPr="00614894" w:rsidR="003520A9" w:rsidP="003520A9" w:rsidRDefault="003520A9" w14:paraId="687497DA" w14:textId="77777777">
            <w:pPr>
              <w:spacing w:after="0" w:line="240" w:lineRule="auto"/>
              <w:jc w:val="center"/>
              <w:rPr>
                <w:rFonts w:eastAsia="Times New Roman" w:cs="Arial"/>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4894" w:rsidR="003520A9" w:rsidP="003520A9" w:rsidRDefault="003520A9" w14:paraId="2FF8D53C" w14:textId="61612FD3">
            <w:pPr>
              <w:spacing w:after="0" w:line="240" w:lineRule="auto"/>
              <w:rPr>
                <w:rFonts w:eastAsia="Times New Roman" w:cs="Arial"/>
                <w:sz w:val="20"/>
                <w:szCs w:val="20"/>
                <w:highlight w:val="yellow"/>
                <w:lang w:eastAsia="en-GB"/>
              </w:rPr>
            </w:pPr>
          </w:p>
        </w:tc>
        <w:tc>
          <w:tcPr>
            <w:tcW w:w="1417" w:type="dxa"/>
            <w:tcBorders>
              <w:top w:val="nil"/>
              <w:left w:val="single" w:color="auto" w:sz="4" w:space="0"/>
              <w:bottom w:val="nil"/>
              <w:right w:val="single" w:color="auto" w:sz="4" w:space="0"/>
            </w:tcBorders>
            <w:shd w:val="clear" w:color="auto" w:fill="auto"/>
            <w:noWrap/>
            <w:vAlign w:val="bottom"/>
          </w:tcPr>
          <w:p w:rsidRPr="00614894" w:rsidR="003520A9" w:rsidP="003520A9" w:rsidRDefault="003520A9" w14:paraId="78B02D21" w14:textId="77777777">
            <w:pPr>
              <w:spacing w:after="0" w:line="240" w:lineRule="auto"/>
              <w:rPr>
                <w:rFonts w:eastAsia="Times New Roman" w:cs="Arial"/>
                <w:color w:val="000000"/>
                <w:sz w:val="20"/>
                <w:szCs w:val="20"/>
                <w:highlight w:val="yellow"/>
                <w:lang w:eastAsia="en-GB"/>
              </w:rPr>
            </w:pPr>
          </w:p>
        </w:tc>
      </w:tr>
      <w:tr w:rsidRPr="00614894" w:rsidR="003520A9" w:rsidTr="003520A9" w14:paraId="6E6E21F7"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612819" w14:paraId="7E038BB9" w14:textId="77ADD637">
            <w:pPr>
              <w:spacing w:after="0" w:line="240" w:lineRule="auto"/>
              <w:jc w:val="right"/>
              <w:rPr>
                <w:rFonts w:eastAsia="Times New Roman" w:cs="Arial"/>
                <w:color w:val="000000"/>
                <w:sz w:val="20"/>
                <w:szCs w:val="20"/>
                <w:lang w:eastAsia="en-GB"/>
              </w:rPr>
            </w:pPr>
            <w:r w:rsidRPr="00612819">
              <w:rPr>
                <w:rFonts w:eastAsia="Times New Roman" w:cs="Arial"/>
                <w:color w:val="000000"/>
                <w:sz w:val="20"/>
                <w:szCs w:val="20"/>
                <w:lang w:eastAsia="en-GB"/>
              </w:rPr>
              <w:t>(520)</w:t>
            </w:r>
          </w:p>
        </w:tc>
        <w:tc>
          <w:tcPr>
            <w:tcW w:w="661" w:type="dxa"/>
            <w:tcBorders>
              <w:top w:val="nil"/>
              <w:left w:val="nil"/>
              <w:bottom w:val="nil"/>
              <w:right w:val="single" w:color="auto" w:sz="4" w:space="0"/>
            </w:tcBorders>
          </w:tcPr>
          <w:p w:rsidRPr="00614894" w:rsidR="003520A9" w:rsidP="003520A9" w:rsidRDefault="00EC0BA1" w14:paraId="00B658C4" w14:textId="0D31E12D">
            <w:pPr>
              <w:spacing w:after="0" w:line="240" w:lineRule="auto"/>
              <w:jc w:val="center"/>
              <w:rPr>
                <w:rFonts w:eastAsia="Times New Roman" w:cs="Arial"/>
                <w:sz w:val="20"/>
                <w:szCs w:val="20"/>
                <w:highlight w:val="yellow"/>
                <w:lang w:eastAsia="en-GB"/>
              </w:rPr>
            </w:pPr>
            <w:r w:rsidRPr="00EC0BA1">
              <w:rPr>
                <w:rFonts w:eastAsia="Times New Roman" w:cs="Arial"/>
                <w:sz w:val="20"/>
                <w:szCs w:val="20"/>
                <w:lang w:eastAsia="en-GB"/>
              </w:rPr>
              <w:t>17</w:t>
            </w:r>
          </w:p>
        </w:tc>
        <w:tc>
          <w:tcPr>
            <w:tcW w:w="5670" w:type="dxa"/>
            <w:tcBorders>
              <w:top w:val="nil"/>
              <w:left w:val="single" w:color="auto" w:sz="4" w:space="0"/>
              <w:bottom w:val="nil"/>
              <w:right w:val="single" w:color="auto" w:sz="4" w:space="0"/>
            </w:tcBorders>
            <w:shd w:val="clear" w:color="auto" w:fill="auto"/>
            <w:noWrap/>
            <w:vAlign w:val="bottom"/>
            <w:hideMark/>
          </w:tcPr>
          <w:p w:rsidRPr="00614894" w:rsidR="003520A9" w:rsidP="003520A9" w:rsidRDefault="003520A9" w14:paraId="691420F4" w14:textId="5BF27D1B">
            <w:pPr>
              <w:spacing w:after="0" w:line="240" w:lineRule="auto"/>
              <w:rPr>
                <w:rFonts w:eastAsia="Times New Roman" w:cs="Arial"/>
                <w:sz w:val="20"/>
                <w:szCs w:val="20"/>
                <w:highlight w:val="yellow"/>
                <w:lang w:eastAsia="en-GB"/>
              </w:rPr>
            </w:pPr>
            <w:r w:rsidRPr="00612819">
              <w:rPr>
                <w:rFonts w:eastAsia="Times New Roman" w:cs="Arial"/>
                <w:sz w:val="20"/>
                <w:szCs w:val="20"/>
                <w:lang w:eastAsia="en-GB"/>
              </w:rPr>
              <w:t>Pensions Liability</w:t>
            </w:r>
          </w:p>
        </w:tc>
        <w:tc>
          <w:tcPr>
            <w:tcW w:w="1417" w:type="dxa"/>
            <w:tcBorders>
              <w:top w:val="nil"/>
              <w:left w:val="single" w:color="auto" w:sz="4" w:space="0"/>
              <w:bottom w:val="nil"/>
              <w:right w:val="single" w:color="auto" w:sz="4" w:space="0"/>
            </w:tcBorders>
            <w:shd w:val="clear" w:color="auto" w:fill="auto"/>
            <w:noWrap/>
            <w:vAlign w:val="bottom"/>
          </w:tcPr>
          <w:p w:rsidRPr="00614894" w:rsidR="003520A9" w:rsidP="003520A9" w:rsidRDefault="003520A9" w14:paraId="139FA448" w14:textId="17E3C01D">
            <w:pPr>
              <w:spacing w:after="0" w:line="240" w:lineRule="auto"/>
              <w:jc w:val="right"/>
              <w:rPr>
                <w:rFonts w:eastAsia="Times New Roman" w:cs="Arial"/>
                <w:color w:val="000000"/>
                <w:sz w:val="20"/>
                <w:szCs w:val="20"/>
                <w:highlight w:val="yellow"/>
                <w:lang w:eastAsia="en-GB"/>
              </w:rPr>
            </w:pPr>
            <w:r w:rsidRPr="00612819">
              <w:rPr>
                <w:rFonts w:eastAsia="Times New Roman" w:cs="Arial"/>
                <w:color w:val="000000"/>
                <w:sz w:val="20"/>
                <w:szCs w:val="20"/>
                <w:lang w:eastAsia="en-GB"/>
              </w:rPr>
              <w:t>(</w:t>
            </w:r>
            <w:r w:rsidRPr="00612819" w:rsidR="00612819">
              <w:rPr>
                <w:rFonts w:eastAsia="Times New Roman" w:cs="Arial"/>
                <w:color w:val="000000"/>
                <w:sz w:val="20"/>
                <w:szCs w:val="20"/>
                <w:lang w:eastAsia="en-GB"/>
              </w:rPr>
              <w:t>3,480</w:t>
            </w:r>
            <w:r w:rsidRPr="00612819">
              <w:rPr>
                <w:rFonts w:eastAsia="Times New Roman" w:cs="Arial"/>
                <w:color w:val="000000"/>
                <w:sz w:val="20"/>
                <w:szCs w:val="20"/>
                <w:lang w:eastAsia="en-GB"/>
              </w:rPr>
              <w:t>)</w:t>
            </w:r>
          </w:p>
        </w:tc>
      </w:tr>
      <w:tr w:rsidRPr="00614894" w:rsidR="003520A9" w:rsidTr="003520A9" w14:paraId="336639A9" w14:textId="77777777">
        <w:trPr>
          <w:trHeight w:val="255"/>
        </w:trPr>
        <w:tc>
          <w:tcPr>
            <w:tcW w:w="1320" w:type="dxa"/>
            <w:tcBorders>
              <w:top w:val="nil"/>
              <w:left w:val="single" w:color="auto" w:sz="4" w:space="0"/>
              <w:bottom w:val="single" w:color="auto" w:sz="4" w:space="0"/>
              <w:right w:val="single" w:color="auto" w:sz="4" w:space="0"/>
            </w:tcBorders>
            <w:shd w:val="clear" w:color="auto" w:fill="auto"/>
            <w:noWrap/>
            <w:vAlign w:val="bottom"/>
            <w:hideMark/>
          </w:tcPr>
          <w:p w:rsidRPr="00614894" w:rsidR="003520A9" w:rsidP="003520A9" w:rsidRDefault="00612819" w14:paraId="1219E955" w14:textId="5FEA0F3A">
            <w:pPr>
              <w:spacing w:after="0" w:line="240" w:lineRule="auto"/>
              <w:jc w:val="right"/>
              <w:rPr>
                <w:rFonts w:eastAsia="Times New Roman" w:cs="Arial"/>
                <w:color w:val="000000"/>
                <w:sz w:val="20"/>
                <w:szCs w:val="20"/>
                <w:highlight w:val="yellow"/>
                <w:lang w:eastAsia="en-GB"/>
              </w:rPr>
            </w:pPr>
            <w:r w:rsidRPr="00612819">
              <w:rPr>
                <w:rFonts w:eastAsia="Times New Roman" w:cs="Arial"/>
                <w:color w:val="000000"/>
                <w:sz w:val="20"/>
                <w:szCs w:val="20"/>
                <w:lang w:eastAsia="en-GB"/>
              </w:rPr>
              <w:t>0</w:t>
            </w:r>
          </w:p>
        </w:tc>
        <w:tc>
          <w:tcPr>
            <w:tcW w:w="661" w:type="dxa"/>
            <w:tcBorders>
              <w:top w:val="nil"/>
              <w:left w:val="nil"/>
              <w:bottom w:val="nil"/>
              <w:right w:val="single" w:color="auto" w:sz="4" w:space="0"/>
            </w:tcBorders>
          </w:tcPr>
          <w:p w:rsidRPr="00614894" w:rsidR="003520A9" w:rsidP="003520A9" w:rsidRDefault="003520A9" w14:paraId="1004B274" w14:textId="65C71E1A">
            <w:pPr>
              <w:spacing w:after="0" w:line="240" w:lineRule="auto"/>
              <w:jc w:val="center"/>
              <w:rPr>
                <w:rFonts w:eastAsia="Times New Roman" w:cs="Arial"/>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07192B3D" w14:textId="6E781684">
            <w:pPr>
              <w:spacing w:after="0" w:line="240" w:lineRule="auto"/>
              <w:rPr>
                <w:rFonts w:eastAsia="Times New Roman" w:cs="Arial"/>
                <w:sz w:val="20"/>
                <w:szCs w:val="20"/>
                <w:lang w:eastAsia="en-GB"/>
              </w:rPr>
            </w:pPr>
            <w:r w:rsidRPr="00612819">
              <w:rPr>
                <w:rFonts w:eastAsia="Times New Roman" w:cs="Arial"/>
                <w:sz w:val="20"/>
                <w:szCs w:val="20"/>
                <w:lang w:eastAsia="en-GB"/>
              </w:rPr>
              <w:t xml:space="preserve">Other </w:t>
            </w:r>
            <w:proofErr w:type="gramStart"/>
            <w:r w:rsidRPr="00612819">
              <w:rPr>
                <w:rFonts w:eastAsia="Times New Roman" w:cs="Arial"/>
                <w:sz w:val="20"/>
                <w:szCs w:val="20"/>
                <w:lang w:eastAsia="en-GB"/>
              </w:rPr>
              <w:t>Long Term</w:t>
            </w:r>
            <w:proofErr w:type="gramEnd"/>
            <w:r w:rsidRPr="00612819">
              <w:rPr>
                <w:rFonts w:eastAsia="Times New Roman" w:cs="Arial"/>
                <w:sz w:val="20"/>
                <w:szCs w:val="20"/>
                <w:lang w:eastAsia="en-GB"/>
              </w:rPr>
              <w:t xml:space="preserve"> Liabilities</w:t>
            </w:r>
          </w:p>
        </w:tc>
        <w:tc>
          <w:tcPr>
            <w:tcW w:w="1417" w:type="dxa"/>
            <w:tcBorders>
              <w:top w:val="nil"/>
              <w:left w:val="single" w:color="auto" w:sz="4" w:space="0"/>
              <w:bottom w:val="single" w:color="auto" w:sz="4" w:space="0"/>
              <w:right w:val="single" w:color="auto" w:sz="4" w:space="0"/>
            </w:tcBorders>
            <w:shd w:val="clear" w:color="auto" w:fill="auto"/>
            <w:noWrap/>
            <w:vAlign w:val="bottom"/>
          </w:tcPr>
          <w:p w:rsidRPr="00612819" w:rsidR="003520A9" w:rsidP="003520A9" w:rsidRDefault="00612819" w14:paraId="6B804865" w14:textId="2280A264">
            <w:pPr>
              <w:spacing w:after="0" w:line="240" w:lineRule="auto"/>
              <w:jc w:val="right"/>
              <w:rPr>
                <w:rFonts w:eastAsia="Times New Roman" w:cs="Arial"/>
                <w:color w:val="000000"/>
                <w:sz w:val="20"/>
                <w:szCs w:val="20"/>
                <w:lang w:eastAsia="en-GB"/>
              </w:rPr>
            </w:pPr>
            <w:r w:rsidRPr="00612819">
              <w:rPr>
                <w:rFonts w:eastAsia="Times New Roman" w:cs="Arial"/>
                <w:color w:val="000000"/>
                <w:sz w:val="20"/>
                <w:szCs w:val="20"/>
                <w:lang w:eastAsia="en-GB"/>
              </w:rPr>
              <w:t>0</w:t>
            </w:r>
          </w:p>
        </w:tc>
      </w:tr>
      <w:tr w:rsidRPr="00614894" w:rsidR="003520A9" w:rsidTr="003520A9" w14:paraId="197911C5"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612819" w14:paraId="73BEE2AE" w14:textId="15502B7F">
            <w:pPr>
              <w:spacing w:after="0" w:line="240" w:lineRule="auto"/>
              <w:jc w:val="right"/>
              <w:rPr>
                <w:rFonts w:eastAsia="Times New Roman" w:cs="Arial"/>
                <w:b/>
                <w:bCs/>
                <w:color w:val="000000"/>
                <w:sz w:val="20"/>
                <w:szCs w:val="20"/>
                <w:lang w:eastAsia="en-GB"/>
              </w:rPr>
            </w:pPr>
            <w:r w:rsidRPr="00612819">
              <w:rPr>
                <w:rFonts w:eastAsia="Times New Roman" w:cs="Arial"/>
                <w:b/>
                <w:bCs/>
                <w:color w:val="000000"/>
                <w:sz w:val="20"/>
                <w:szCs w:val="20"/>
                <w:lang w:eastAsia="en-GB"/>
              </w:rPr>
              <w:t>(520)</w:t>
            </w:r>
          </w:p>
        </w:tc>
        <w:tc>
          <w:tcPr>
            <w:tcW w:w="661" w:type="dxa"/>
            <w:tcBorders>
              <w:top w:val="nil"/>
              <w:left w:val="nil"/>
              <w:bottom w:val="nil"/>
              <w:right w:val="single" w:color="auto" w:sz="4" w:space="0"/>
            </w:tcBorders>
          </w:tcPr>
          <w:p w:rsidRPr="00612819" w:rsidR="003520A9" w:rsidP="003520A9" w:rsidRDefault="003520A9" w14:paraId="471B8D1F" w14:textId="77777777">
            <w:pPr>
              <w:spacing w:after="0" w:line="240" w:lineRule="auto"/>
              <w:jc w:val="center"/>
              <w:rPr>
                <w:rFonts w:eastAsia="Times New Roman" w:cs="Arial"/>
                <w:b/>
                <w:bCs/>
                <w:sz w:val="20"/>
                <w:szCs w:val="20"/>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7D0B28B0" w14:textId="1F3ECBC2">
            <w:pPr>
              <w:spacing w:after="0" w:line="240" w:lineRule="auto"/>
              <w:rPr>
                <w:rFonts w:eastAsia="Times New Roman" w:cs="Arial"/>
                <w:b/>
                <w:bCs/>
                <w:sz w:val="20"/>
                <w:szCs w:val="20"/>
                <w:lang w:eastAsia="en-GB"/>
              </w:rPr>
            </w:pPr>
            <w:r w:rsidRPr="00612819">
              <w:rPr>
                <w:rFonts w:eastAsia="Times New Roman" w:cs="Arial"/>
                <w:b/>
                <w:bCs/>
                <w:sz w:val="20"/>
                <w:szCs w:val="20"/>
                <w:lang w:eastAsia="en-GB"/>
              </w:rPr>
              <w:t>Long Term Liabilities</w:t>
            </w:r>
          </w:p>
        </w:tc>
        <w:tc>
          <w:tcPr>
            <w:tcW w:w="1417" w:type="dxa"/>
            <w:tcBorders>
              <w:top w:val="nil"/>
              <w:left w:val="single" w:color="auto" w:sz="4" w:space="0"/>
              <w:bottom w:val="nil"/>
              <w:right w:val="single" w:color="auto" w:sz="4" w:space="0"/>
            </w:tcBorders>
            <w:shd w:val="clear" w:color="auto" w:fill="auto"/>
            <w:noWrap/>
            <w:vAlign w:val="bottom"/>
          </w:tcPr>
          <w:p w:rsidRPr="00612819" w:rsidR="003520A9" w:rsidP="003520A9" w:rsidRDefault="00612819" w14:paraId="14E46811" w14:textId="1D1306B0">
            <w:pPr>
              <w:spacing w:after="0" w:line="240" w:lineRule="auto"/>
              <w:jc w:val="right"/>
              <w:rPr>
                <w:rFonts w:eastAsia="Times New Roman" w:cs="Arial"/>
                <w:b/>
                <w:bCs/>
                <w:color w:val="000000"/>
                <w:sz w:val="20"/>
                <w:szCs w:val="20"/>
                <w:lang w:eastAsia="en-GB"/>
              </w:rPr>
            </w:pPr>
            <w:r w:rsidRPr="00612819">
              <w:rPr>
                <w:rFonts w:eastAsia="Times New Roman" w:cs="Arial"/>
                <w:b/>
                <w:bCs/>
                <w:color w:val="000000"/>
                <w:sz w:val="20"/>
                <w:szCs w:val="20"/>
                <w:lang w:eastAsia="en-GB"/>
              </w:rPr>
              <w:t>(3,480</w:t>
            </w:r>
            <w:r w:rsidRPr="00612819" w:rsidR="003520A9">
              <w:rPr>
                <w:rFonts w:eastAsia="Times New Roman" w:cs="Arial"/>
                <w:b/>
                <w:bCs/>
                <w:color w:val="000000"/>
                <w:sz w:val="20"/>
                <w:szCs w:val="20"/>
                <w:lang w:eastAsia="en-GB"/>
              </w:rPr>
              <w:t>)</w:t>
            </w:r>
          </w:p>
        </w:tc>
      </w:tr>
      <w:tr w:rsidRPr="00614894" w:rsidR="003520A9" w:rsidTr="003520A9" w14:paraId="1C75F6FB"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4894" w:rsidR="003520A9" w:rsidP="003520A9" w:rsidRDefault="003520A9" w14:paraId="54AB71E1" w14:textId="77777777">
            <w:pPr>
              <w:spacing w:after="0" w:line="240" w:lineRule="auto"/>
              <w:rPr>
                <w:rFonts w:eastAsia="Times New Roman" w:cs="Arial"/>
                <w:color w:val="000000"/>
                <w:sz w:val="20"/>
                <w:szCs w:val="20"/>
                <w:highlight w:val="yellow"/>
                <w:lang w:eastAsia="en-GB"/>
              </w:rPr>
            </w:pPr>
            <w:r w:rsidRPr="00612819">
              <w:rPr>
                <w:rFonts w:eastAsia="Times New Roman" w:cs="Arial"/>
                <w:color w:val="000000"/>
                <w:sz w:val="20"/>
                <w:szCs w:val="20"/>
                <w:lang w:eastAsia="en-GB"/>
              </w:rPr>
              <w:t> </w:t>
            </w:r>
          </w:p>
        </w:tc>
        <w:tc>
          <w:tcPr>
            <w:tcW w:w="661" w:type="dxa"/>
            <w:tcBorders>
              <w:top w:val="nil"/>
              <w:left w:val="nil"/>
              <w:bottom w:val="nil"/>
              <w:right w:val="single" w:color="auto" w:sz="4" w:space="0"/>
            </w:tcBorders>
          </w:tcPr>
          <w:p w:rsidRPr="00614894" w:rsidR="003520A9" w:rsidP="003520A9" w:rsidRDefault="003520A9" w14:paraId="659F2A88" w14:textId="77777777">
            <w:pPr>
              <w:spacing w:after="0" w:line="240" w:lineRule="auto"/>
              <w:jc w:val="center"/>
              <w:rPr>
                <w:rFonts w:eastAsia="Times New Roman" w:cs="Arial"/>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4894" w:rsidR="003520A9" w:rsidP="003520A9" w:rsidRDefault="003520A9" w14:paraId="503CB13C" w14:textId="0701A838">
            <w:pPr>
              <w:spacing w:after="0" w:line="240" w:lineRule="auto"/>
              <w:rPr>
                <w:rFonts w:eastAsia="Times New Roman" w:cs="Arial"/>
                <w:sz w:val="20"/>
                <w:szCs w:val="20"/>
                <w:highlight w:val="yellow"/>
                <w:lang w:eastAsia="en-GB"/>
              </w:rPr>
            </w:pPr>
          </w:p>
        </w:tc>
        <w:tc>
          <w:tcPr>
            <w:tcW w:w="1417" w:type="dxa"/>
            <w:tcBorders>
              <w:top w:val="nil"/>
              <w:left w:val="single" w:color="auto" w:sz="4" w:space="0"/>
              <w:bottom w:val="nil"/>
              <w:right w:val="single" w:color="auto" w:sz="4" w:space="0"/>
            </w:tcBorders>
            <w:shd w:val="clear" w:color="auto" w:fill="auto"/>
            <w:noWrap/>
            <w:vAlign w:val="bottom"/>
          </w:tcPr>
          <w:p w:rsidRPr="00614894" w:rsidR="003520A9" w:rsidP="003520A9" w:rsidRDefault="003520A9" w14:paraId="0D6951DB" w14:textId="77777777">
            <w:pPr>
              <w:spacing w:after="0" w:line="240" w:lineRule="auto"/>
              <w:rPr>
                <w:rFonts w:eastAsia="Times New Roman" w:cs="Arial"/>
                <w:color w:val="000000"/>
                <w:sz w:val="20"/>
                <w:szCs w:val="20"/>
                <w:highlight w:val="yellow"/>
                <w:lang w:eastAsia="en-GB"/>
              </w:rPr>
            </w:pPr>
          </w:p>
        </w:tc>
      </w:tr>
      <w:tr w:rsidRPr="00614894" w:rsidR="003520A9" w:rsidTr="003520A9" w14:paraId="38102CED" w14:textId="77777777">
        <w:trPr>
          <w:trHeight w:val="255"/>
        </w:trPr>
        <w:tc>
          <w:tcPr>
            <w:tcW w:w="1320"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614894" w:rsidR="003520A9" w:rsidP="003520A9" w:rsidRDefault="00612819" w14:paraId="7490CC67" w14:textId="176640EE">
            <w:pPr>
              <w:spacing w:after="0" w:line="240" w:lineRule="auto"/>
              <w:jc w:val="right"/>
              <w:rPr>
                <w:rFonts w:eastAsia="Times New Roman" w:cs="Arial"/>
                <w:b/>
                <w:bCs/>
                <w:color w:val="000000"/>
                <w:sz w:val="20"/>
                <w:szCs w:val="20"/>
                <w:highlight w:val="yellow"/>
                <w:lang w:eastAsia="en-GB"/>
              </w:rPr>
            </w:pPr>
            <w:r w:rsidRPr="00612819">
              <w:rPr>
                <w:rFonts w:eastAsia="Times New Roman" w:cs="Arial"/>
                <w:b/>
                <w:bCs/>
                <w:color w:val="000000"/>
                <w:sz w:val="20"/>
                <w:szCs w:val="20"/>
                <w:lang w:eastAsia="en-GB"/>
              </w:rPr>
              <w:t>(399)</w:t>
            </w:r>
          </w:p>
        </w:tc>
        <w:tc>
          <w:tcPr>
            <w:tcW w:w="661" w:type="dxa"/>
            <w:tcBorders>
              <w:top w:val="single" w:color="auto" w:sz="4" w:space="0"/>
              <w:left w:val="nil"/>
              <w:bottom w:val="single" w:color="auto" w:sz="4" w:space="0"/>
              <w:right w:val="single" w:color="auto" w:sz="4" w:space="0"/>
            </w:tcBorders>
            <w:shd w:val="clear" w:color="auto" w:fill="DBE5F1" w:themeFill="accent1" w:themeFillTint="33"/>
          </w:tcPr>
          <w:p w:rsidRPr="00614894" w:rsidR="003520A9" w:rsidP="003520A9" w:rsidRDefault="003520A9" w14:paraId="0B45B920" w14:textId="77777777">
            <w:pPr>
              <w:spacing w:after="0" w:line="240" w:lineRule="auto"/>
              <w:jc w:val="center"/>
              <w:rPr>
                <w:rFonts w:eastAsia="Times New Roman" w:cs="Arial"/>
                <w:b/>
                <w:bCs/>
                <w:sz w:val="20"/>
                <w:szCs w:val="20"/>
                <w:highlight w:val="yellow"/>
                <w:lang w:eastAsia="en-GB"/>
              </w:rPr>
            </w:pPr>
          </w:p>
        </w:tc>
        <w:tc>
          <w:tcPr>
            <w:tcW w:w="5670"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612819" w:rsidR="003520A9" w:rsidP="003520A9" w:rsidRDefault="003520A9" w14:paraId="71FE87B9" w14:textId="262F9A78">
            <w:pPr>
              <w:spacing w:after="0" w:line="240" w:lineRule="auto"/>
              <w:rPr>
                <w:rFonts w:eastAsia="Times New Roman" w:cs="Arial"/>
                <w:b/>
                <w:bCs/>
                <w:sz w:val="20"/>
                <w:szCs w:val="20"/>
                <w:lang w:eastAsia="en-GB"/>
              </w:rPr>
            </w:pPr>
            <w:r w:rsidRPr="00612819">
              <w:rPr>
                <w:rFonts w:eastAsia="Times New Roman" w:cs="Arial"/>
                <w:b/>
                <w:bCs/>
                <w:sz w:val="20"/>
                <w:szCs w:val="20"/>
                <w:lang w:eastAsia="en-GB"/>
              </w:rPr>
              <w:t xml:space="preserve"> Net Assets</w:t>
            </w:r>
          </w:p>
        </w:tc>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612819" w:rsidR="003520A9" w:rsidP="003520A9" w:rsidRDefault="003520A9" w14:paraId="241AED59" w14:textId="42AB7C5D">
            <w:pPr>
              <w:spacing w:after="0" w:line="240" w:lineRule="auto"/>
              <w:jc w:val="right"/>
              <w:rPr>
                <w:rFonts w:eastAsia="Times New Roman" w:cs="Arial"/>
                <w:b/>
                <w:bCs/>
                <w:color w:val="000000"/>
                <w:sz w:val="20"/>
                <w:szCs w:val="20"/>
                <w:lang w:eastAsia="en-GB"/>
              </w:rPr>
            </w:pPr>
            <w:r w:rsidRPr="00612819">
              <w:rPr>
                <w:rFonts w:eastAsia="Times New Roman" w:cs="Arial"/>
                <w:b/>
                <w:bCs/>
                <w:color w:val="000000"/>
                <w:sz w:val="20"/>
                <w:szCs w:val="20"/>
                <w:lang w:eastAsia="en-GB"/>
              </w:rPr>
              <w:t>(</w:t>
            </w:r>
            <w:r w:rsidRPr="00612819" w:rsidR="00612819">
              <w:rPr>
                <w:rFonts w:eastAsia="Times New Roman" w:cs="Arial"/>
                <w:b/>
                <w:bCs/>
                <w:color w:val="000000"/>
                <w:sz w:val="20"/>
                <w:szCs w:val="20"/>
                <w:lang w:eastAsia="en-GB"/>
              </w:rPr>
              <w:t>3,336</w:t>
            </w:r>
            <w:r w:rsidRPr="00612819">
              <w:rPr>
                <w:rFonts w:eastAsia="Times New Roman" w:cs="Arial"/>
                <w:b/>
                <w:bCs/>
                <w:color w:val="000000"/>
                <w:sz w:val="20"/>
                <w:szCs w:val="20"/>
                <w:lang w:eastAsia="en-GB"/>
              </w:rPr>
              <w:t>)</w:t>
            </w:r>
          </w:p>
        </w:tc>
      </w:tr>
      <w:tr w:rsidRPr="00614894" w:rsidR="003520A9" w:rsidTr="003520A9" w14:paraId="037E5AE3"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5F983F69" w14:textId="77777777">
            <w:pPr>
              <w:spacing w:after="0" w:line="240" w:lineRule="auto"/>
              <w:rPr>
                <w:rFonts w:eastAsia="Times New Roman" w:cs="Arial"/>
                <w:color w:val="000000"/>
                <w:sz w:val="20"/>
                <w:szCs w:val="20"/>
                <w:lang w:eastAsia="en-GB"/>
              </w:rPr>
            </w:pPr>
            <w:r w:rsidRPr="00612819">
              <w:rPr>
                <w:rFonts w:eastAsia="Times New Roman" w:cs="Arial"/>
                <w:color w:val="000000"/>
                <w:sz w:val="20"/>
                <w:szCs w:val="20"/>
                <w:lang w:eastAsia="en-GB"/>
              </w:rPr>
              <w:t> </w:t>
            </w:r>
          </w:p>
        </w:tc>
        <w:tc>
          <w:tcPr>
            <w:tcW w:w="661" w:type="dxa"/>
            <w:tcBorders>
              <w:top w:val="nil"/>
              <w:left w:val="nil"/>
              <w:bottom w:val="nil"/>
              <w:right w:val="single" w:color="auto" w:sz="4" w:space="0"/>
            </w:tcBorders>
          </w:tcPr>
          <w:p w:rsidRPr="00614894" w:rsidR="003520A9" w:rsidP="003520A9" w:rsidRDefault="003520A9" w14:paraId="642314E8" w14:textId="77777777">
            <w:pPr>
              <w:spacing w:after="0" w:line="240" w:lineRule="auto"/>
              <w:jc w:val="center"/>
              <w:rPr>
                <w:rFonts w:eastAsia="Times New Roman" w:cs="Arial"/>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4894" w:rsidR="003520A9" w:rsidP="003520A9" w:rsidRDefault="003520A9" w14:paraId="6EC58BA3" w14:textId="0CDBB7B3">
            <w:pPr>
              <w:spacing w:after="0" w:line="240" w:lineRule="auto"/>
              <w:rPr>
                <w:rFonts w:eastAsia="Times New Roman" w:cs="Arial"/>
                <w:sz w:val="20"/>
                <w:szCs w:val="20"/>
                <w:highlight w:val="yellow"/>
                <w:lang w:eastAsia="en-GB"/>
              </w:rPr>
            </w:pPr>
          </w:p>
        </w:tc>
        <w:tc>
          <w:tcPr>
            <w:tcW w:w="1417" w:type="dxa"/>
            <w:tcBorders>
              <w:top w:val="nil"/>
              <w:left w:val="single" w:color="auto" w:sz="4" w:space="0"/>
              <w:bottom w:val="nil"/>
              <w:right w:val="single" w:color="auto" w:sz="4" w:space="0"/>
            </w:tcBorders>
            <w:shd w:val="clear" w:color="auto" w:fill="auto"/>
            <w:noWrap/>
            <w:vAlign w:val="bottom"/>
            <w:hideMark/>
          </w:tcPr>
          <w:p w:rsidRPr="00614894" w:rsidR="003520A9" w:rsidP="003520A9" w:rsidRDefault="003520A9" w14:paraId="0BB39596" w14:textId="77777777">
            <w:pPr>
              <w:spacing w:after="0" w:line="240" w:lineRule="auto"/>
              <w:rPr>
                <w:rFonts w:eastAsia="Times New Roman" w:cs="Arial"/>
                <w:color w:val="000000"/>
                <w:sz w:val="20"/>
                <w:szCs w:val="20"/>
                <w:highlight w:val="yellow"/>
                <w:lang w:eastAsia="en-GB"/>
              </w:rPr>
            </w:pPr>
            <w:r w:rsidRPr="00612819">
              <w:rPr>
                <w:rFonts w:eastAsia="Times New Roman" w:cs="Arial"/>
                <w:color w:val="000000"/>
                <w:sz w:val="20"/>
                <w:szCs w:val="20"/>
                <w:lang w:eastAsia="en-GB"/>
              </w:rPr>
              <w:t> </w:t>
            </w:r>
          </w:p>
        </w:tc>
      </w:tr>
      <w:tr w:rsidRPr="00614894" w:rsidR="003520A9" w:rsidTr="003520A9" w14:paraId="775CBEB8"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612819" w14:paraId="21715D34" w14:textId="723F9DAF">
            <w:pPr>
              <w:spacing w:after="0" w:line="240" w:lineRule="auto"/>
              <w:jc w:val="right"/>
              <w:rPr>
                <w:rFonts w:eastAsia="Times New Roman" w:cs="Arial"/>
                <w:b/>
                <w:bCs/>
                <w:color w:val="000000"/>
                <w:sz w:val="20"/>
                <w:szCs w:val="20"/>
                <w:lang w:eastAsia="en-GB"/>
              </w:rPr>
            </w:pPr>
            <w:r w:rsidRPr="00612819">
              <w:rPr>
                <w:rFonts w:eastAsia="Times New Roman" w:cs="Arial"/>
                <w:b/>
                <w:bCs/>
                <w:color w:val="000000"/>
                <w:sz w:val="20"/>
                <w:szCs w:val="20"/>
                <w:lang w:eastAsia="en-GB"/>
              </w:rPr>
              <w:t>142</w:t>
            </w:r>
          </w:p>
        </w:tc>
        <w:tc>
          <w:tcPr>
            <w:tcW w:w="661" w:type="dxa"/>
            <w:tcBorders>
              <w:top w:val="nil"/>
              <w:left w:val="nil"/>
              <w:bottom w:val="nil"/>
              <w:right w:val="single" w:color="auto" w:sz="4" w:space="0"/>
            </w:tcBorders>
          </w:tcPr>
          <w:p w:rsidRPr="00614894" w:rsidR="003520A9" w:rsidP="003520A9" w:rsidRDefault="00EC0BA1" w14:paraId="02E919D8" w14:textId="1990E18F">
            <w:pPr>
              <w:spacing w:after="0" w:line="240" w:lineRule="auto"/>
              <w:jc w:val="center"/>
              <w:rPr>
                <w:rFonts w:eastAsia="Times New Roman" w:cs="Arial"/>
                <w:bCs/>
                <w:sz w:val="20"/>
                <w:szCs w:val="20"/>
                <w:highlight w:val="yellow"/>
                <w:lang w:eastAsia="en-GB"/>
              </w:rPr>
            </w:pPr>
            <w:r w:rsidRPr="00EC0BA1">
              <w:rPr>
                <w:rFonts w:eastAsia="Times New Roman" w:cs="Arial"/>
                <w:bCs/>
                <w:sz w:val="20"/>
                <w:szCs w:val="20"/>
                <w:lang w:eastAsia="en-GB"/>
              </w:rPr>
              <w:t>15</w:t>
            </w:r>
          </w:p>
        </w:tc>
        <w:tc>
          <w:tcPr>
            <w:tcW w:w="567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15116A36" w14:textId="30E6020A">
            <w:pPr>
              <w:spacing w:after="0" w:line="240" w:lineRule="auto"/>
              <w:rPr>
                <w:rFonts w:eastAsia="Times New Roman" w:cs="Arial"/>
                <w:b/>
                <w:bCs/>
                <w:sz w:val="20"/>
                <w:szCs w:val="20"/>
                <w:lang w:eastAsia="en-GB"/>
              </w:rPr>
            </w:pPr>
            <w:r w:rsidRPr="00612819">
              <w:rPr>
                <w:rFonts w:eastAsia="Times New Roman" w:cs="Arial"/>
                <w:b/>
                <w:bCs/>
                <w:sz w:val="20"/>
                <w:szCs w:val="20"/>
                <w:lang w:eastAsia="en-GB"/>
              </w:rPr>
              <w:t>Usable Reserves</w:t>
            </w:r>
          </w:p>
        </w:tc>
        <w:tc>
          <w:tcPr>
            <w:tcW w:w="1417" w:type="dxa"/>
            <w:tcBorders>
              <w:top w:val="nil"/>
              <w:left w:val="single" w:color="auto" w:sz="4" w:space="0"/>
              <w:bottom w:val="nil"/>
              <w:right w:val="single" w:color="auto" w:sz="4" w:space="0"/>
            </w:tcBorders>
            <w:shd w:val="clear" w:color="auto" w:fill="auto"/>
            <w:noWrap/>
            <w:vAlign w:val="bottom"/>
          </w:tcPr>
          <w:p w:rsidRPr="00614894" w:rsidR="003520A9" w:rsidP="003520A9" w:rsidRDefault="003520A9" w14:paraId="051E52D7" w14:textId="115D6896">
            <w:pPr>
              <w:spacing w:after="0" w:line="240" w:lineRule="auto"/>
              <w:jc w:val="right"/>
              <w:rPr>
                <w:rFonts w:eastAsia="Times New Roman" w:cs="Arial"/>
                <w:b/>
                <w:bCs/>
                <w:color w:val="000000"/>
                <w:sz w:val="20"/>
                <w:szCs w:val="20"/>
                <w:highlight w:val="yellow"/>
                <w:lang w:eastAsia="en-GB"/>
              </w:rPr>
            </w:pPr>
            <w:r w:rsidRPr="00612819">
              <w:rPr>
                <w:rFonts w:eastAsia="Times New Roman" w:cs="Arial"/>
                <w:b/>
                <w:bCs/>
                <w:color w:val="000000"/>
                <w:sz w:val="20"/>
                <w:szCs w:val="20"/>
                <w:lang w:eastAsia="en-GB"/>
              </w:rPr>
              <w:t>1</w:t>
            </w:r>
            <w:r w:rsidRPr="00612819" w:rsidR="00612819">
              <w:rPr>
                <w:rFonts w:eastAsia="Times New Roman" w:cs="Arial"/>
                <w:b/>
                <w:bCs/>
                <w:color w:val="000000"/>
                <w:sz w:val="20"/>
                <w:szCs w:val="20"/>
                <w:lang w:eastAsia="en-GB"/>
              </w:rPr>
              <w:t>63</w:t>
            </w:r>
          </w:p>
        </w:tc>
      </w:tr>
      <w:tr w:rsidRPr="00614894" w:rsidR="003520A9" w:rsidTr="003520A9" w14:paraId="34911E46" w14:textId="77777777">
        <w:trPr>
          <w:trHeight w:val="255"/>
        </w:trPr>
        <w:tc>
          <w:tcPr>
            <w:tcW w:w="1320" w:type="dxa"/>
            <w:tcBorders>
              <w:top w:val="nil"/>
              <w:left w:val="single" w:color="auto" w:sz="4" w:space="0"/>
              <w:bottom w:val="nil"/>
              <w:right w:val="single" w:color="auto" w:sz="4" w:space="0"/>
            </w:tcBorders>
            <w:shd w:val="clear" w:color="auto" w:fill="auto"/>
            <w:noWrap/>
            <w:vAlign w:val="bottom"/>
          </w:tcPr>
          <w:p w:rsidRPr="00612819" w:rsidR="003520A9" w:rsidP="003520A9" w:rsidRDefault="003520A9" w14:paraId="3C0D9706" w14:textId="77777777">
            <w:pPr>
              <w:spacing w:after="0" w:line="240" w:lineRule="auto"/>
              <w:jc w:val="right"/>
              <w:rPr>
                <w:rFonts w:eastAsia="Times New Roman" w:cs="Arial"/>
                <w:color w:val="000000"/>
                <w:sz w:val="20"/>
                <w:szCs w:val="20"/>
                <w:lang w:eastAsia="en-GB"/>
              </w:rPr>
            </w:pPr>
          </w:p>
        </w:tc>
        <w:tc>
          <w:tcPr>
            <w:tcW w:w="661" w:type="dxa"/>
            <w:tcBorders>
              <w:top w:val="nil"/>
              <w:left w:val="nil"/>
              <w:bottom w:val="nil"/>
              <w:right w:val="single" w:color="auto" w:sz="4" w:space="0"/>
            </w:tcBorders>
          </w:tcPr>
          <w:p w:rsidRPr="00614894" w:rsidR="003520A9" w:rsidP="003520A9" w:rsidRDefault="003520A9" w14:paraId="33DD5496" w14:textId="77777777">
            <w:pPr>
              <w:spacing w:after="0" w:line="240" w:lineRule="auto"/>
              <w:jc w:val="center"/>
              <w:rPr>
                <w:rFonts w:eastAsia="Times New Roman" w:cs="Arial"/>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tcPr>
          <w:p w:rsidRPr="00612819" w:rsidR="003520A9" w:rsidP="003520A9" w:rsidRDefault="003520A9" w14:paraId="70679685" w14:textId="43912FA3">
            <w:pPr>
              <w:spacing w:after="0" w:line="240" w:lineRule="auto"/>
              <w:rPr>
                <w:rFonts w:eastAsia="Times New Roman" w:cs="Arial"/>
                <w:sz w:val="20"/>
                <w:szCs w:val="20"/>
                <w:lang w:eastAsia="en-GB"/>
              </w:rPr>
            </w:pPr>
          </w:p>
        </w:tc>
        <w:tc>
          <w:tcPr>
            <w:tcW w:w="1417" w:type="dxa"/>
            <w:tcBorders>
              <w:top w:val="nil"/>
              <w:left w:val="single" w:color="auto" w:sz="4" w:space="0"/>
              <w:bottom w:val="nil"/>
              <w:right w:val="single" w:color="auto" w:sz="4" w:space="0"/>
            </w:tcBorders>
            <w:shd w:val="clear" w:color="auto" w:fill="auto"/>
            <w:noWrap/>
            <w:vAlign w:val="bottom"/>
          </w:tcPr>
          <w:p w:rsidRPr="00614894" w:rsidR="003520A9" w:rsidP="003520A9" w:rsidRDefault="003520A9" w14:paraId="7DDA2382" w14:textId="77777777">
            <w:pPr>
              <w:spacing w:after="0" w:line="240" w:lineRule="auto"/>
              <w:jc w:val="right"/>
              <w:rPr>
                <w:rFonts w:eastAsia="Times New Roman" w:cs="Arial"/>
                <w:color w:val="000000"/>
                <w:sz w:val="20"/>
                <w:szCs w:val="20"/>
                <w:highlight w:val="yellow"/>
                <w:lang w:eastAsia="en-GB"/>
              </w:rPr>
            </w:pPr>
          </w:p>
        </w:tc>
      </w:tr>
      <w:tr w:rsidRPr="00614894" w:rsidR="003520A9" w:rsidTr="003520A9" w14:paraId="5761CDBF"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9F085B" w14:paraId="3E433A92" w14:textId="17B609BC">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w:t>
            </w:r>
            <w:r w:rsidRPr="00612819" w:rsidR="00612819">
              <w:rPr>
                <w:rFonts w:eastAsia="Times New Roman" w:cs="Arial"/>
                <w:color w:val="000000"/>
                <w:sz w:val="20"/>
                <w:szCs w:val="20"/>
                <w:lang w:eastAsia="en-GB"/>
              </w:rPr>
              <w:t>21</w:t>
            </w:r>
            <w:r>
              <w:rPr>
                <w:rFonts w:eastAsia="Times New Roman" w:cs="Arial"/>
                <w:color w:val="000000"/>
                <w:sz w:val="20"/>
                <w:szCs w:val="20"/>
                <w:lang w:eastAsia="en-GB"/>
              </w:rPr>
              <w:t>)</w:t>
            </w:r>
          </w:p>
        </w:tc>
        <w:tc>
          <w:tcPr>
            <w:tcW w:w="661" w:type="dxa"/>
            <w:tcBorders>
              <w:top w:val="nil"/>
              <w:left w:val="nil"/>
              <w:bottom w:val="nil"/>
              <w:right w:val="single" w:color="auto" w:sz="4" w:space="0"/>
            </w:tcBorders>
          </w:tcPr>
          <w:p w:rsidRPr="00614894" w:rsidR="003520A9" w:rsidP="003520A9" w:rsidRDefault="00EC0BA1" w14:paraId="01ECDE26" w14:textId="18751AF2">
            <w:pPr>
              <w:spacing w:after="0" w:line="240" w:lineRule="auto"/>
              <w:jc w:val="center"/>
              <w:rPr>
                <w:rFonts w:eastAsia="Times New Roman" w:cs="Arial"/>
                <w:sz w:val="20"/>
                <w:szCs w:val="20"/>
                <w:highlight w:val="yellow"/>
                <w:lang w:eastAsia="en-GB"/>
              </w:rPr>
            </w:pPr>
            <w:r w:rsidRPr="00EC0BA1">
              <w:rPr>
                <w:rFonts w:eastAsia="Times New Roman" w:cs="Arial"/>
                <w:sz w:val="20"/>
                <w:szCs w:val="20"/>
                <w:lang w:eastAsia="en-GB"/>
              </w:rPr>
              <w:t>18</w:t>
            </w:r>
          </w:p>
        </w:tc>
        <w:tc>
          <w:tcPr>
            <w:tcW w:w="567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342AD665" w14:textId="4D02DD33">
            <w:pPr>
              <w:spacing w:after="0" w:line="240" w:lineRule="auto"/>
              <w:rPr>
                <w:rFonts w:eastAsia="Times New Roman" w:cs="Arial"/>
                <w:sz w:val="20"/>
                <w:szCs w:val="20"/>
                <w:lang w:eastAsia="en-GB"/>
              </w:rPr>
            </w:pPr>
            <w:r w:rsidRPr="00612819">
              <w:rPr>
                <w:rFonts w:eastAsia="Times New Roman" w:cs="Arial"/>
                <w:sz w:val="20"/>
                <w:szCs w:val="20"/>
                <w:lang w:eastAsia="en-GB"/>
              </w:rPr>
              <w:t xml:space="preserve">Accumulated Absences </w:t>
            </w:r>
          </w:p>
        </w:tc>
        <w:tc>
          <w:tcPr>
            <w:tcW w:w="1417" w:type="dxa"/>
            <w:tcBorders>
              <w:top w:val="nil"/>
              <w:left w:val="single" w:color="auto" w:sz="4" w:space="0"/>
              <w:bottom w:val="nil"/>
              <w:right w:val="single" w:color="auto" w:sz="4" w:space="0"/>
            </w:tcBorders>
            <w:shd w:val="clear" w:color="auto" w:fill="auto"/>
            <w:noWrap/>
            <w:vAlign w:val="bottom"/>
          </w:tcPr>
          <w:p w:rsidRPr="00612819" w:rsidR="003520A9" w:rsidP="003520A9" w:rsidRDefault="009F085B" w14:paraId="5A7F0EA6" w14:textId="5EDD273D">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w:t>
            </w:r>
            <w:r w:rsidRPr="00612819" w:rsidR="00612819">
              <w:rPr>
                <w:rFonts w:eastAsia="Times New Roman" w:cs="Arial"/>
                <w:color w:val="000000"/>
                <w:sz w:val="20"/>
                <w:szCs w:val="20"/>
                <w:lang w:eastAsia="en-GB"/>
              </w:rPr>
              <w:t>19</w:t>
            </w:r>
            <w:r>
              <w:rPr>
                <w:rFonts w:eastAsia="Times New Roman" w:cs="Arial"/>
                <w:color w:val="000000"/>
                <w:sz w:val="20"/>
                <w:szCs w:val="20"/>
                <w:lang w:eastAsia="en-GB"/>
              </w:rPr>
              <w:t>)</w:t>
            </w:r>
          </w:p>
        </w:tc>
      </w:tr>
      <w:tr w:rsidRPr="00614894" w:rsidR="003520A9" w:rsidTr="003520A9" w14:paraId="2EE1A8D1" w14:textId="77777777">
        <w:trPr>
          <w:trHeight w:val="255"/>
        </w:trPr>
        <w:tc>
          <w:tcPr>
            <w:tcW w:w="1320" w:type="dxa"/>
            <w:tcBorders>
              <w:top w:val="nil"/>
              <w:left w:val="single" w:color="auto" w:sz="4" w:space="0"/>
              <w:bottom w:val="single" w:color="auto" w:sz="4" w:space="0"/>
              <w:right w:val="single" w:color="auto" w:sz="4" w:space="0"/>
            </w:tcBorders>
            <w:shd w:val="clear" w:color="auto" w:fill="auto"/>
            <w:noWrap/>
            <w:vAlign w:val="bottom"/>
            <w:hideMark/>
          </w:tcPr>
          <w:p w:rsidRPr="00612819" w:rsidR="003520A9" w:rsidP="003520A9" w:rsidRDefault="009F085B" w14:paraId="6A1F66EA" w14:textId="48137F09">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w:t>
            </w:r>
            <w:r w:rsidRPr="00612819" w:rsidR="00612819">
              <w:rPr>
                <w:rFonts w:eastAsia="Times New Roman" w:cs="Arial"/>
                <w:color w:val="000000"/>
                <w:sz w:val="20"/>
                <w:szCs w:val="20"/>
                <w:lang w:eastAsia="en-GB"/>
              </w:rPr>
              <w:t>520</w:t>
            </w:r>
            <w:r>
              <w:rPr>
                <w:rFonts w:eastAsia="Times New Roman" w:cs="Arial"/>
                <w:color w:val="000000"/>
                <w:sz w:val="20"/>
                <w:szCs w:val="20"/>
                <w:lang w:eastAsia="en-GB"/>
              </w:rPr>
              <w:t>)</w:t>
            </w:r>
          </w:p>
        </w:tc>
        <w:tc>
          <w:tcPr>
            <w:tcW w:w="661" w:type="dxa"/>
            <w:tcBorders>
              <w:top w:val="nil"/>
              <w:left w:val="nil"/>
              <w:bottom w:val="nil"/>
              <w:right w:val="single" w:color="auto" w:sz="4" w:space="0"/>
            </w:tcBorders>
          </w:tcPr>
          <w:p w:rsidRPr="00614894" w:rsidR="003520A9" w:rsidP="003520A9" w:rsidRDefault="00EC0BA1" w14:paraId="440C1CE9" w14:textId="58D42947">
            <w:pPr>
              <w:spacing w:after="0" w:line="240" w:lineRule="auto"/>
              <w:jc w:val="center"/>
              <w:rPr>
                <w:rFonts w:eastAsia="Times New Roman" w:cs="Arial"/>
                <w:sz w:val="20"/>
                <w:szCs w:val="20"/>
                <w:highlight w:val="yellow"/>
                <w:lang w:eastAsia="en-GB"/>
              </w:rPr>
            </w:pPr>
            <w:r w:rsidRPr="00EC0BA1">
              <w:rPr>
                <w:rFonts w:eastAsia="Times New Roman" w:cs="Arial"/>
                <w:sz w:val="20"/>
                <w:szCs w:val="20"/>
                <w:lang w:eastAsia="en-GB"/>
              </w:rPr>
              <w:t>17</w:t>
            </w:r>
          </w:p>
        </w:tc>
        <w:tc>
          <w:tcPr>
            <w:tcW w:w="567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51BC0DE7" w14:textId="00A7E516">
            <w:pPr>
              <w:spacing w:after="0" w:line="240" w:lineRule="auto"/>
              <w:rPr>
                <w:rFonts w:eastAsia="Times New Roman" w:cs="Arial"/>
                <w:sz w:val="20"/>
                <w:szCs w:val="20"/>
                <w:lang w:eastAsia="en-GB"/>
              </w:rPr>
            </w:pPr>
            <w:r w:rsidRPr="00612819">
              <w:rPr>
                <w:rFonts w:eastAsia="Times New Roman" w:cs="Arial"/>
                <w:sz w:val="20"/>
                <w:szCs w:val="20"/>
                <w:lang w:eastAsia="en-GB"/>
              </w:rPr>
              <w:t>Pensions Reserve</w:t>
            </w:r>
          </w:p>
        </w:tc>
        <w:tc>
          <w:tcPr>
            <w:tcW w:w="1417" w:type="dxa"/>
            <w:tcBorders>
              <w:top w:val="nil"/>
              <w:left w:val="single" w:color="auto" w:sz="4" w:space="0"/>
              <w:bottom w:val="single" w:color="auto" w:sz="4" w:space="0"/>
              <w:right w:val="single" w:color="auto" w:sz="4" w:space="0"/>
            </w:tcBorders>
            <w:shd w:val="clear" w:color="auto" w:fill="auto"/>
            <w:noWrap/>
            <w:vAlign w:val="bottom"/>
          </w:tcPr>
          <w:p w:rsidRPr="00612819" w:rsidR="003520A9" w:rsidP="003520A9" w:rsidRDefault="009F085B" w14:paraId="3B545F88" w14:textId="14236906">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w:t>
            </w:r>
            <w:r w:rsidRPr="00612819" w:rsidR="00612819">
              <w:rPr>
                <w:rFonts w:eastAsia="Times New Roman" w:cs="Arial"/>
                <w:color w:val="000000"/>
                <w:sz w:val="20"/>
                <w:szCs w:val="20"/>
                <w:lang w:eastAsia="en-GB"/>
              </w:rPr>
              <w:t>3,480</w:t>
            </w:r>
            <w:r>
              <w:rPr>
                <w:rFonts w:eastAsia="Times New Roman" w:cs="Arial"/>
                <w:color w:val="000000"/>
                <w:sz w:val="20"/>
                <w:szCs w:val="20"/>
                <w:lang w:eastAsia="en-GB"/>
              </w:rPr>
              <w:t>)</w:t>
            </w:r>
          </w:p>
        </w:tc>
      </w:tr>
      <w:tr w:rsidRPr="00614894" w:rsidR="003520A9" w:rsidTr="003520A9" w14:paraId="77A29A15"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9F085B" w14:paraId="22162D8C" w14:textId="47C922C0">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612819" w:rsidR="00612819">
              <w:rPr>
                <w:rFonts w:eastAsia="Times New Roman" w:cs="Arial"/>
                <w:b/>
                <w:bCs/>
                <w:color w:val="000000"/>
                <w:sz w:val="20"/>
                <w:szCs w:val="20"/>
                <w:lang w:eastAsia="en-GB"/>
              </w:rPr>
              <w:t>541</w:t>
            </w:r>
            <w:r>
              <w:rPr>
                <w:rFonts w:eastAsia="Times New Roman" w:cs="Arial"/>
                <w:b/>
                <w:bCs/>
                <w:color w:val="000000"/>
                <w:sz w:val="20"/>
                <w:szCs w:val="20"/>
                <w:lang w:eastAsia="en-GB"/>
              </w:rPr>
              <w:t>)</w:t>
            </w:r>
          </w:p>
        </w:tc>
        <w:tc>
          <w:tcPr>
            <w:tcW w:w="661" w:type="dxa"/>
            <w:tcBorders>
              <w:top w:val="nil"/>
              <w:left w:val="nil"/>
              <w:bottom w:val="nil"/>
              <w:right w:val="single" w:color="auto" w:sz="4" w:space="0"/>
            </w:tcBorders>
          </w:tcPr>
          <w:p w:rsidRPr="00614894" w:rsidR="003520A9" w:rsidP="003520A9" w:rsidRDefault="003520A9" w14:paraId="56ED4918" w14:textId="77777777">
            <w:pPr>
              <w:spacing w:after="0" w:line="240" w:lineRule="auto"/>
              <w:jc w:val="center"/>
              <w:rPr>
                <w:rFonts w:eastAsia="Times New Roman" w:cs="Arial"/>
                <w:b/>
                <w:bCs/>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47DE229C" w14:textId="1FBDFF06">
            <w:pPr>
              <w:spacing w:after="0" w:line="240" w:lineRule="auto"/>
              <w:rPr>
                <w:rFonts w:eastAsia="Times New Roman" w:cs="Arial"/>
                <w:b/>
                <w:bCs/>
                <w:sz w:val="20"/>
                <w:szCs w:val="20"/>
                <w:lang w:eastAsia="en-GB"/>
              </w:rPr>
            </w:pPr>
            <w:r w:rsidRPr="00612819">
              <w:rPr>
                <w:rFonts w:eastAsia="Times New Roman" w:cs="Arial"/>
                <w:b/>
                <w:bCs/>
                <w:sz w:val="20"/>
                <w:szCs w:val="20"/>
                <w:lang w:eastAsia="en-GB"/>
              </w:rPr>
              <w:t>Unusable Reserves</w:t>
            </w:r>
          </w:p>
        </w:tc>
        <w:tc>
          <w:tcPr>
            <w:tcW w:w="1417" w:type="dxa"/>
            <w:tcBorders>
              <w:top w:val="nil"/>
              <w:left w:val="single" w:color="auto" w:sz="4" w:space="0"/>
              <w:bottom w:val="nil"/>
              <w:right w:val="single" w:color="auto" w:sz="4" w:space="0"/>
            </w:tcBorders>
            <w:shd w:val="clear" w:color="auto" w:fill="auto"/>
            <w:noWrap/>
            <w:vAlign w:val="bottom"/>
          </w:tcPr>
          <w:p w:rsidRPr="00612819" w:rsidR="003520A9" w:rsidP="003520A9" w:rsidRDefault="009F085B" w14:paraId="21DB5D9A" w14:textId="3F83A02D">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00443735">
              <w:rPr>
                <w:rFonts w:eastAsia="Times New Roman" w:cs="Arial"/>
                <w:b/>
                <w:bCs/>
                <w:color w:val="000000"/>
                <w:sz w:val="20"/>
                <w:szCs w:val="20"/>
                <w:lang w:eastAsia="en-GB"/>
              </w:rPr>
              <w:t>3,499</w:t>
            </w:r>
            <w:r>
              <w:rPr>
                <w:rFonts w:eastAsia="Times New Roman" w:cs="Arial"/>
                <w:b/>
                <w:bCs/>
                <w:color w:val="000000"/>
                <w:sz w:val="20"/>
                <w:szCs w:val="20"/>
                <w:lang w:eastAsia="en-GB"/>
              </w:rPr>
              <w:t>)</w:t>
            </w:r>
          </w:p>
        </w:tc>
      </w:tr>
      <w:tr w:rsidRPr="00614894" w:rsidR="003520A9" w:rsidTr="003520A9" w14:paraId="15270033" w14:textId="77777777">
        <w:trPr>
          <w:trHeight w:val="255"/>
        </w:trPr>
        <w:tc>
          <w:tcPr>
            <w:tcW w:w="132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33FE2039" w14:textId="77777777">
            <w:pPr>
              <w:spacing w:after="0" w:line="240" w:lineRule="auto"/>
              <w:rPr>
                <w:rFonts w:eastAsia="Times New Roman" w:cs="Arial"/>
                <w:color w:val="000000"/>
                <w:sz w:val="20"/>
                <w:szCs w:val="20"/>
                <w:lang w:eastAsia="en-GB"/>
              </w:rPr>
            </w:pPr>
            <w:r w:rsidRPr="00612819">
              <w:rPr>
                <w:rFonts w:eastAsia="Times New Roman" w:cs="Arial"/>
                <w:color w:val="000000"/>
                <w:sz w:val="20"/>
                <w:szCs w:val="20"/>
                <w:lang w:eastAsia="en-GB"/>
              </w:rPr>
              <w:t> </w:t>
            </w:r>
          </w:p>
        </w:tc>
        <w:tc>
          <w:tcPr>
            <w:tcW w:w="661" w:type="dxa"/>
            <w:tcBorders>
              <w:top w:val="nil"/>
              <w:left w:val="nil"/>
              <w:bottom w:val="nil"/>
              <w:right w:val="single" w:color="auto" w:sz="4" w:space="0"/>
            </w:tcBorders>
          </w:tcPr>
          <w:p w:rsidRPr="00614894" w:rsidR="003520A9" w:rsidP="003520A9" w:rsidRDefault="003520A9" w14:paraId="46E1DEA1" w14:textId="77777777">
            <w:pPr>
              <w:spacing w:after="0" w:line="240" w:lineRule="auto"/>
              <w:jc w:val="center"/>
              <w:rPr>
                <w:rFonts w:eastAsia="Times New Roman" w:cs="Arial"/>
                <w:sz w:val="20"/>
                <w:szCs w:val="20"/>
                <w:highlight w:val="yellow"/>
                <w:lang w:eastAsia="en-GB"/>
              </w:rPr>
            </w:pPr>
          </w:p>
        </w:tc>
        <w:tc>
          <w:tcPr>
            <w:tcW w:w="5670" w:type="dxa"/>
            <w:tcBorders>
              <w:top w:val="nil"/>
              <w:left w:val="single" w:color="auto" w:sz="4" w:space="0"/>
              <w:bottom w:val="nil"/>
              <w:right w:val="single" w:color="auto" w:sz="4" w:space="0"/>
            </w:tcBorders>
            <w:shd w:val="clear" w:color="auto" w:fill="auto"/>
            <w:noWrap/>
            <w:vAlign w:val="bottom"/>
            <w:hideMark/>
          </w:tcPr>
          <w:p w:rsidRPr="00612819" w:rsidR="003520A9" w:rsidP="003520A9" w:rsidRDefault="003520A9" w14:paraId="372709A4" w14:textId="6819F53C">
            <w:pPr>
              <w:spacing w:after="0" w:line="240" w:lineRule="auto"/>
              <w:rPr>
                <w:rFonts w:eastAsia="Times New Roman" w:cs="Arial"/>
                <w:sz w:val="20"/>
                <w:szCs w:val="20"/>
                <w:lang w:eastAsia="en-GB"/>
              </w:rPr>
            </w:pPr>
          </w:p>
        </w:tc>
        <w:tc>
          <w:tcPr>
            <w:tcW w:w="1417" w:type="dxa"/>
            <w:tcBorders>
              <w:top w:val="nil"/>
              <w:left w:val="single" w:color="auto" w:sz="4" w:space="0"/>
              <w:bottom w:val="nil"/>
              <w:right w:val="single" w:color="auto" w:sz="4" w:space="0"/>
            </w:tcBorders>
            <w:shd w:val="clear" w:color="auto" w:fill="auto"/>
            <w:noWrap/>
            <w:vAlign w:val="bottom"/>
          </w:tcPr>
          <w:p w:rsidRPr="00614894" w:rsidR="003520A9" w:rsidP="003520A9" w:rsidRDefault="003520A9" w14:paraId="5CFA9B5C" w14:textId="77777777">
            <w:pPr>
              <w:spacing w:after="0" w:line="240" w:lineRule="auto"/>
              <w:rPr>
                <w:rFonts w:eastAsia="Times New Roman" w:cs="Arial"/>
                <w:color w:val="000000"/>
                <w:sz w:val="20"/>
                <w:szCs w:val="20"/>
                <w:highlight w:val="yellow"/>
                <w:lang w:eastAsia="en-GB"/>
              </w:rPr>
            </w:pPr>
          </w:p>
        </w:tc>
      </w:tr>
      <w:tr w:rsidRPr="00614894" w:rsidR="003520A9" w:rsidTr="003520A9" w14:paraId="0B437F18" w14:textId="77777777">
        <w:trPr>
          <w:trHeight w:val="255"/>
        </w:trPr>
        <w:tc>
          <w:tcPr>
            <w:tcW w:w="1320"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612819" w:rsidR="003520A9" w:rsidP="003520A9" w:rsidRDefault="009F085B" w14:paraId="5639A135" w14:textId="5E6398BA">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612819" w:rsidR="00612819">
              <w:rPr>
                <w:rFonts w:eastAsia="Times New Roman" w:cs="Arial"/>
                <w:b/>
                <w:bCs/>
                <w:color w:val="000000"/>
                <w:sz w:val="20"/>
                <w:szCs w:val="20"/>
                <w:lang w:eastAsia="en-GB"/>
              </w:rPr>
              <w:t>399</w:t>
            </w:r>
            <w:r>
              <w:rPr>
                <w:rFonts w:eastAsia="Times New Roman" w:cs="Arial"/>
                <w:b/>
                <w:bCs/>
                <w:color w:val="000000"/>
                <w:sz w:val="20"/>
                <w:szCs w:val="20"/>
                <w:lang w:eastAsia="en-GB"/>
              </w:rPr>
              <w:t>)</w:t>
            </w:r>
          </w:p>
        </w:tc>
        <w:tc>
          <w:tcPr>
            <w:tcW w:w="661" w:type="dxa"/>
            <w:tcBorders>
              <w:top w:val="single" w:color="auto" w:sz="4" w:space="0"/>
              <w:left w:val="nil"/>
              <w:bottom w:val="single" w:color="auto" w:sz="4" w:space="0"/>
              <w:right w:val="single" w:color="auto" w:sz="4" w:space="0"/>
            </w:tcBorders>
            <w:shd w:val="clear" w:color="auto" w:fill="DBE5F1" w:themeFill="accent1" w:themeFillTint="33"/>
          </w:tcPr>
          <w:p w:rsidRPr="00614894" w:rsidR="003520A9" w:rsidP="003520A9" w:rsidRDefault="003520A9" w14:paraId="00B6131D" w14:textId="77777777">
            <w:pPr>
              <w:spacing w:after="0" w:line="240" w:lineRule="auto"/>
              <w:rPr>
                <w:rFonts w:eastAsia="Times New Roman" w:cs="Arial"/>
                <w:b/>
                <w:bCs/>
                <w:sz w:val="20"/>
                <w:szCs w:val="20"/>
                <w:highlight w:val="yellow"/>
                <w:lang w:eastAsia="en-GB"/>
              </w:rPr>
            </w:pPr>
          </w:p>
        </w:tc>
        <w:tc>
          <w:tcPr>
            <w:tcW w:w="5670"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612819" w:rsidR="003520A9" w:rsidP="003520A9" w:rsidRDefault="003520A9" w14:paraId="7BEA4C36" w14:textId="6226AC8A">
            <w:pPr>
              <w:spacing w:after="0" w:line="240" w:lineRule="auto"/>
              <w:rPr>
                <w:rFonts w:eastAsia="Times New Roman" w:cs="Arial"/>
                <w:b/>
                <w:bCs/>
                <w:sz w:val="20"/>
                <w:szCs w:val="20"/>
                <w:lang w:eastAsia="en-GB"/>
              </w:rPr>
            </w:pPr>
            <w:r w:rsidRPr="00612819">
              <w:rPr>
                <w:rFonts w:eastAsia="Times New Roman" w:cs="Arial"/>
                <w:b/>
                <w:bCs/>
                <w:sz w:val="20"/>
                <w:szCs w:val="20"/>
                <w:lang w:eastAsia="en-GB"/>
              </w:rPr>
              <w:t>Total Reserves</w:t>
            </w:r>
          </w:p>
        </w:tc>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614894" w:rsidR="003520A9" w:rsidP="003520A9" w:rsidRDefault="009F085B" w14:paraId="0B099FC8" w14:textId="468B2BFA">
            <w:pPr>
              <w:spacing w:after="0" w:line="240" w:lineRule="auto"/>
              <w:jc w:val="right"/>
              <w:rPr>
                <w:rFonts w:eastAsia="Times New Roman" w:cs="Arial"/>
                <w:b/>
                <w:bCs/>
                <w:color w:val="000000"/>
                <w:sz w:val="20"/>
                <w:szCs w:val="20"/>
                <w:highlight w:val="yellow"/>
                <w:lang w:eastAsia="en-GB"/>
              </w:rPr>
            </w:pPr>
            <w:r>
              <w:rPr>
                <w:rFonts w:eastAsia="Times New Roman" w:cs="Arial"/>
                <w:b/>
                <w:bCs/>
                <w:color w:val="000000"/>
                <w:sz w:val="20"/>
                <w:szCs w:val="20"/>
                <w:lang w:eastAsia="en-GB"/>
              </w:rPr>
              <w:t>(</w:t>
            </w:r>
            <w:r w:rsidRPr="00443735" w:rsidR="00443735">
              <w:rPr>
                <w:rFonts w:eastAsia="Times New Roman" w:cs="Arial"/>
                <w:b/>
                <w:bCs/>
                <w:color w:val="000000"/>
                <w:sz w:val="20"/>
                <w:szCs w:val="20"/>
                <w:lang w:eastAsia="en-GB"/>
              </w:rPr>
              <w:t>3,336</w:t>
            </w:r>
            <w:r>
              <w:rPr>
                <w:rFonts w:eastAsia="Times New Roman" w:cs="Arial"/>
                <w:b/>
                <w:bCs/>
                <w:color w:val="000000"/>
                <w:sz w:val="20"/>
                <w:szCs w:val="20"/>
                <w:lang w:eastAsia="en-GB"/>
              </w:rPr>
              <w:t>)</w:t>
            </w:r>
          </w:p>
        </w:tc>
      </w:tr>
    </w:tbl>
    <w:p w:rsidRPr="00614894" w:rsidR="001A640D" w:rsidP="00F75A6B" w:rsidRDefault="001A640D" w14:paraId="5D120EFB" w14:textId="340B3742">
      <w:pPr>
        <w:jc w:val="both"/>
        <w:rPr>
          <w:rFonts w:eastAsia="HGSMinchoE" w:cs="Times New Roman"/>
          <w:highlight w:val="yellow"/>
          <w:lang w:val="en-US"/>
        </w:rPr>
      </w:pPr>
    </w:p>
    <w:p w:rsidRPr="00614894" w:rsidR="001A640D" w:rsidP="00F75A6B" w:rsidRDefault="001A640D" w14:paraId="2D539F57" w14:textId="77777777">
      <w:pPr>
        <w:jc w:val="both"/>
        <w:rPr>
          <w:rFonts w:cs="Arial"/>
          <w:b/>
          <w:sz w:val="24"/>
          <w:szCs w:val="24"/>
          <w:highlight w:val="yellow"/>
        </w:rPr>
      </w:pPr>
    </w:p>
    <w:p w:rsidRPr="00614894" w:rsidR="004B44AE" w:rsidP="00F75A6B" w:rsidRDefault="004B44AE" w14:paraId="333BDAF0" w14:textId="77777777">
      <w:pPr>
        <w:jc w:val="both"/>
        <w:rPr>
          <w:rFonts w:cs="Arial"/>
          <w:b/>
          <w:sz w:val="24"/>
          <w:szCs w:val="24"/>
          <w:highlight w:val="yellow"/>
        </w:rPr>
      </w:pPr>
    </w:p>
    <w:p w:rsidRPr="00614894" w:rsidR="002D650A" w:rsidP="00F75A6B" w:rsidRDefault="002D650A" w14:paraId="1A4AE655" w14:textId="77777777">
      <w:pPr>
        <w:jc w:val="both"/>
        <w:rPr>
          <w:rFonts w:cs="Arial"/>
          <w:b/>
          <w:sz w:val="24"/>
          <w:szCs w:val="24"/>
          <w:highlight w:val="yellow"/>
        </w:rPr>
      </w:pPr>
    </w:p>
    <w:p w:rsidRPr="00614894" w:rsidR="002D650A" w:rsidP="00F75A6B" w:rsidRDefault="002D650A" w14:paraId="467306BF" w14:textId="77777777">
      <w:pPr>
        <w:jc w:val="both"/>
        <w:rPr>
          <w:rFonts w:cs="Arial"/>
          <w:b/>
          <w:sz w:val="24"/>
          <w:szCs w:val="24"/>
          <w:highlight w:val="yellow"/>
        </w:rPr>
      </w:pPr>
    </w:p>
    <w:p w:rsidRPr="00614894" w:rsidR="002D650A" w:rsidP="00F75A6B" w:rsidRDefault="002D650A" w14:paraId="45D6AC3F" w14:textId="77777777">
      <w:pPr>
        <w:jc w:val="both"/>
        <w:rPr>
          <w:rFonts w:cs="Arial"/>
          <w:b/>
          <w:sz w:val="24"/>
          <w:szCs w:val="24"/>
          <w:highlight w:val="yellow"/>
        </w:rPr>
      </w:pPr>
    </w:p>
    <w:p w:rsidRPr="00443735" w:rsidR="008A1012" w:rsidP="000746B4" w:rsidRDefault="003C4DCD" w14:paraId="579AC514" w14:textId="0AC2E09D">
      <w:pPr>
        <w:pStyle w:val="Heading1"/>
      </w:pPr>
      <w:bookmarkStart w:name="_Toc485903703" w:id="21"/>
      <w:bookmarkStart w:name="_Toc158193768" w:id="22"/>
      <w:r>
        <w:lastRenderedPageBreak/>
        <w:t>VVC</w:t>
      </w:r>
      <w:r w:rsidRPr="00443735" w:rsidR="00443735">
        <w:t xml:space="preserve"> Adoption</w:t>
      </w:r>
      <w:r w:rsidRPr="00443735" w:rsidR="00C515C8">
        <w:t xml:space="preserve"> </w:t>
      </w:r>
      <w:r w:rsidR="001E2079">
        <w:t xml:space="preserve">Collaborative </w:t>
      </w:r>
      <w:r w:rsidRPr="00443735" w:rsidR="00C515C8">
        <w:t>Cash</w:t>
      </w:r>
      <w:r w:rsidRPr="00443735" w:rsidR="00CF1900">
        <w:t xml:space="preserve"> Flow Statement</w:t>
      </w:r>
      <w:r w:rsidRPr="00443735" w:rsidR="005736F9">
        <w:t xml:space="preserve"> 202</w:t>
      </w:r>
      <w:r w:rsidRPr="00443735" w:rsidR="00392716">
        <w:t>2</w:t>
      </w:r>
      <w:r w:rsidRPr="00443735" w:rsidR="00B64348">
        <w:t>/</w:t>
      </w:r>
      <w:r w:rsidRPr="00443735" w:rsidR="005736F9">
        <w:t>2</w:t>
      </w:r>
      <w:r w:rsidRPr="00443735" w:rsidR="00392716">
        <w:t>3</w:t>
      </w:r>
      <w:r w:rsidRPr="00443735" w:rsidR="00B64348">
        <w:t xml:space="preserve"> and</w:t>
      </w:r>
      <w:r w:rsidRPr="00443735" w:rsidR="005736F9">
        <w:t xml:space="preserve"> 202</w:t>
      </w:r>
      <w:r w:rsidRPr="00443735" w:rsidR="00392716">
        <w:t>1</w:t>
      </w:r>
      <w:r w:rsidRPr="00443735" w:rsidR="00910043">
        <w:t>/</w:t>
      </w:r>
      <w:bookmarkEnd w:id="21"/>
      <w:r w:rsidRPr="00443735" w:rsidR="00A75B71">
        <w:t>2</w:t>
      </w:r>
      <w:r w:rsidRPr="00443735" w:rsidR="00392716">
        <w:t>2</w:t>
      </w:r>
      <w:bookmarkEnd w:id="22"/>
    </w:p>
    <w:p w:rsidRPr="00614894" w:rsidR="009A7388" w:rsidP="00BD27A5" w:rsidRDefault="008A1012" w14:paraId="67876216" w14:textId="1B0A2F57">
      <w:pPr>
        <w:jc w:val="both"/>
        <w:rPr>
          <w:rFonts w:cs="Arial"/>
          <w:b/>
          <w:sz w:val="24"/>
          <w:szCs w:val="24"/>
          <w:highlight w:val="yellow"/>
        </w:rPr>
      </w:pPr>
      <w:bookmarkStart w:name="_Toc516654813" w:id="23"/>
      <w:bookmarkStart w:name="_Toc516738312" w:id="24"/>
      <w:r w:rsidRPr="00443735">
        <w:t>The Cash Flow Statement shows the change in cash and c</w:t>
      </w:r>
      <w:r w:rsidRPr="00443735" w:rsidR="00BD27A5">
        <w:t xml:space="preserve">ash equivalents of </w:t>
      </w:r>
      <w:r w:rsidRPr="00386566" w:rsidR="003C4DCD">
        <w:rPr>
          <w:bCs/>
        </w:rPr>
        <w:t xml:space="preserve">VVC </w:t>
      </w:r>
      <w:r w:rsidRPr="00443735">
        <w:t>during the reporting period. The s</w:t>
      </w:r>
      <w:r w:rsidRPr="00443735" w:rsidR="00BD27A5">
        <w:t xml:space="preserve">tatement </w:t>
      </w:r>
      <w:r w:rsidRPr="00F06452" w:rsidR="00BD27A5">
        <w:t xml:space="preserve">shows how </w:t>
      </w:r>
      <w:r w:rsidRPr="00386566" w:rsidR="003C4DCD">
        <w:rPr>
          <w:bCs/>
        </w:rPr>
        <w:t>VVC</w:t>
      </w:r>
      <w:r w:rsidRPr="00F06452">
        <w:t xml:space="preserve"> generates and uses cash and cash equivalents by classifying cash flows into operating and investing and financing activities.</w:t>
      </w:r>
      <w:r w:rsidRPr="00F06452" w:rsidR="00557765">
        <w:t xml:space="preserve">  </w:t>
      </w:r>
      <w:r w:rsidRPr="00F06452" w:rsidR="001B6373">
        <w:t xml:space="preserve">The function of this statement is detailed on page </w:t>
      </w:r>
      <w:bookmarkEnd w:id="23"/>
      <w:bookmarkEnd w:id="24"/>
      <w:r w:rsidRPr="00EC0BA1" w:rsidR="00EC0BA1">
        <w:t>1</w:t>
      </w:r>
      <w:r w:rsidR="00B42AAF">
        <w:t>7</w:t>
      </w:r>
      <w:r w:rsidRPr="00EC0BA1" w:rsidR="00CD4A8C">
        <w:t xml:space="preserve"> of this report.</w:t>
      </w:r>
    </w:p>
    <w:tbl>
      <w:tblPr>
        <w:tblW w:w="8974" w:type="dxa"/>
        <w:tblInd w:w="93" w:type="dxa"/>
        <w:tblLook w:val="04A0" w:firstRow="1" w:lastRow="0" w:firstColumn="1" w:lastColumn="0" w:noHBand="0" w:noVBand="1"/>
      </w:tblPr>
      <w:tblGrid>
        <w:gridCol w:w="1603"/>
        <w:gridCol w:w="5812"/>
        <w:gridCol w:w="1559"/>
      </w:tblGrid>
      <w:tr w:rsidRPr="00614894" w:rsidR="00035556" w:rsidTr="00E92AB7" w14:paraId="3538C742" w14:textId="77777777">
        <w:trPr>
          <w:trHeight w:val="454"/>
        </w:trPr>
        <w:tc>
          <w:tcPr>
            <w:tcW w:w="1603" w:type="dxa"/>
            <w:tcBorders>
              <w:top w:val="single" w:color="auto" w:sz="4" w:space="0"/>
              <w:left w:val="single" w:color="auto" w:sz="4" w:space="0"/>
              <w:right w:val="single" w:color="auto" w:sz="4" w:space="0"/>
            </w:tcBorders>
            <w:shd w:val="clear" w:color="auto" w:fill="DBE5F1" w:themeFill="accent1" w:themeFillTint="33"/>
            <w:noWrap/>
            <w:vAlign w:val="bottom"/>
          </w:tcPr>
          <w:p w:rsidRPr="00443735" w:rsidR="00035556" w:rsidP="00A000D0" w:rsidRDefault="00035556" w14:paraId="4FCACD51" w14:textId="39664AAD">
            <w:pPr>
              <w:spacing w:after="0" w:line="240" w:lineRule="auto"/>
              <w:jc w:val="center"/>
              <w:rPr>
                <w:rFonts w:eastAsia="Times New Roman" w:cs="Arial"/>
                <w:b/>
                <w:bCs/>
                <w:color w:val="000000"/>
                <w:lang w:eastAsia="en-GB"/>
              </w:rPr>
            </w:pPr>
            <w:r w:rsidRPr="00443735">
              <w:rPr>
                <w:rFonts w:eastAsia="Times New Roman" w:cs="Arial"/>
                <w:b/>
                <w:bCs/>
                <w:color w:val="000000"/>
                <w:lang w:eastAsia="en-GB"/>
              </w:rPr>
              <w:t>31</w:t>
            </w:r>
            <w:r w:rsidRPr="00443735">
              <w:rPr>
                <w:rFonts w:eastAsia="Times New Roman" w:cs="Arial"/>
                <w:b/>
                <w:bCs/>
                <w:color w:val="000000"/>
                <w:vertAlign w:val="superscript"/>
                <w:lang w:eastAsia="en-GB"/>
              </w:rPr>
              <w:t>st</w:t>
            </w:r>
            <w:r w:rsidRPr="00443735" w:rsidR="005736F9">
              <w:rPr>
                <w:rFonts w:eastAsia="Times New Roman" w:cs="Arial"/>
                <w:b/>
                <w:bCs/>
                <w:color w:val="000000"/>
                <w:lang w:eastAsia="en-GB"/>
              </w:rPr>
              <w:t xml:space="preserve"> March 202</w:t>
            </w:r>
            <w:r w:rsidRPr="00443735" w:rsidR="00AE15D4">
              <w:rPr>
                <w:rFonts w:eastAsia="Times New Roman" w:cs="Arial"/>
                <w:b/>
                <w:bCs/>
                <w:color w:val="000000"/>
                <w:lang w:eastAsia="en-GB"/>
              </w:rPr>
              <w:t>3</w:t>
            </w:r>
          </w:p>
        </w:tc>
        <w:tc>
          <w:tcPr>
            <w:tcW w:w="5812" w:type="dxa"/>
            <w:tcBorders>
              <w:top w:val="single" w:color="auto" w:sz="4" w:space="0"/>
              <w:left w:val="single" w:color="auto" w:sz="4" w:space="0"/>
              <w:right w:val="single" w:color="auto" w:sz="4" w:space="0"/>
            </w:tcBorders>
            <w:shd w:val="clear" w:color="auto" w:fill="DBE5F1" w:themeFill="accent1" w:themeFillTint="33"/>
            <w:noWrap/>
            <w:vAlign w:val="bottom"/>
          </w:tcPr>
          <w:p w:rsidRPr="00443735" w:rsidR="00035556" w:rsidP="00A000D0" w:rsidRDefault="00035556" w14:paraId="323388C6" w14:textId="77777777">
            <w:pPr>
              <w:spacing w:after="0" w:line="240" w:lineRule="auto"/>
              <w:rPr>
                <w:rFonts w:eastAsia="Times New Roman" w:cs="Arial"/>
                <w:b/>
                <w:bCs/>
                <w:color w:val="000000"/>
                <w:lang w:eastAsia="en-GB"/>
              </w:rPr>
            </w:pPr>
          </w:p>
        </w:tc>
        <w:tc>
          <w:tcPr>
            <w:tcW w:w="1559" w:type="dxa"/>
            <w:tcBorders>
              <w:top w:val="single" w:color="auto" w:sz="4" w:space="0"/>
              <w:left w:val="single" w:color="auto" w:sz="4" w:space="0"/>
              <w:right w:val="single" w:color="auto" w:sz="4" w:space="0"/>
            </w:tcBorders>
            <w:shd w:val="clear" w:color="auto" w:fill="DBE5F1" w:themeFill="accent1" w:themeFillTint="33"/>
            <w:noWrap/>
            <w:vAlign w:val="bottom"/>
          </w:tcPr>
          <w:p w:rsidRPr="00443735" w:rsidR="00035556" w:rsidP="00A000D0" w:rsidRDefault="00035556" w14:paraId="7E12E06E" w14:textId="7F5902BA">
            <w:pPr>
              <w:spacing w:after="0" w:line="240" w:lineRule="auto"/>
              <w:jc w:val="center"/>
              <w:rPr>
                <w:rFonts w:eastAsia="Times New Roman" w:cs="Arial"/>
                <w:b/>
                <w:bCs/>
                <w:color w:val="000000"/>
                <w:lang w:eastAsia="en-GB"/>
              </w:rPr>
            </w:pPr>
            <w:r w:rsidRPr="00443735">
              <w:rPr>
                <w:rFonts w:eastAsia="Times New Roman" w:cs="Arial"/>
                <w:b/>
                <w:bCs/>
                <w:color w:val="000000"/>
                <w:lang w:eastAsia="en-GB"/>
              </w:rPr>
              <w:t>31</w:t>
            </w:r>
            <w:r w:rsidRPr="00443735">
              <w:rPr>
                <w:rFonts w:eastAsia="Times New Roman" w:cs="Arial"/>
                <w:b/>
                <w:bCs/>
                <w:color w:val="000000"/>
                <w:vertAlign w:val="superscript"/>
                <w:lang w:eastAsia="en-GB"/>
              </w:rPr>
              <w:t>st</w:t>
            </w:r>
            <w:r w:rsidRPr="00443735" w:rsidR="005736F9">
              <w:rPr>
                <w:rFonts w:eastAsia="Times New Roman" w:cs="Arial"/>
                <w:b/>
                <w:bCs/>
                <w:color w:val="000000"/>
                <w:lang w:eastAsia="en-GB"/>
              </w:rPr>
              <w:t xml:space="preserve"> March 202</w:t>
            </w:r>
            <w:r w:rsidRPr="00443735" w:rsidR="00AE15D4">
              <w:rPr>
                <w:rFonts w:eastAsia="Times New Roman" w:cs="Arial"/>
                <w:b/>
                <w:bCs/>
                <w:color w:val="000000"/>
                <w:lang w:eastAsia="en-GB"/>
              </w:rPr>
              <w:t>2</w:t>
            </w:r>
          </w:p>
        </w:tc>
      </w:tr>
      <w:tr w:rsidRPr="00614894" w:rsidR="00F61B38" w:rsidTr="00E92AB7" w14:paraId="65518550" w14:textId="77777777">
        <w:trPr>
          <w:trHeight w:val="359"/>
        </w:trPr>
        <w:tc>
          <w:tcPr>
            <w:tcW w:w="1603"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443735" w:rsidR="00F61B38" w:rsidP="00A000D0" w:rsidRDefault="00F61B38" w14:paraId="4BC7C07E" w14:textId="77777777">
            <w:pPr>
              <w:spacing w:after="0" w:line="240" w:lineRule="auto"/>
              <w:jc w:val="center"/>
              <w:rPr>
                <w:rFonts w:eastAsia="Times New Roman" w:cs="Arial"/>
                <w:b/>
                <w:bCs/>
                <w:color w:val="000000"/>
                <w:lang w:eastAsia="en-GB"/>
              </w:rPr>
            </w:pPr>
            <w:r w:rsidRPr="00443735">
              <w:rPr>
                <w:rFonts w:eastAsia="Times New Roman" w:cs="Arial"/>
                <w:b/>
                <w:bCs/>
                <w:color w:val="000000"/>
                <w:lang w:eastAsia="en-GB"/>
              </w:rPr>
              <w:t>£'000</w:t>
            </w:r>
          </w:p>
        </w:tc>
        <w:tc>
          <w:tcPr>
            <w:tcW w:w="5812"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443735" w:rsidR="00F61B38" w:rsidP="00A000D0" w:rsidRDefault="00F61B38" w14:paraId="49307970" w14:textId="77777777">
            <w:pPr>
              <w:spacing w:after="0" w:line="240" w:lineRule="auto"/>
              <w:rPr>
                <w:rFonts w:eastAsia="Times New Roman" w:cs="Arial"/>
                <w:b/>
                <w:bCs/>
                <w:color w:val="000000"/>
                <w:lang w:eastAsia="en-GB"/>
              </w:rPr>
            </w:pPr>
            <w:r w:rsidRPr="00443735">
              <w:rPr>
                <w:rFonts w:eastAsia="Times New Roman" w:cs="Arial"/>
                <w:b/>
                <w:bCs/>
                <w:color w:val="000000"/>
                <w:lang w:eastAsia="en-GB"/>
              </w:rPr>
              <w:t> </w:t>
            </w:r>
          </w:p>
        </w:tc>
        <w:tc>
          <w:tcPr>
            <w:tcW w:w="1559"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443735" w:rsidR="00F61B38" w:rsidP="00A000D0" w:rsidRDefault="00F61B38" w14:paraId="63AFAB75" w14:textId="77777777">
            <w:pPr>
              <w:spacing w:after="0" w:line="240" w:lineRule="auto"/>
              <w:jc w:val="center"/>
              <w:rPr>
                <w:rFonts w:eastAsia="Times New Roman" w:cs="Arial"/>
                <w:b/>
                <w:bCs/>
                <w:color w:val="000000"/>
                <w:lang w:eastAsia="en-GB"/>
              </w:rPr>
            </w:pPr>
            <w:r w:rsidRPr="00443735">
              <w:rPr>
                <w:rFonts w:eastAsia="Times New Roman" w:cs="Arial"/>
                <w:b/>
                <w:bCs/>
                <w:color w:val="000000"/>
                <w:lang w:eastAsia="en-GB"/>
              </w:rPr>
              <w:t>£'000</w:t>
            </w:r>
          </w:p>
        </w:tc>
      </w:tr>
      <w:tr w:rsidRPr="00614894" w:rsidR="00F61B38" w:rsidTr="00E92AB7" w14:paraId="1935E61A" w14:textId="77777777">
        <w:trPr>
          <w:trHeight w:val="300"/>
        </w:trPr>
        <w:tc>
          <w:tcPr>
            <w:tcW w:w="1603" w:type="dxa"/>
            <w:tcBorders>
              <w:top w:val="single" w:color="auto" w:sz="4" w:space="0"/>
              <w:left w:val="single" w:color="auto" w:sz="4" w:space="0"/>
              <w:bottom w:val="nil"/>
              <w:right w:val="single" w:color="auto" w:sz="4" w:space="0"/>
            </w:tcBorders>
            <w:shd w:val="clear" w:color="auto" w:fill="auto"/>
            <w:noWrap/>
            <w:vAlign w:val="bottom"/>
            <w:hideMark/>
          </w:tcPr>
          <w:p w:rsidRPr="00227EBC" w:rsidR="00F61B38" w:rsidP="00A000D0" w:rsidRDefault="00F61B38" w14:paraId="037437CA" w14:textId="77777777">
            <w:pPr>
              <w:spacing w:after="0" w:line="240" w:lineRule="auto"/>
              <w:rPr>
                <w:rFonts w:eastAsia="Times New Roman" w:cs="Arial"/>
                <w:b/>
                <w:bCs/>
                <w:color w:val="000000"/>
                <w:lang w:eastAsia="en-GB"/>
              </w:rPr>
            </w:pPr>
            <w:r w:rsidRPr="00227EBC">
              <w:rPr>
                <w:rFonts w:eastAsia="Times New Roman" w:cs="Arial"/>
                <w:b/>
                <w:bCs/>
                <w:color w:val="000000"/>
                <w:lang w:eastAsia="en-GB"/>
              </w:rPr>
              <w:t> </w:t>
            </w:r>
          </w:p>
        </w:tc>
        <w:tc>
          <w:tcPr>
            <w:tcW w:w="5812" w:type="dxa"/>
            <w:tcBorders>
              <w:top w:val="single" w:color="auto" w:sz="4" w:space="0"/>
              <w:left w:val="nil"/>
              <w:bottom w:val="nil"/>
              <w:right w:val="single" w:color="auto" w:sz="4" w:space="0"/>
            </w:tcBorders>
            <w:shd w:val="clear" w:color="auto" w:fill="auto"/>
            <w:noWrap/>
            <w:vAlign w:val="bottom"/>
            <w:hideMark/>
          </w:tcPr>
          <w:p w:rsidRPr="00227EBC" w:rsidR="00F61B38" w:rsidP="00A000D0" w:rsidRDefault="00F61B38" w14:paraId="1C8CFF2D" w14:textId="77777777">
            <w:pPr>
              <w:spacing w:after="0" w:line="240" w:lineRule="auto"/>
              <w:rPr>
                <w:rFonts w:eastAsia="Times New Roman" w:cs="Arial"/>
                <w:b/>
                <w:bCs/>
                <w:color w:val="000000"/>
                <w:lang w:eastAsia="en-GB"/>
              </w:rPr>
            </w:pPr>
          </w:p>
        </w:tc>
        <w:tc>
          <w:tcPr>
            <w:tcW w:w="1559" w:type="dxa"/>
            <w:tcBorders>
              <w:top w:val="single" w:color="auto" w:sz="4" w:space="0"/>
              <w:left w:val="single" w:color="auto" w:sz="4" w:space="0"/>
              <w:bottom w:val="nil"/>
              <w:right w:val="single" w:color="auto" w:sz="4" w:space="0"/>
            </w:tcBorders>
            <w:shd w:val="clear" w:color="auto" w:fill="auto"/>
            <w:noWrap/>
            <w:vAlign w:val="bottom"/>
            <w:hideMark/>
          </w:tcPr>
          <w:p w:rsidRPr="00227EBC" w:rsidR="00F61B38" w:rsidP="00A000D0" w:rsidRDefault="00F61B38" w14:paraId="68261D10" w14:textId="77777777">
            <w:pPr>
              <w:spacing w:after="0" w:line="240" w:lineRule="auto"/>
              <w:rPr>
                <w:rFonts w:eastAsia="Times New Roman" w:cs="Arial"/>
                <w:b/>
                <w:bCs/>
                <w:color w:val="000000"/>
                <w:lang w:eastAsia="en-GB"/>
              </w:rPr>
            </w:pPr>
            <w:r w:rsidRPr="00227EBC">
              <w:rPr>
                <w:rFonts w:eastAsia="Times New Roman" w:cs="Arial"/>
                <w:b/>
                <w:bCs/>
                <w:color w:val="000000"/>
                <w:lang w:eastAsia="en-GB"/>
              </w:rPr>
              <w:t> </w:t>
            </w:r>
          </w:p>
        </w:tc>
      </w:tr>
      <w:tr w:rsidRPr="00614894" w:rsidR="00F61B38" w:rsidTr="00E92AB7" w14:paraId="1642F00E" w14:textId="77777777">
        <w:trPr>
          <w:trHeight w:val="300"/>
        </w:trPr>
        <w:tc>
          <w:tcPr>
            <w:tcW w:w="1603" w:type="dxa"/>
            <w:tcBorders>
              <w:top w:val="nil"/>
              <w:left w:val="single" w:color="auto" w:sz="4" w:space="0"/>
              <w:bottom w:val="nil"/>
              <w:right w:val="single" w:color="auto" w:sz="4" w:space="0"/>
            </w:tcBorders>
            <w:shd w:val="clear" w:color="auto" w:fill="auto"/>
            <w:noWrap/>
            <w:vAlign w:val="bottom"/>
            <w:hideMark/>
          </w:tcPr>
          <w:p w:rsidRPr="00227EBC" w:rsidR="00F61B38" w:rsidP="00A000D0" w:rsidRDefault="00F61B38" w14:paraId="43C92D84" w14:textId="3E50B4FA">
            <w:pPr>
              <w:spacing w:after="0" w:line="240" w:lineRule="auto"/>
              <w:jc w:val="right"/>
              <w:rPr>
                <w:rFonts w:eastAsia="Times New Roman" w:cs="Arial"/>
                <w:b/>
                <w:bCs/>
                <w:color w:val="000000"/>
                <w:lang w:eastAsia="en-GB"/>
              </w:rPr>
            </w:pPr>
            <w:r w:rsidRPr="00227EBC">
              <w:rPr>
                <w:rFonts w:eastAsia="Times New Roman" w:cs="Arial"/>
                <w:b/>
                <w:bCs/>
                <w:color w:val="000000"/>
                <w:lang w:eastAsia="en-GB"/>
              </w:rPr>
              <w:t>(</w:t>
            </w:r>
            <w:r w:rsidRPr="00227EBC" w:rsidR="00A94E11">
              <w:rPr>
                <w:rFonts w:eastAsia="Times New Roman" w:cs="Arial"/>
                <w:b/>
                <w:bCs/>
                <w:color w:val="000000"/>
                <w:lang w:eastAsia="en-GB"/>
              </w:rPr>
              <w:t>413</w:t>
            </w:r>
            <w:r w:rsidRPr="00227EBC">
              <w:rPr>
                <w:rFonts w:eastAsia="Times New Roman" w:cs="Arial"/>
                <w:b/>
                <w:bCs/>
                <w:color w:val="000000"/>
                <w:lang w:eastAsia="en-GB"/>
              </w:rPr>
              <w:t>)</w:t>
            </w:r>
          </w:p>
        </w:tc>
        <w:tc>
          <w:tcPr>
            <w:tcW w:w="5812" w:type="dxa"/>
            <w:tcBorders>
              <w:top w:val="nil"/>
              <w:left w:val="nil"/>
              <w:bottom w:val="nil"/>
              <w:right w:val="single" w:color="auto" w:sz="4" w:space="0"/>
            </w:tcBorders>
            <w:shd w:val="clear" w:color="auto" w:fill="auto"/>
            <w:noWrap/>
            <w:vAlign w:val="bottom"/>
            <w:hideMark/>
          </w:tcPr>
          <w:p w:rsidRPr="00227EBC" w:rsidR="00F61B38" w:rsidP="00A000D0" w:rsidRDefault="00F61B38" w14:paraId="17E3F207" w14:textId="77777777">
            <w:pPr>
              <w:spacing w:after="0" w:line="240" w:lineRule="auto"/>
              <w:rPr>
                <w:rFonts w:eastAsia="Times New Roman" w:cs="Arial"/>
                <w:b/>
                <w:bCs/>
                <w:color w:val="000000"/>
                <w:lang w:eastAsia="en-GB"/>
              </w:rPr>
            </w:pPr>
            <w:r w:rsidRPr="00227EBC">
              <w:rPr>
                <w:rFonts w:eastAsia="Times New Roman" w:cs="Arial"/>
                <w:b/>
                <w:bCs/>
                <w:color w:val="000000"/>
                <w:lang w:eastAsia="en-GB"/>
              </w:rPr>
              <w:t>Net Surplus/(Deficit) on the provision of service</w:t>
            </w:r>
          </w:p>
        </w:tc>
        <w:tc>
          <w:tcPr>
            <w:tcW w:w="1559" w:type="dxa"/>
            <w:tcBorders>
              <w:top w:val="nil"/>
              <w:left w:val="single" w:color="auto" w:sz="4" w:space="0"/>
              <w:bottom w:val="nil"/>
              <w:right w:val="single" w:color="auto" w:sz="4" w:space="0"/>
            </w:tcBorders>
            <w:shd w:val="clear" w:color="auto" w:fill="auto"/>
            <w:noWrap/>
            <w:vAlign w:val="bottom"/>
          </w:tcPr>
          <w:p w:rsidRPr="00227EBC" w:rsidR="00F61B38" w:rsidP="00E92AB7" w:rsidRDefault="005736F9" w14:paraId="1EC8BE8D" w14:textId="573A9323">
            <w:pPr>
              <w:spacing w:after="0" w:line="240" w:lineRule="auto"/>
              <w:jc w:val="right"/>
              <w:rPr>
                <w:rFonts w:eastAsia="Times New Roman" w:cs="Arial"/>
                <w:b/>
                <w:bCs/>
                <w:color w:val="000000"/>
                <w:lang w:eastAsia="en-GB"/>
              </w:rPr>
            </w:pPr>
            <w:r w:rsidRPr="00227EBC">
              <w:rPr>
                <w:rFonts w:eastAsia="Times New Roman" w:cs="Arial"/>
                <w:b/>
                <w:bCs/>
                <w:color w:val="000000"/>
                <w:lang w:eastAsia="en-GB"/>
              </w:rPr>
              <w:t>(</w:t>
            </w:r>
            <w:r w:rsidRPr="00227EBC" w:rsidR="00A94E11">
              <w:rPr>
                <w:rFonts w:eastAsia="Times New Roman" w:cs="Arial"/>
                <w:b/>
                <w:bCs/>
                <w:color w:val="000000"/>
                <w:lang w:eastAsia="en-GB"/>
              </w:rPr>
              <w:t>351</w:t>
            </w:r>
            <w:r w:rsidRPr="00227EBC" w:rsidR="00CC3B47">
              <w:rPr>
                <w:rFonts w:eastAsia="Times New Roman" w:cs="Arial"/>
                <w:b/>
                <w:bCs/>
                <w:color w:val="000000"/>
                <w:lang w:eastAsia="en-GB"/>
              </w:rPr>
              <w:t>)</w:t>
            </w:r>
          </w:p>
        </w:tc>
      </w:tr>
      <w:tr w:rsidRPr="00614894" w:rsidR="00F61B38" w:rsidTr="00E92AB7" w14:paraId="0BD6A400" w14:textId="77777777">
        <w:trPr>
          <w:trHeight w:val="285"/>
        </w:trPr>
        <w:tc>
          <w:tcPr>
            <w:tcW w:w="1603" w:type="dxa"/>
            <w:tcBorders>
              <w:top w:val="nil"/>
              <w:left w:val="single" w:color="auto" w:sz="4" w:space="0"/>
              <w:bottom w:val="nil"/>
              <w:right w:val="single" w:color="auto" w:sz="4" w:space="0"/>
            </w:tcBorders>
            <w:shd w:val="clear" w:color="auto" w:fill="auto"/>
            <w:noWrap/>
            <w:vAlign w:val="bottom"/>
            <w:hideMark/>
          </w:tcPr>
          <w:p w:rsidRPr="00227EBC" w:rsidR="00F61B38" w:rsidP="00A000D0" w:rsidRDefault="00F61B38" w14:paraId="210011D8" w14:textId="77777777">
            <w:pPr>
              <w:spacing w:after="0" w:line="240" w:lineRule="auto"/>
              <w:rPr>
                <w:rFonts w:eastAsia="Times New Roman" w:cs="Arial"/>
                <w:color w:val="000000"/>
                <w:lang w:eastAsia="en-GB"/>
              </w:rPr>
            </w:pPr>
            <w:r w:rsidRPr="00227EBC">
              <w:rPr>
                <w:rFonts w:eastAsia="Times New Roman" w:cs="Arial"/>
                <w:color w:val="000000"/>
                <w:lang w:eastAsia="en-GB"/>
              </w:rPr>
              <w:t> </w:t>
            </w:r>
          </w:p>
        </w:tc>
        <w:tc>
          <w:tcPr>
            <w:tcW w:w="5812" w:type="dxa"/>
            <w:tcBorders>
              <w:top w:val="nil"/>
              <w:left w:val="nil"/>
              <w:bottom w:val="nil"/>
              <w:right w:val="single" w:color="auto" w:sz="4" w:space="0"/>
            </w:tcBorders>
            <w:shd w:val="clear" w:color="auto" w:fill="auto"/>
            <w:noWrap/>
            <w:vAlign w:val="bottom"/>
            <w:hideMark/>
          </w:tcPr>
          <w:p w:rsidRPr="00227EBC" w:rsidR="00F61B38" w:rsidP="00A000D0" w:rsidRDefault="00F61B38" w14:paraId="1AB94D42" w14:textId="77777777">
            <w:pPr>
              <w:spacing w:after="0" w:line="240" w:lineRule="auto"/>
              <w:rPr>
                <w:rFonts w:eastAsia="Times New Roman" w:cs="Arial"/>
                <w:color w:val="000000"/>
                <w:lang w:eastAsia="en-GB"/>
              </w:rPr>
            </w:pPr>
          </w:p>
        </w:tc>
        <w:tc>
          <w:tcPr>
            <w:tcW w:w="1559" w:type="dxa"/>
            <w:tcBorders>
              <w:top w:val="nil"/>
              <w:left w:val="single" w:color="auto" w:sz="4" w:space="0"/>
              <w:bottom w:val="nil"/>
              <w:right w:val="single" w:color="auto" w:sz="4" w:space="0"/>
            </w:tcBorders>
            <w:shd w:val="clear" w:color="auto" w:fill="auto"/>
            <w:noWrap/>
            <w:vAlign w:val="bottom"/>
          </w:tcPr>
          <w:p w:rsidRPr="00227EBC" w:rsidR="00F61B38" w:rsidP="00E92AB7" w:rsidRDefault="00F61B38" w14:paraId="51D5A2E2" w14:textId="77777777">
            <w:pPr>
              <w:spacing w:after="0" w:line="240" w:lineRule="auto"/>
              <w:jc w:val="right"/>
              <w:rPr>
                <w:rFonts w:eastAsia="Times New Roman" w:cs="Arial"/>
                <w:color w:val="000000"/>
                <w:lang w:eastAsia="en-GB"/>
              </w:rPr>
            </w:pPr>
          </w:p>
        </w:tc>
      </w:tr>
      <w:tr w:rsidRPr="00614894" w:rsidR="00F61B38" w:rsidTr="00E92AB7" w14:paraId="2B442B75" w14:textId="77777777">
        <w:trPr>
          <w:trHeight w:val="285"/>
        </w:trPr>
        <w:tc>
          <w:tcPr>
            <w:tcW w:w="1603" w:type="dxa"/>
            <w:tcBorders>
              <w:top w:val="nil"/>
              <w:left w:val="single" w:color="auto" w:sz="4" w:space="0"/>
              <w:bottom w:val="nil"/>
              <w:right w:val="single" w:color="auto" w:sz="4" w:space="0"/>
            </w:tcBorders>
            <w:shd w:val="clear" w:color="auto" w:fill="auto"/>
            <w:noWrap/>
            <w:vAlign w:val="bottom"/>
            <w:hideMark/>
          </w:tcPr>
          <w:p w:rsidRPr="00227EBC" w:rsidR="00F61B38" w:rsidP="00A000D0" w:rsidRDefault="00F61B38" w14:paraId="445E5D0E" w14:textId="77777777">
            <w:pPr>
              <w:spacing w:after="0" w:line="240" w:lineRule="auto"/>
              <w:rPr>
                <w:rFonts w:eastAsia="Times New Roman" w:cs="Arial"/>
                <w:color w:val="000000"/>
                <w:lang w:eastAsia="en-GB"/>
              </w:rPr>
            </w:pPr>
            <w:r w:rsidRPr="00227EBC">
              <w:rPr>
                <w:rFonts w:eastAsia="Times New Roman" w:cs="Arial"/>
                <w:color w:val="000000"/>
                <w:lang w:eastAsia="en-GB"/>
              </w:rPr>
              <w:t> </w:t>
            </w:r>
          </w:p>
        </w:tc>
        <w:tc>
          <w:tcPr>
            <w:tcW w:w="5812" w:type="dxa"/>
            <w:tcBorders>
              <w:top w:val="nil"/>
              <w:left w:val="nil"/>
              <w:bottom w:val="nil"/>
              <w:right w:val="single" w:color="auto" w:sz="4" w:space="0"/>
            </w:tcBorders>
            <w:shd w:val="clear" w:color="auto" w:fill="auto"/>
            <w:noWrap/>
            <w:vAlign w:val="bottom"/>
            <w:hideMark/>
          </w:tcPr>
          <w:p w:rsidRPr="00227EBC" w:rsidR="00F61B38" w:rsidP="00A000D0" w:rsidRDefault="00F61B38" w14:paraId="7324BFBE" w14:textId="77777777">
            <w:pPr>
              <w:spacing w:after="0" w:line="240" w:lineRule="auto"/>
              <w:rPr>
                <w:rFonts w:eastAsia="Times New Roman" w:cs="Arial"/>
                <w:b/>
                <w:color w:val="000000"/>
                <w:lang w:eastAsia="en-GB"/>
              </w:rPr>
            </w:pPr>
            <w:r w:rsidRPr="00227EBC">
              <w:rPr>
                <w:rFonts w:eastAsia="Times New Roman" w:cs="Arial"/>
                <w:b/>
                <w:color w:val="000000"/>
                <w:lang w:eastAsia="en-GB"/>
              </w:rPr>
              <w:t>Adjust net surplus or deficit on the provision of services for non-cash movements</w:t>
            </w:r>
          </w:p>
        </w:tc>
        <w:tc>
          <w:tcPr>
            <w:tcW w:w="1559" w:type="dxa"/>
            <w:tcBorders>
              <w:top w:val="nil"/>
              <w:left w:val="single" w:color="auto" w:sz="4" w:space="0"/>
              <w:bottom w:val="nil"/>
              <w:right w:val="single" w:color="auto" w:sz="4" w:space="0"/>
            </w:tcBorders>
            <w:shd w:val="clear" w:color="auto" w:fill="auto"/>
            <w:noWrap/>
            <w:vAlign w:val="bottom"/>
          </w:tcPr>
          <w:p w:rsidRPr="00227EBC" w:rsidR="00F61B38" w:rsidP="00E92AB7" w:rsidRDefault="00F61B38" w14:paraId="63DCDE2C" w14:textId="4D1B0651">
            <w:pPr>
              <w:spacing w:after="0" w:line="240" w:lineRule="auto"/>
              <w:jc w:val="right"/>
              <w:rPr>
                <w:rFonts w:eastAsia="Times New Roman" w:cs="Arial"/>
                <w:color w:val="000000"/>
                <w:lang w:eastAsia="en-GB"/>
              </w:rPr>
            </w:pPr>
          </w:p>
        </w:tc>
      </w:tr>
      <w:tr w:rsidRPr="00614894" w:rsidR="00F61B38" w:rsidTr="00E92AB7" w14:paraId="1BDF65BF" w14:textId="77777777">
        <w:trPr>
          <w:trHeight w:val="285"/>
        </w:trPr>
        <w:tc>
          <w:tcPr>
            <w:tcW w:w="1603" w:type="dxa"/>
            <w:tcBorders>
              <w:top w:val="nil"/>
              <w:left w:val="single" w:color="auto" w:sz="4" w:space="0"/>
              <w:bottom w:val="nil"/>
              <w:right w:val="single" w:color="auto" w:sz="4" w:space="0"/>
            </w:tcBorders>
            <w:shd w:val="clear" w:color="auto" w:fill="auto"/>
            <w:noWrap/>
            <w:vAlign w:val="bottom"/>
          </w:tcPr>
          <w:p w:rsidRPr="00227EBC" w:rsidR="00F61B38" w:rsidP="00A34C5E" w:rsidRDefault="00227EBC" w14:paraId="49DC4391" w14:textId="19E0102B">
            <w:pPr>
              <w:spacing w:after="0" w:line="240" w:lineRule="auto"/>
              <w:jc w:val="right"/>
              <w:rPr>
                <w:rFonts w:eastAsia="Times New Roman" w:cs="Arial"/>
                <w:color w:val="000000"/>
                <w:lang w:eastAsia="en-GB"/>
              </w:rPr>
            </w:pPr>
            <w:r w:rsidRPr="00227EBC">
              <w:rPr>
                <w:rFonts w:eastAsia="Times New Roman" w:cs="Arial"/>
                <w:color w:val="000000"/>
                <w:lang w:eastAsia="en-GB"/>
              </w:rPr>
              <w:t>3</w:t>
            </w:r>
            <w:r w:rsidR="006109A0">
              <w:rPr>
                <w:rFonts w:eastAsia="Times New Roman" w:cs="Arial"/>
                <w:color w:val="000000"/>
                <w:lang w:eastAsia="en-GB"/>
              </w:rPr>
              <w:t>7</w:t>
            </w:r>
          </w:p>
        </w:tc>
        <w:tc>
          <w:tcPr>
            <w:tcW w:w="5812" w:type="dxa"/>
            <w:tcBorders>
              <w:top w:val="nil"/>
              <w:left w:val="nil"/>
              <w:bottom w:val="nil"/>
              <w:right w:val="single" w:color="auto" w:sz="4" w:space="0"/>
            </w:tcBorders>
            <w:shd w:val="clear" w:color="auto" w:fill="auto"/>
            <w:noWrap/>
            <w:vAlign w:val="bottom"/>
          </w:tcPr>
          <w:p w:rsidRPr="00227EBC" w:rsidR="00F61B38" w:rsidP="00A34C5E" w:rsidRDefault="00F61B38" w14:paraId="2218DDA8" w14:textId="77777777">
            <w:pPr>
              <w:spacing w:after="0" w:line="240" w:lineRule="auto"/>
              <w:rPr>
                <w:rFonts w:eastAsia="Times New Roman" w:cs="Arial"/>
                <w:color w:val="000000"/>
                <w:lang w:eastAsia="en-GB"/>
              </w:rPr>
            </w:pPr>
            <w:r w:rsidRPr="00227EBC">
              <w:rPr>
                <w:rFonts w:eastAsia="Times New Roman" w:cs="Arial"/>
                <w:color w:val="000000"/>
                <w:lang w:eastAsia="en-GB"/>
              </w:rPr>
              <w:t>Increase/ (Decrease) in Creditors</w:t>
            </w:r>
          </w:p>
        </w:tc>
        <w:tc>
          <w:tcPr>
            <w:tcW w:w="1559" w:type="dxa"/>
            <w:tcBorders>
              <w:top w:val="nil"/>
              <w:left w:val="single" w:color="auto" w:sz="4" w:space="0"/>
              <w:bottom w:val="nil"/>
              <w:right w:val="single" w:color="auto" w:sz="4" w:space="0"/>
            </w:tcBorders>
            <w:shd w:val="clear" w:color="auto" w:fill="auto"/>
            <w:noWrap/>
            <w:vAlign w:val="bottom"/>
          </w:tcPr>
          <w:p w:rsidRPr="00227EBC" w:rsidR="00F61B38" w:rsidP="00E92AB7" w:rsidRDefault="006109A0" w14:paraId="2EFC308D" w14:textId="2E4575C2">
            <w:pPr>
              <w:spacing w:after="0" w:line="240" w:lineRule="auto"/>
              <w:jc w:val="right"/>
              <w:rPr>
                <w:rFonts w:eastAsia="Times New Roman" w:cs="Arial"/>
                <w:color w:val="000000"/>
                <w:lang w:eastAsia="en-GB"/>
              </w:rPr>
            </w:pPr>
            <w:r>
              <w:rPr>
                <w:rFonts w:eastAsia="Times New Roman" w:cs="Arial"/>
                <w:color w:val="000000"/>
                <w:lang w:eastAsia="en-GB"/>
              </w:rPr>
              <w:t>339</w:t>
            </w:r>
          </w:p>
        </w:tc>
      </w:tr>
      <w:tr w:rsidRPr="00614894" w:rsidR="00F61B38" w:rsidTr="00E92AB7" w14:paraId="59326B8F" w14:textId="77777777">
        <w:trPr>
          <w:trHeight w:val="285"/>
        </w:trPr>
        <w:tc>
          <w:tcPr>
            <w:tcW w:w="1603" w:type="dxa"/>
            <w:tcBorders>
              <w:top w:val="nil"/>
              <w:left w:val="single" w:color="auto" w:sz="4" w:space="0"/>
              <w:bottom w:val="nil"/>
              <w:right w:val="single" w:color="auto" w:sz="4" w:space="0"/>
            </w:tcBorders>
            <w:shd w:val="clear" w:color="auto" w:fill="auto"/>
            <w:noWrap/>
            <w:vAlign w:val="bottom"/>
          </w:tcPr>
          <w:p w:rsidRPr="00227EBC" w:rsidR="00F61B38" w:rsidP="00227EBC" w:rsidRDefault="00227EBC" w14:paraId="644EFFAA" w14:textId="193EC71E">
            <w:pPr>
              <w:spacing w:after="0" w:line="240" w:lineRule="auto"/>
              <w:jc w:val="center"/>
              <w:rPr>
                <w:rFonts w:eastAsia="Times New Roman" w:cs="Arial"/>
                <w:color w:val="000000"/>
                <w:lang w:eastAsia="en-GB"/>
              </w:rPr>
            </w:pPr>
            <w:r w:rsidRPr="00227EBC">
              <w:rPr>
                <w:rFonts w:eastAsia="Times New Roman" w:cs="Arial"/>
                <w:color w:val="000000"/>
                <w:lang w:eastAsia="en-GB"/>
              </w:rPr>
              <w:t xml:space="preserve">                (1</w:t>
            </w:r>
            <w:r w:rsidR="00D764FE">
              <w:rPr>
                <w:rFonts w:eastAsia="Times New Roman" w:cs="Arial"/>
                <w:color w:val="000000"/>
                <w:lang w:eastAsia="en-GB"/>
              </w:rPr>
              <w:t>6</w:t>
            </w:r>
            <w:r w:rsidRPr="00227EBC">
              <w:rPr>
                <w:rFonts w:eastAsia="Times New Roman" w:cs="Arial"/>
                <w:color w:val="000000"/>
                <w:lang w:eastAsia="en-GB"/>
              </w:rPr>
              <w:t>)</w:t>
            </w:r>
          </w:p>
        </w:tc>
        <w:tc>
          <w:tcPr>
            <w:tcW w:w="5812" w:type="dxa"/>
            <w:tcBorders>
              <w:top w:val="nil"/>
              <w:left w:val="nil"/>
              <w:bottom w:val="nil"/>
              <w:right w:val="single" w:color="auto" w:sz="4" w:space="0"/>
            </w:tcBorders>
            <w:shd w:val="clear" w:color="auto" w:fill="auto"/>
            <w:noWrap/>
            <w:vAlign w:val="bottom"/>
          </w:tcPr>
          <w:p w:rsidRPr="00227EBC" w:rsidR="00F61B38" w:rsidP="00A34C5E" w:rsidRDefault="00F61B38" w14:paraId="45B30E33" w14:textId="77777777">
            <w:pPr>
              <w:spacing w:after="0" w:line="240" w:lineRule="auto"/>
              <w:rPr>
                <w:rFonts w:eastAsia="Times New Roman" w:cs="Arial"/>
                <w:color w:val="000000"/>
                <w:lang w:eastAsia="en-GB"/>
              </w:rPr>
            </w:pPr>
            <w:r w:rsidRPr="00227EBC">
              <w:rPr>
                <w:rFonts w:eastAsia="Times New Roman" w:cs="Arial"/>
                <w:color w:val="000000"/>
                <w:lang w:eastAsia="en-GB"/>
              </w:rPr>
              <w:t>(Increase)/Decrease in Debtors</w:t>
            </w:r>
          </w:p>
        </w:tc>
        <w:tc>
          <w:tcPr>
            <w:tcW w:w="1559" w:type="dxa"/>
            <w:tcBorders>
              <w:top w:val="nil"/>
              <w:left w:val="single" w:color="auto" w:sz="4" w:space="0"/>
              <w:bottom w:val="nil"/>
              <w:right w:val="single" w:color="auto" w:sz="4" w:space="0"/>
            </w:tcBorders>
            <w:shd w:val="clear" w:color="auto" w:fill="auto"/>
            <w:noWrap/>
            <w:vAlign w:val="bottom"/>
          </w:tcPr>
          <w:p w:rsidRPr="00227EBC" w:rsidR="00F61B38" w:rsidP="00227EBC" w:rsidRDefault="00227EBC" w14:paraId="01349485" w14:textId="53AC37D5">
            <w:pPr>
              <w:spacing w:after="0" w:line="240" w:lineRule="auto"/>
              <w:jc w:val="right"/>
              <w:rPr>
                <w:rFonts w:eastAsia="Times New Roman" w:cs="Arial"/>
                <w:color w:val="000000"/>
                <w:lang w:eastAsia="en-GB"/>
              </w:rPr>
            </w:pPr>
            <w:r w:rsidRPr="00227EBC">
              <w:rPr>
                <w:rFonts w:eastAsia="Times New Roman" w:cs="Arial"/>
                <w:color w:val="000000"/>
                <w:lang w:eastAsia="en-GB"/>
              </w:rPr>
              <w:t>(378)</w:t>
            </w:r>
          </w:p>
        </w:tc>
      </w:tr>
      <w:tr w:rsidRPr="00614894" w:rsidR="00F61B38" w:rsidTr="00E92AB7" w14:paraId="46C706FC" w14:textId="77777777">
        <w:trPr>
          <w:trHeight w:val="285"/>
        </w:trPr>
        <w:tc>
          <w:tcPr>
            <w:tcW w:w="1603" w:type="dxa"/>
            <w:tcBorders>
              <w:top w:val="nil"/>
              <w:left w:val="single" w:color="auto" w:sz="4" w:space="0"/>
              <w:bottom w:val="single" w:color="auto" w:sz="4" w:space="0"/>
              <w:right w:val="single" w:color="auto" w:sz="4" w:space="0"/>
            </w:tcBorders>
            <w:shd w:val="clear" w:color="auto" w:fill="auto"/>
            <w:noWrap/>
            <w:vAlign w:val="bottom"/>
          </w:tcPr>
          <w:p w:rsidRPr="00227EBC" w:rsidR="00F61B38" w:rsidP="00A34C5E" w:rsidRDefault="00227EBC" w14:paraId="7E554475" w14:textId="1729EE3F">
            <w:pPr>
              <w:spacing w:after="0" w:line="240" w:lineRule="auto"/>
              <w:jc w:val="right"/>
              <w:rPr>
                <w:rFonts w:eastAsia="Times New Roman" w:cs="Arial"/>
                <w:color w:val="000000"/>
                <w:lang w:eastAsia="en-GB"/>
              </w:rPr>
            </w:pPr>
            <w:r w:rsidRPr="00227EBC">
              <w:rPr>
                <w:rFonts w:eastAsia="Times New Roman" w:cs="Arial"/>
                <w:color w:val="000000"/>
                <w:lang w:eastAsia="en-GB"/>
              </w:rPr>
              <w:t>390</w:t>
            </w:r>
          </w:p>
        </w:tc>
        <w:tc>
          <w:tcPr>
            <w:tcW w:w="5812" w:type="dxa"/>
            <w:tcBorders>
              <w:top w:val="nil"/>
              <w:left w:val="nil"/>
              <w:bottom w:val="nil"/>
              <w:right w:val="single" w:color="auto" w:sz="4" w:space="0"/>
            </w:tcBorders>
            <w:shd w:val="clear" w:color="auto" w:fill="auto"/>
            <w:noWrap/>
            <w:vAlign w:val="bottom"/>
          </w:tcPr>
          <w:p w:rsidRPr="00227EBC" w:rsidR="00F61B38" w:rsidP="00A34C5E" w:rsidRDefault="00F61B38" w14:paraId="28303D4F" w14:textId="77777777">
            <w:pPr>
              <w:spacing w:after="0" w:line="240" w:lineRule="auto"/>
              <w:rPr>
                <w:rFonts w:eastAsia="Times New Roman" w:cs="Arial"/>
                <w:color w:val="000000"/>
                <w:lang w:eastAsia="en-GB"/>
              </w:rPr>
            </w:pPr>
            <w:r w:rsidRPr="00227EBC">
              <w:rPr>
                <w:rFonts w:eastAsia="Times New Roman" w:cs="Arial"/>
                <w:color w:val="000000"/>
                <w:lang w:eastAsia="en-GB"/>
              </w:rPr>
              <w:t>Movement on Pension Liability</w:t>
            </w:r>
          </w:p>
        </w:tc>
        <w:tc>
          <w:tcPr>
            <w:tcW w:w="1559" w:type="dxa"/>
            <w:tcBorders>
              <w:top w:val="nil"/>
              <w:left w:val="single" w:color="auto" w:sz="4" w:space="0"/>
              <w:bottom w:val="single" w:color="auto" w:sz="4" w:space="0"/>
              <w:right w:val="single" w:color="auto" w:sz="4" w:space="0"/>
            </w:tcBorders>
            <w:shd w:val="clear" w:color="auto" w:fill="auto"/>
            <w:noWrap/>
            <w:vAlign w:val="bottom"/>
          </w:tcPr>
          <w:p w:rsidRPr="00227EBC" w:rsidR="00F61B38" w:rsidP="00227EBC" w:rsidRDefault="00227EBC" w14:paraId="5DACBC77" w14:textId="7FF109C6">
            <w:pPr>
              <w:spacing w:after="0" w:line="240" w:lineRule="auto"/>
              <w:jc w:val="right"/>
              <w:rPr>
                <w:rFonts w:eastAsia="Times New Roman" w:cs="Arial"/>
                <w:color w:val="000000"/>
                <w:lang w:eastAsia="en-GB"/>
              </w:rPr>
            </w:pPr>
            <w:r w:rsidRPr="00227EBC">
              <w:rPr>
                <w:rFonts w:eastAsia="Times New Roman" w:cs="Arial"/>
                <w:color w:val="000000"/>
                <w:lang w:eastAsia="en-GB"/>
              </w:rPr>
              <w:t>460</w:t>
            </w:r>
          </w:p>
        </w:tc>
      </w:tr>
      <w:tr w:rsidRPr="00614894" w:rsidR="00F61B38" w:rsidTr="00E92AB7" w14:paraId="30F14A24" w14:textId="77777777">
        <w:trPr>
          <w:trHeight w:val="285"/>
        </w:trPr>
        <w:tc>
          <w:tcPr>
            <w:tcW w:w="1603" w:type="dxa"/>
            <w:tcBorders>
              <w:top w:val="single" w:color="auto" w:sz="4" w:space="0"/>
              <w:left w:val="single" w:color="auto" w:sz="4" w:space="0"/>
              <w:bottom w:val="nil"/>
              <w:right w:val="single" w:color="auto" w:sz="4" w:space="0"/>
            </w:tcBorders>
            <w:shd w:val="clear" w:color="auto" w:fill="auto"/>
            <w:noWrap/>
            <w:vAlign w:val="bottom"/>
            <w:hideMark/>
          </w:tcPr>
          <w:p w:rsidRPr="00227EBC" w:rsidR="00F61B38" w:rsidP="00A34C5E" w:rsidRDefault="005736F9" w14:paraId="5C63BEA6" w14:textId="21970213">
            <w:pPr>
              <w:spacing w:after="0" w:line="240" w:lineRule="auto"/>
              <w:jc w:val="right"/>
              <w:rPr>
                <w:rFonts w:eastAsia="Times New Roman" w:cs="Arial"/>
                <w:b/>
                <w:color w:val="000000"/>
                <w:lang w:eastAsia="en-GB"/>
              </w:rPr>
            </w:pPr>
            <w:r w:rsidRPr="00227EBC">
              <w:rPr>
                <w:rFonts w:eastAsia="Times New Roman" w:cs="Arial"/>
                <w:b/>
                <w:color w:val="000000"/>
                <w:lang w:eastAsia="en-GB"/>
              </w:rPr>
              <w:t> </w:t>
            </w:r>
            <w:r w:rsidRPr="00227EBC" w:rsidR="00227EBC">
              <w:rPr>
                <w:rFonts w:eastAsia="Times New Roman" w:cs="Arial"/>
                <w:b/>
                <w:color w:val="000000"/>
                <w:lang w:eastAsia="en-GB"/>
              </w:rPr>
              <w:t>41</w:t>
            </w:r>
            <w:r w:rsidR="00D764FE">
              <w:rPr>
                <w:rFonts w:eastAsia="Times New Roman" w:cs="Arial"/>
                <w:b/>
                <w:color w:val="000000"/>
                <w:lang w:eastAsia="en-GB"/>
              </w:rPr>
              <w:t>1</w:t>
            </w:r>
          </w:p>
        </w:tc>
        <w:tc>
          <w:tcPr>
            <w:tcW w:w="5812" w:type="dxa"/>
            <w:tcBorders>
              <w:top w:val="nil"/>
              <w:left w:val="nil"/>
              <w:bottom w:val="nil"/>
              <w:right w:val="single" w:color="auto" w:sz="4" w:space="0"/>
            </w:tcBorders>
            <w:shd w:val="clear" w:color="auto" w:fill="auto"/>
            <w:noWrap/>
            <w:vAlign w:val="bottom"/>
            <w:hideMark/>
          </w:tcPr>
          <w:p w:rsidRPr="00227EBC" w:rsidR="00F61B38" w:rsidP="00A34C5E" w:rsidRDefault="00F61B38" w14:paraId="7995BC9E" w14:textId="77777777">
            <w:pPr>
              <w:spacing w:after="0" w:line="240" w:lineRule="auto"/>
              <w:rPr>
                <w:rFonts w:eastAsia="Times New Roman" w:cs="Arial"/>
                <w:b/>
                <w:color w:val="000000"/>
                <w:lang w:eastAsia="en-GB"/>
              </w:rPr>
            </w:pPr>
            <w:r w:rsidRPr="00227EBC">
              <w:rPr>
                <w:b/>
              </w:rPr>
              <w:t>Total adjustments to net surplus or deficit on the provision of services for non-cash movements.</w:t>
            </w:r>
          </w:p>
        </w:tc>
        <w:tc>
          <w:tcPr>
            <w:tcW w:w="1559" w:type="dxa"/>
            <w:tcBorders>
              <w:top w:val="single" w:color="auto" w:sz="4" w:space="0"/>
              <w:left w:val="single" w:color="auto" w:sz="4" w:space="0"/>
              <w:bottom w:val="nil"/>
              <w:right w:val="single" w:color="auto" w:sz="4" w:space="0"/>
            </w:tcBorders>
            <w:shd w:val="clear" w:color="auto" w:fill="auto"/>
            <w:noWrap/>
            <w:vAlign w:val="bottom"/>
          </w:tcPr>
          <w:p w:rsidRPr="00227EBC" w:rsidR="00F61B38" w:rsidP="00F61B38" w:rsidRDefault="006109A0" w14:paraId="00720332" w14:textId="61A6A4A7">
            <w:pPr>
              <w:spacing w:after="0" w:line="240" w:lineRule="auto"/>
              <w:jc w:val="right"/>
              <w:rPr>
                <w:rFonts w:eastAsia="Times New Roman" w:cs="Arial"/>
                <w:b/>
                <w:color w:val="000000"/>
                <w:lang w:eastAsia="en-GB"/>
              </w:rPr>
            </w:pPr>
            <w:r>
              <w:rPr>
                <w:rFonts w:eastAsia="Times New Roman" w:cs="Arial"/>
                <w:b/>
                <w:color w:val="000000"/>
                <w:lang w:eastAsia="en-GB"/>
              </w:rPr>
              <w:t>421</w:t>
            </w:r>
          </w:p>
        </w:tc>
      </w:tr>
      <w:tr w:rsidRPr="00614894" w:rsidR="00F61B38" w:rsidTr="00E92AB7" w14:paraId="13D3EA27" w14:textId="77777777">
        <w:trPr>
          <w:trHeight w:val="285"/>
        </w:trPr>
        <w:tc>
          <w:tcPr>
            <w:tcW w:w="1603" w:type="dxa"/>
            <w:tcBorders>
              <w:top w:val="nil"/>
              <w:left w:val="single" w:color="auto" w:sz="4" w:space="0"/>
              <w:bottom w:val="nil"/>
              <w:right w:val="single" w:color="auto" w:sz="4" w:space="0"/>
            </w:tcBorders>
            <w:shd w:val="clear" w:color="auto" w:fill="auto"/>
            <w:noWrap/>
            <w:vAlign w:val="bottom"/>
          </w:tcPr>
          <w:p w:rsidRPr="00227EBC" w:rsidR="00F61B38" w:rsidP="00A34C5E" w:rsidRDefault="00F61B38" w14:paraId="33B60AAA" w14:textId="77777777">
            <w:pPr>
              <w:spacing w:after="0" w:line="240" w:lineRule="auto"/>
              <w:rPr>
                <w:rFonts w:eastAsia="Times New Roman" w:cs="Arial"/>
                <w:color w:val="000000"/>
                <w:lang w:eastAsia="en-GB"/>
              </w:rPr>
            </w:pPr>
          </w:p>
        </w:tc>
        <w:tc>
          <w:tcPr>
            <w:tcW w:w="5812" w:type="dxa"/>
            <w:tcBorders>
              <w:top w:val="nil"/>
              <w:left w:val="nil"/>
              <w:bottom w:val="nil"/>
              <w:right w:val="single" w:color="auto" w:sz="4" w:space="0"/>
            </w:tcBorders>
            <w:shd w:val="clear" w:color="auto" w:fill="auto"/>
            <w:noWrap/>
            <w:vAlign w:val="bottom"/>
          </w:tcPr>
          <w:p w:rsidRPr="00227EBC" w:rsidR="00F61B38" w:rsidP="00A34C5E" w:rsidRDefault="00F61B38" w14:paraId="69C3FAF4" w14:textId="77777777">
            <w:pPr>
              <w:spacing w:after="0" w:line="240" w:lineRule="auto"/>
              <w:rPr>
                <w:b/>
                <w:sz w:val="20"/>
                <w:szCs w:val="20"/>
              </w:rPr>
            </w:pPr>
          </w:p>
        </w:tc>
        <w:tc>
          <w:tcPr>
            <w:tcW w:w="1559" w:type="dxa"/>
            <w:tcBorders>
              <w:top w:val="nil"/>
              <w:left w:val="single" w:color="auto" w:sz="4" w:space="0"/>
              <w:bottom w:val="nil"/>
              <w:right w:val="single" w:color="auto" w:sz="4" w:space="0"/>
            </w:tcBorders>
            <w:shd w:val="clear" w:color="auto" w:fill="auto"/>
            <w:noWrap/>
            <w:vAlign w:val="bottom"/>
          </w:tcPr>
          <w:p w:rsidRPr="00227EBC" w:rsidR="00F61B38" w:rsidP="00A34C5E" w:rsidRDefault="00F61B38" w14:paraId="1E7F4702" w14:textId="77777777">
            <w:pPr>
              <w:spacing w:after="0" w:line="240" w:lineRule="auto"/>
              <w:rPr>
                <w:rFonts w:eastAsia="Times New Roman" w:cs="Arial"/>
                <w:color w:val="000000"/>
                <w:lang w:eastAsia="en-GB"/>
              </w:rPr>
            </w:pPr>
          </w:p>
        </w:tc>
      </w:tr>
      <w:tr w:rsidRPr="00614894" w:rsidR="00F61B38" w:rsidTr="00E92AB7" w14:paraId="18FA938D" w14:textId="77777777">
        <w:trPr>
          <w:trHeight w:val="285"/>
        </w:trPr>
        <w:tc>
          <w:tcPr>
            <w:tcW w:w="1603" w:type="dxa"/>
            <w:tcBorders>
              <w:top w:val="nil"/>
              <w:left w:val="single" w:color="auto" w:sz="4" w:space="0"/>
              <w:bottom w:val="nil"/>
              <w:right w:val="single" w:color="auto" w:sz="4" w:space="0"/>
            </w:tcBorders>
            <w:shd w:val="clear" w:color="auto" w:fill="auto"/>
            <w:noWrap/>
            <w:vAlign w:val="bottom"/>
            <w:hideMark/>
          </w:tcPr>
          <w:p w:rsidRPr="00227EBC" w:rsidR="00F61B38" w:rsidP="00A34C5E" w:rsidRDefault="00F61B38" w14:paraId="43CA8627" w14:textId="77777777">
            <w:pPr>
              <w:spacing w:after="0" w:line="240" w:lineRule="auto"/>
              <w:rPr>
                <w:rFonts w:eastAsia="Times New Roman" w:cs="Arial"/>
                <w:b/>
                <w:color w:val="000000"/>
                <w:lang w:eastAsia="en-GB"/>
              </w:rPr>
            </w:pPr>
            <w:r w:rsidRPr="00227EBC">
              <w:rPr>
                <w:rFonts w:eastAsia="Times New Roman" w:cs="Arial"/>
                <w:b/>
                <w:color w:val="000000"/>
                <w:lang w:eastAsia="en-GB"/>
              </w:rPr>
              <w:t> </w:t>
            </w:r>
          </w:p>
        </w:tc>
        <w:tc>
          <w:tcPr>
            <w:tcW w:w="5812" w:type="dxa"/>
            <w:tcBorders>
              <w:top w:val="nil"/>
              <w:left w:val="nil"/>
              <w:right w:val="single" w:color="auto" w:sz="4" w:space="0"/>
            </w:tcBorders>
            <w:shd w:val="clear" w:color="auto" w:fill="auto"/>
            <w:noWrap/>
            <w:vAlign w:val="bottom"/>
            <w:hideMark/>
          </w:tcPr>
          <w:p w:rsidRPr="00227EBC" w:rsidR="00F61B38" w:rsidP="00A34C5E" w:rsidRDefault="00F61B38" w14:paraId="4B89518C" w14:textId="77777777">
            <w:pPr>
              <w:spacing w:after="0" w:line="240" w:lineRule="auto"/>
              <w:rPr>
                <w:rFonts w:eastAsia="Times New Roman" w:cs="Arial"/>
                <w:b/>
                <w:color w:val="000000"/>
                <w:lang w:eastAsia="en-GB"/>
              </w:rPr>
            </w:pPr>
            <w:r w:rsidRPr="00227EBC">
              <w:rPr>
                <w:rFonts w:eastAsia="Times New Roman" w:cs="Arial"/>
                <w:b/>
                <w:color w:val="000000"/>
                <w:lang w:eastAsia="en-GB"/>
              </w:rPr>
              <w:t>Adjust for items included in the net surplus or</w:t>
            </w:r>
          </w:p>
        </w:tc>
        <w:tc>
          <w:tcPr>
            <w:tcW w:w="1559" w:type="dxa"/>
            <w:tcBorders>
              <w:top w:val="nil"/>
              <w:left w:val="single" w:color="auto" w:sz="4" w:space="0"/>
              <w:bottom w:val="nil"/>
              <w:right w:val="single" w:color="auto" w:sz="4" w:space="0"/>
            </w:tcBorders>
            <w:shd w:val="clear" w:color="auto" w:fill="auto"/>
            <w:noWrap/>
            <w:vAlign w:val="bottom"/>
          </w:tcPr>
          <w:p w:rsidRPr="00227EBC" w:rsidR="00F61B38" w:rsidP="00A34C5E" w:rsidRDefault="00F61B38" w14:paraId="6E0A375B" w14:textId="77777777">
            <w:pPr>
              <w:spacing w:after="0" w:line="240" w:lineRule="auto"/>
              <w:rPr>
                <w:rFonts w:eastAsia="Times New Roman" w:cs="Arial"/>
                <w:b/>
                <w:color w:val="000000"/>
                <w:lang w:eastAsia="en-GB"/>
              </w:rPr>
            </w:pPr>
          </w:p>
        </w:tc>
      </w:tr>
      <w:tr w:rsidRPr="00614894" w:rsidR="00F61B38" w:rsidTr="00E92AB7" w14:paraId="58A42AA1" w14:textId="77777777">
        <w:trPr>
          <w:trHeight w:val="285"/>
        </w:trPr>
        <w:tc>
          <w:tcPr>
            <w:tcW w:w="1603" w:type="dxa"/>
            <w:tcBorders>
              <w:top w:val="nil"/>
              <w:left w:val="single" w:color="auto" w:sz="4" w:space="0"/>
              <w:right w:val="single" w:color="auto" w:sz="4" w:space="0"/>
            </w:tcBorders>
            <w:shd w:val="clear" w:color="auto" w:fill="auto"/>
            <w:noWrap/>
            <w:vAlign w:val="bottom"/>
            <w:hideMark/>
          </w:tcPr>
          <w:p w:rsidRPr="00227EBC" w:rsidR="00F61B38" w:rsidP="00A34C5E" w:rsidRDefault="00F61B38" w14:paraId="5FFB3481" w14:textId="77777777">
            <w:pPr>
              <w:spacing w:after="0" w:line="240" w:lineRule="auto"/>
              <w:rPr>
                <w:rFonts w:eastAsia="Times New Roman" w:cs="Arial"/>
                <w:b/>
                <w:color w:val="000000"/>
                <w:lang w:eastAsia="en-GB"/>
              </w:rPr>
            </w:pPr>
            <w:r w:rsidRPr="00227EBC">
              <w:rPr>
                <w:rFonts w:eastAsia="Times New Roman" w:cs="Arial"/>
                <w:b/>
                <w:color w:val="000000"/>
                <w:lang w:eastAsia="en-GB"/>
              </w:rPr>
              <w:t> </w:t>
            </w:r>
          </w:p>
        </w:tc>
        <w:tc>
          <w:tcPr>
            <w:tcW w:w="5812" w:type="dxa"/>
            <w:tcBorders>
              <w:top w:val="nil"/>
              <w:left w:val="single" w:color="auto" w:sz="4" w:space="0"/>
              <w:right w:val="single" w:color="auto" w:sz="4" w:space="0"/>
            </w:tcBorders>
            <w:shd w:val="clear" w:color="auto" w:fill="auto"/>
            <w:noWrap/>
            <w:vAlign w:val="bottom"/>
            <w:hideMark/>
          </w:tcPr>
          <w:p w:rsidRPr="00227EBC" w:rsidR="00F61B38" w:rsidP="00A34C5E" w:rsidRDefault="00F61B38" w14:paraId="431A201D" w14:textId="77777777">
            <w:pPr>
              <w:spacing w:after="0" w:line="240" w:lineRule="auto"/>
              <w:rPr>
                <w:rFonts w:eastAsia="Times New Roman" w:cs="Arial"/>
                <w:b/>
                <w:color w:val="000000"/>
                <w:lang w:eastAsia="en-GB"/>
              </w:rPr>
            </w:pPr>
            <w:r w:rsidRPr="00227EBC">
              <w:rPr>
                <w:rFonts w:eastAsia="Times New Roman" w:cs="Arial"/>
                <w:b/>
                <w:color w:val="000000"/>
                <w:lang w:eastAsia="en-GB"/>
              </w:rPr>
              <w:t xml:space="preserve">deficit on the provision of services that are </w:t>
            </w:r>
          </w:p>
        </w:tc>
        <w:tc>
          <w:tcPr>
            <w:tcW w:w="1559" w:type="dxa"/>
            <w:tcBorders>
              <w:top w:val="nil"/>
              <w:left w:val="single" w:color="auto" w:sz="4" w:space="0"/>
              <w:right w:val="single" w:color="auto" w:sz="4" w:space="0"/>
            </w:tcBorders>
            <w:shd w:val="clear" w:color="auto" w:fill="auto"/>
            <w:noWrap/>
            <w:vAlign w:val="bottom"/>
          </w:tcPr>
          <w:p w:rsidRPr="00227EBC" w:rsidR="00F61B38" w:rsidP="00A34C5E" w:rsidRDefault="00F61B38" w14:paraId="5C4EDDE9" w14:textId="77777777">
            <w:pPr>
              <w:spacing w:after="0" w:line="240" w:lineRule="auto"/>
              <w:rPr>
                <w:rFonts w:eastAsia="Times New Roman" w:cs="Arial"/>
                <w:b/>
                <w:color w:val="000000"/>
                <w:lang w:eastAsia="en-GB"/>
              </w:rPr>
            </w:pPr>
          </w:p>
        </w:tc>
      </w:tr>
      <w:tr w:rsidRPr="00614894" w:rsidR="00F61B38" w:rsidTr="00E92AB7" w14:paraId="1F977779" w14:textId="77777777">
        <w:trPr>
          <w:trHeight w:val="285"/>
        </w:trPr>
        <w:tc>
          <w:tcPr>
            <w:tcW w:w="1603" w:type="dxa"/>
            <w:tcBorders>
              <w:top w:val="nil"/>
              <w:left w:val="single" w:color="auto" w:sz="4" w:space="0"/>
              <w:right w:val="single" w:color="auto" w:sz="4" w:space="0"/>
            </w:tcBorders>
            <w:shd w:val="clear" w:color="auto" w:fill="auto"/>
            <w:noWrap/>
            <w:vAlign w:val="bottom"/>
            <w:hideMark/>
          </w:tcPr>
          <w:p w:rsidRPr="00227EBC" w:rsidR="00F61B38" w:rsidP="00A34C5E" w:rsidRDefault="00F61B38" w14:paraId="2D044D6A" w14:textId="77777777">
            <w:pPr>
              <w:spacing w:after="0" w:line="240" w:lineRule="auto"/>
              <w:jc w:val="right"/>
              <w:rPr>
                <w:rFonts w:eastAsia="Times New Roman" w:cs="Arial"/>
                <w:b/>
                <w:color w:val="000000"/>
                <w:lang w:eastAsia="en-GB"/>
              </w:rPr>
            </w:pPr>
            <w:r w:rsidRPr="00227EBC">
              <w:rPr>
                <w:rFonts w:eastAsia="Times New Roman" w:cs="Arial"/>
                <w:b/>
                <w:color w:val="000000"/>
                <w:lang w:eastAsia="en-GB"/>
              </w:rPr>
              <w:t>0</w:t>
            </w:r>
          </w:p>
        </w:tc>
        <w:tc>
          <w:tcPr>
            <w:tcW w:w="5812" w:type="dxa"/>
            <w:tcBorders>
              <w:top w:val="nil"/>
              <w:left w:val="single" w:color="auto" w:sz="4" w:space="0"/>
              <w:right w:val="single" w:color="auto" w:sz="4" w:space="0"/>
            </w:tcBorders>
            <w:shd w:val="clear" w:color="auto" w:fill="auto"/>
            <w:noWrap/>
            <w:vAlign w:val="bottom"/>
            <w:hideMark/>
          </w:tcPr>
          <w:p w:rsidRPr="00227EBC" w:rsidR="00F61B38" w:rsidP="00A34C5E" w:rsidRDefault="00F61B38" w14:paraId="191A96B4" w14:textId="77777777">
            <w:pPr>
              <w:spacing w:after="0" w:line="240" w:lineRule="auto"/>
              <w:rPr>
                <w:rFonts w:eastAsia="Times New Roman" w:cs="Arial"/>
                <w:b/>
                <w:color w:val="000000"/>
                <w:lang w:eastAsia="en-GB"/>
              </w:rPr>
            </w:pPr>
            <w:r w:rsidRPr="00227EBC">
              <w:rPr>
                <w:rFonts w:eastAsia="Times New Roman" w:cs="Arial"/>
                <w:b/>
                <w:color w:val="000000"/>
                <w:lang w:eastAsia="en-GB"/>
              </w:rPr>
              <w:t>investing and financing activities</w:t>
            </w:r>
          </w:p>
        </w:tc>
        <w:tc>
          <w:tcPr>
            <w:tcW w:w="1559" w:type="dxa"/>
            <w:tcBorders>
              <w:top w:val="nil"/>
              <w:left w:val="single" w:color="auto" w:sz="4" w:space="0"/>
              <w:right w:val="single" w:color="auto" w:sz="4" w:space="0"/>
            </w:tcBorders>
            <w:shd w:val="clear" w:color="auto" w:fill="auto"/>
            <w:noWrap/>
            <w:vAlign w:val="bottom"/>
          </w:tcPr>
          <w:p w:rsidRPr="00227EBC" w:rsidR="00F61B38" w:rsidP="00A34C5E" w:rsidRDefault="00F61B38" w14:paraId="2C143DE6" w14:textId="77777777">
            <w:pPr>
              <w:spacing w:after="0" w:line="240" w:lineRule="auto"/>
              <w:jc w:val="right"/>
              <w:rPr>
                <w:rFonts w:eastAsia="Times New Roman" w:cs="Arial"/>
                <w:b/>
                <w:color w:val="000000"/>
                <w:lang w:eastAsia="en-GB"/>
              </w:rPr>
            </w:pPr>
            <w:r w:rsidRPr="00227EBC">
              <w:rPr>
                <w:rFonts w:eastAsia="Times New Roman" w:cs="Arial"/>
                <w:b/>
                <w:color w:val="000000"/>
                <w:lang w:eastAsia="en-GB"/>
              </w:rPr>
              <w:t>0</w:t>
            </w:r>
          </w:p>
        </w:tc>
      </w:tr>
      <w:tr w:rsidRPr="00614894" w:rsidR="00035556" w:rsidTr="00E92AB7" w14:paraId="51DD0ED7" w14:textId="77777777">
        <w:trPr>
          <w:trHeight w:val="300"/>
        </w:trPr>
        <w:tc>
          <w:tcPr>
            <w:tcW w:w="1603" w:type="dxa"/>
            <w:tcBorders>
              <w:left w:val="single" w:color="auto" w:sz="4" w:space="0"/>
              <w:bottom w:val="single" w:color="auto" w:sz="4" w:space="0"/>
              <w:right w:val="single" w:color="auto" w:sz="4" w:space="0"/>
            </w:tcBorders>
            <w:shd w:val="clear" w:color="auto" w:fill="auto"/>
            <w:noWrap/>
            <w:vAlign w:val="bottom"/>
          </w:tcPr>
          <w:p w:rsidRPr="00227EBC" w:rsidR="00035556" w:rsidP="00A34C5E" w:rsidRDefault="00035556" w14:paraId="10CF2B69" w14:textId="77777777">
            <w:pPr>
              <w:spacing w:after="0" w:line="240" w:lineRule="auto"/>
              <w:jc w:val="right"/>
              <w:rPr>
                <w:rFonts w:eastAsia="Times New Roman" w:cs="Arial"/>
                <w:b/>
                <w:bCs/>
                <w:color w:val="000000"/>
                <w:lang w:eastAsia="en-GB"/>
              </w:rPr>
            </w:pPr>
          </w:p>
        </w:tc>
        <w:tc>
          <w:tcPr>
            <w:tcW w:w="5812" w:type="dxa"/>
            <w:tcBorders>
              <w:left w:val="single" w:color="auto" w:sz="4" w:space="0"/>
              <w:bottom w:val="single" w:color="auto" w:sz="4" w:space="0"/>
              <w:right w:val="single" w:color="auto" w:sz="4" w:space="0"/>
            </w:tcBorders>
            <w:shd w:val="clear" w:color="auto" w:fill="auto"/>
            <w:noWrap/>
            <w:vAlign w:val="bottom"/>
          </w:tcPr>
          <w:p w:rsidRPr="00227EBC" w:rsidR="00035556" w:rsidP="00A34C5E" w:rsidRDefault="00035556" w14:paraId="76C11570" w14:textId="77777777">
            <w:pPr>
              <w:spacing w:after="0" w:line="240" w:lineRule="auto"/>
              <w:rPr>
                <w:rFonts w:eastAsia="Times New Roman" w:cs="Arial"/>
                <w:b/>
                <w:bCs/>
                <w:color w:val="000000"/>
                <w:lang w:eastAsia="en-GB"/>
              </w:rPr>
            </w:pPr>
          </w:p>
        </w:tc>
        <w:tc>
          <w:tcPr>
            <w:tcW w:w="1559" w:type="dxa"/>
            <w:tcBorders>
              <w:left w:val="single" w:color="auto" w:sz="4" w:space="0"/>
              <w:bottom w:val="single" w:color="auto" w:sz="4" w:space="0"/>
              <w:right w:val="single" w:color="auto" w:sz="4" w:space="0"/>
            </w:tcBorders>
            <w:shd w:val="clear" w:color="auto" w:fill="auto"/>
            <w:noWrap/>
            <w:vAlign w:val="bottom"/>
          </w:tcPr>
          <w:p w:rsidRPr="00227EBC" w:rsidR="00035556" w:rsidP="00A34C5E" w:rsidRDefault="00035556" w14:paraId="68604FAA" w14:textId="77777777">
            <w:pPr>
              <w:spacing w:after="0" w:line="240" w:lineRule="auto"/>
              <w:jc w:val="right"/>
              <w:rPr>
                <w:rFonts w:eastAsia="Times New Roman" w:cs="Arial"/>
                <w:b/>
                <w:bCs/>
                <w:color w:val="000000"/>
                <w:lang w:eastAsia="en-GB"/>
              </w:rPr>
            </w:pPr>
          </w:p>
        </w:tc>
      </w:tr>
      <w:tr w:rsidRPr="00614894" w:rsidR="00F61B38" w:rsidTr="00E92AB7" w14:paraId="342ACB33" w14:textId="77777777">
        <w:trPr>
          <w:trHeight w:val="300"/>
        </w:trPr>
        <w:tc>
          <w:tcPr>
            <w:tcW w:w="1603"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227EBC" w:rsidR="00F61B38" w:rsidP="00A34C5E" w:rsidRDefault="005736F9" w14:paraId="288F1F08" w14:textId="1CE0B761">
            <w:pPr>
              <w:spacing w:after="0" w:line="240" w:lineRule="auto"/>
              <w:jc w:val="right"/>
              <w:rPr>
                <w:rFonts w:eastAsia="Times New Roman" w:cs="Arial"/>
                <w:b/>
                <w:bCs/>
                <w:color w:val="000000"/>
                <w:lang w:eastAsia="en-GB"/>
              </w:rPr>
            </w:pPr>
            <w:r w:rsidRPr="00227EBC">
              <w:rPr>
                <w:rFonts w:eastAsia="Times New Roman" w:cs="Arial"/>
                <w:b/>
                <w:bCs/>
                <w:color w:val="000000"/>
                <w:lang w:eastAsia="en-GB"/>
              </w:rPr>
              <w:t>(</w:t>
            </w:r>
            <w:r w:rsidR="00D764FE">
              <w:rPr>
                <w:rFonts w:eastAsia="Times New Roman" w:cs="Arial"/>
                <w:b/>
                <w:bCs/>
                <w:color w:val="000000"/>
                <w:lang w:eastAsia="en-GB"/>
              </w:rPr>
              <w:t>2</w:t>
            </w:r>
            <w:r w:rsidRPr="00227EBC">
              <w:rPr>
                <w:rFonts w:eastAsia="Times New Roman" w:cs="Arial"/>
                <w:b/>
                <w:bCs/>
                <w:color w:val="000000"/>
                <w:lang w:eastAsia="en-GB"/>
              </w:rPr>
              <w:t>)</w:t>
            </w:r>
          </w:p>
        </w:tc>
        <w:tc>
          <w:tcPr>
            <w:tcW w:w="5812"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227EBC" w:rsidR="00F61B38" w:rsidP="00A34C5E" w:rsidRDefault="00F61B38" w14:paraId="15A62FFB" w14:textId="77777777">
            <w:pPr>
              <w:spacing w:after="0" w:line="240" w:lineRule="auto"/>
              <w:rPr>
                <w:rFonts w:eastAsia="Times New Roman" w:cs="Arial"/>
                <w:b/>
                <w:bCs/>
                <w:color w:val="000000"/>
                <w:lang w:eastAsia="en-GB"/>
              </w:rPr>
            </w:pPr>
            <w:r w:rsidRPr="00227EBC">
              <w:rPr>
                <w:rFonts w:eastAsia="Times New Roman" w:cs="Arial"/>
                <w:b/>
                <w:bCs/>
                <w:color w:val="000000"/>
                <w:lang w:eastAsia="en-GB"/>
              </w:rPr>
              <w:t>Net Cash-flows from operating activities</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227EBC" w:rsidR="00F61B38" w:rsidP="00A34C5E" w:rsidRDefault="006109A0" w14:paraId="238B5AE5" w14:textId="0070983A">
            <w:pPr>
              <w:spacing w:after="0" w:line="240" w:lineRule="auto"/>
              <w:jc w:val="right"/>
              <w:rPr>
                <w:rFonts w:eastAsia="Times New Roman" w:cs="Arial"/>
                <w:b/>
                <w:bCs/>
                <w:color w:val="000000"/>
                <w:lang w:eastAsia="en-GB"/>
              </w:rPr>
            </w:pPr>
            <w:r>
              <w:rPr>
                <w:rFonts w:eastAsia="Times New Roman" w:cs="Arial"/>
                <w:b/>
                <w:bCs/>
                <w:color w:val="000000"/>
                <w:lang w:eastAsia="en-GB"/>
              </w:rPr>
              <w:t>70</w:t>
            </w:r>
          </w:p>
        </w:tc>
      </w:tr>
      <w:tr w:rsidRPr="00614894" w:rsidR="00F61B38" w:rsidTr="00E92AB7" w14:paraId="31B8C08F" w14:textId="77777777">
        <w:trPr>
          <w:trHeight w:val="285"/>
        </w:trPr>
        <w:tc>
          <w:tcPr>
            <w:tcW w:w="1603" w:type="dxa"/>
            <w:tcBorders>
              <w:top w:val="single" w:color="auto" w:sz="4" w:space="0"/>
              <w:left w:val="single" w:color="auto" w:sz="4" w:space="0"/>
              <w:bottom w:val="nil"/>
              <w:right w:val="single" w:color="auto" w:sz="4" w:space="0"/>
            </w:tcBorders>
            <w:shd w:val="clear" w:color="auto" w:fill="auto"/>
            <w:noWrap/>
            <w:vAlign w:val="bottom"/>
            <w:hideMark/>
          </w:tcPr>
          <w:p w:rsidRPr="00227EBC" w:rsidR="00F61B38" w:rsidP="00A34C5E" w:rsidRDefault="00F61B38" w14:paraId="68C22C5B" w14:textId="77777777">
            <w:pPr>
              <w:spacing w:after="0" w:line="240" w:lineRule="auto"/>
              <w:rPr>
                <w:rFonts w:eastAsia="Times New Roman" w:cs="Arial"/>
                <w:color w:val="000000"/>
                <w:lang w:eastAsia="en-GB"/>
              </w:rPr>
            </w:pPr>
            <w:r w:rsidRPr="00227EBC">
              <w:rPr>
                <w:rFonts w:eastAsia="Times New Roman" w:cs="Arial"/>
                <w:color w:val="000000"/>
                <w:lang w:eastAsia="en-GB"/>
              </w:rPr>
              <w:t> </w:t>
            </w:r>
          </w:p>
        </w:tc>
        <w:tc>
          <w:tcPr>
            <w:tcW w:w="5812" w:type="dxa"/>
            <w:tcBorders>
              <w:top w:val="single" w:color="auto" w:sz="4" w:space="0"/>
              <w:left w:val="nil"/>
              <w:bottom w:val="nil"/>
              <w:right w:val="single" w:color="auto" w:sz="4" w:space="0"/>
            </w:tcBorders>
            <w:shd w:val="clear" w:color="auto" w:fill="auto"/>
            <w:noWrap/>
            <w:vAlign w:val="bottom"/>
            <w:hideMark/>
          </w:tcPr>
          <w:p w:rsidRPr="00227EBC" w:rsidR="00F61B38" w:rsidP="00A34C5E" w:rsidRDefault="00F61B38" w14:paraId="7C2C8E2D" w14:textId="77777777">
            <w:pPr>
              <w:spacing w:after="0" w:line="240" w:lineRule="auto"/>
              <w:rPr>
                <w:rFonts w:eastAsia="Times New Roman" w:cs="Arial"/>
                <w:color w:val="000000"/>
                <w:lang w:eastAsia="en-GB"/>
              </w:rPr>
            </w:pPr>
          </w:p>
        </w:tc>
        <w:tc>
          <w:tcPr>
            <w:tcW w:w="1559" w:type="dxa"/>
            <w:tcBorders>
              <w:top w:val="single" w:color="auto" w:sz="4" w:space="0"/>
              <w:left w:val="single" w:color="auto" w:sz="4" w:space="0"/>
              <w:bottom w:val="nil"/>
              <w:right w:val="single" w:color="auto" w:sz="4" w:space="0"/>
            </w:tcBorders>
            <w:shd w:val="clear" w:color="auto" w:fill="auto"/>
            <w:noWrap/>
            <w:vAlign w:val="bottom"/>
          </w:tcPr>
          <w:p w:rsidRPr="00614894" w:rsidR="00F61B38" w:rsidP="00A34C5E" w:rsidRDefault="00F61B38" w14:paraId="54573C7F" w14:textId="77777777">
            <w:pPr>
              <w:spacing w:after="0" w:line="240" w:lineRule="auto"/>
              <w:rPr>
                <w:rFonts w:eastAsia="Times New Roman" w:cs="Arial"/>
                <w:color w:val="000000"/>
                <w:highlight w:val="yellow"/>
                <w:lang w:eastAsia="en-GB"/>
              </w:rPr>
            </w:pPr>
          </w:p>
        </w:tc>
      </w:tr>
      <w:tr w:rsidRPr="00614894" w:rsidR="00F61B38" w:rsidTr="00E92AB7" w14:paraId="1E2A9150" w14:textId="77777777">
        <w:trPr>
          <w:trHeight w:val="285"/>
        </w:trPr>
        <w:tc>
          <w:tcPr>
            <w:tcW w:w="1603" w:type="dxa"/>
            <w:tcBorders>
              <w:top w:val="nil"/>
              <w:left w:val="single" w:color="auto" w:sz="4" w:space="0"/>
              <w:bottom w:val="nil"/>
              <w:right w:val="single" w:color="auto" w:sz="4" w:space="0"/>
            </w:tcBorders>
            <w:shd w:val="clear" w:color="auto" w:fill="auto"/>
            <w:noWrap/>
            <w:vAlign w:val="bottom"/>
            <w:hideMark/>
          </w:tcPr>
          <w:p w:rsidRPr="00227EBC" w:rsidR="00F61B38" w:rsidP="00A34C5E" w:rsidRDefault="00F61B38" w14:paraId="17C0016C" w14:textId="77777777">
            <w:pPr>
              <w:spacing w:after="0" w:line="240" w:lineRule="auto"/>
              <w:jc w:val="right"/>
              <w:rPr>
                <w:rFonts w:eastAsia="Times New Roman" w:cs="Arial"/>
                <w:color w:val="000000"/>
                <w:lang w:eastAsia="en-GB"/>
              </w:rPr>
            </w:pPr>
          </w:p>
        </w:tc>
        <w:tc>
          <w:tcPr>
            <w:tcW w:w="5812" w:type="dxa"/>
            <w:tcBorders>
              <w:top w:val="nil"/>
              <w:left w:val="nil"/>
              <w:bottom w:val="nil"/>
              <w:right w:val="single" w:color="auto" w:sz="4" w:space="0"/>
            </w:tcBorders>
            <w:shd w:val="clear" w:color="auto" w:fill="auto"/>
            <w:noWrap/>
            <w:vAlign w:val="bottom"/>
            <w:hideMark/>
          </w:tcPr>
          <w:p w:rsidRPr="00227EBC" w:rsidR="00F61B38" w:rsidP="00A34C5E" w:rsidRDefault="00F61B38" w14:paraId="3C034D0C" w14:textId="77777777">
            <w:pPr>
              <w:spacing w:after="0" w:line="240" w:lineRule="auto"/>
              <w:rPr>
                <w:rFonts w:eastAsia="Times New Roman" w:cs="Arial"/>
                <w:b/>
                <w:color w:val="000000"/>
                <w:lang w:eastAsia="en-GB"/>
              </w:rPr>
            </w:pPr>
            <w:r w:rsidRPr="00227EBC">
              <w:rPr>
                <w:rFonts w:eastAsia="Times New Roman" w:cs="Arial"/>
                <w:b/>
                <w:color w:val="000000"/>
                <w:lang w:eastAsia="en-GB"/>
              </w:rPr>
              <w:t>Investing activities</w:t>
            </w:r>
          </w:p>
        </w:tc>
        <w:tc>
          <w:tcPr>
            <w:tcW w:w="1559" w:type="dxa"/>
            <w:tcBorders>
              <w:top w:val="nil"/>
              <w:left w:val="single" w:color="auto" w:sz="4" w:space="0"/>
              <w:bottom w:val="nil"/>
              <w:right w:val="single" w:color="auto" w:sz="4" w:space="0"/>
            </w:tcBorders>
            <w:shd w:val="clear" w:color="auto" w:fill="auto"/>
            <w:noWrap/>
            <w:vAlign w:val="bottom"/>
          </w:tcPr>
          <w:p w:rsidRPr="00701AFD" w:rsidR="00F61B38" w:rsidP="00A34C5E" w:rsidRDefault="00F61B38" w14:paraId="65AFA3C4" w14:textId="77777777">
            <w:pPr>
              <w:spacing w:after="0" w:line="240" w:lineRule="auto"/>
              <w:jc w:val="right"/>
              <w:rPr>
                <w:rFonts w:eastAsia="Times New Roman" w:cs="Arial"/>
                <w:color w:val="000000"/>
                <w:lang w:eastAsia="en-GB"/>
              </w:rPr>
            </w:pPr>
          </w:p>
        </w:tc>
      </w:tr>
      <w:tr w:rsidRPr="00614894" w:rsidR="00F61B38" w:rsidTr="00E92AB7" w14:paraId="61E3BC83" w14:textId="77777777">
        <w:trPr>
          <w:trHeight w:val="285"/>
        </w:trPr>
        <w:tc>
          <w:tcPr>
            <w:tcW w:w="1603" w:type="dxa"/>
            <w:tcBorders>
              <w:top w:val="nil"/>
              <w:left w:val="single" w:color="auto" w:sz="4" w:space="0"/>
              <w:bottom w:val="nil"/>
              <w:right w:val="single" w:color="auto" w:sz="4" w:space="0"/>
            </w:tcBorders>
            <w:shd w:val="clear" w:color="auto" w:fill="auto"/>
            <w:noWrap/>
            <w:vAlign w:val="bottom"/>
          </w:tcPr>
          <w:p w:rsidRPr="00227EBC" w:rsidR="00F61B38" w:rsidP="00A34C5E" w:rsidRDefault="00701AFD" w14:paraId="62156E3F" w14:textId="3DFA804A">
            <w:pPr>
              <w:spacing w:after="0" w:line="240" w:lineRule="auto"/>
              <w:jc w:val="right"/>
              <w:rPr>
                <w:rFonts w:eastAsia="Times New Roman" w:cs="Arial"/>
                <w:color w:val="000000"/>
                <w:lang w:eastAsia="en-GB"/>
              </w:rPr>
            </w:pPr>
            <w:r w:rsidRPr="00227EBC">
              <w:rPr>
                <w:rFonts w:eastAsia="Times New Roman" w:cs="Arial"/>
                <w:color w:val="000000"/>
                <w:lang w:eastAsia="en-GB"/>
              </w:rPr>
              <w:t>0</w:t>
            </w:r>
          </w:p>
        </w:tc>
        <w:tc>
          <w:tcPr>
            <w:tcW w:w="5812" w:type="dxa"/>
            <w:tcBorders>
              <w:top w:val="nil"/>
              <w:left w:val="nil"/>
              <w:bottom w:val="nil"/>
              <w:right w:val="single" w:color="auto" w:sz="4" w:space="0"/>
            </w:tcBorders>
            <w:shd w:val="clear" w:color="auto" w:fill="auto"/>
            <w:noWrap/>
            <w:vAlign w:val="bottom"/>
          </w:tcPr>
          <w:p w:rsidRPr="00227EBC" w:rsidR="00F61B38" w:rsidP="00A34C5E" w:rsidRDefault="00F61B38" w14:paraId="6B334BF6" w14:textId="77777777">
            <w:pPr>
              <w:spacing w:after="0" w:line="240" w:lineRule="auto"/>
              <w:rPr>
                <w:rFonts w:eastAsia="Times New Roman" w:cs="Arial"/>
                <w:color w:val="000000"/>
                <w:lang w:eastAsia="en-GB"/>
              </w:rPr>
            </w:pPr>
            <w:r w:rsidRPr="00227EBC">
              <w:t>Purchase of property, plant and equipment, investment property and intangible assets</w:t>
            </w:r>
          </w:p>
        </w:tc>
        <w:tc>
          <w:tcPr>
            <w:tcW w:w="1559" w:type="dxa"/>
            <w:tcBorders>
              <w:top w:val="nil"/>
              <w:left w:val="single" w:color="auto" w:sz="4" w:space="0"/>
              <w:bottom w:val="nil"/>
              <w:right w:val="single" w:color="auto" w:sz="4" w:space="0"/>
            </w:tcBorders>
            <w:shd w:val="clear" w:color="auto" w:fill="auto"/>
            <w:noWrap/>
            <w:vAlign w:val="bottom"/>
          </w:tcPr>
          <w:p w:rsidRPr="00701AFD" w:rsidR="00F61B38" w:rsidP="00A34C5E" w:rsidRDefault="00F61B38" w14:paraId="29F61DD8" w14:textId="77777777">
            <w:pPr>
              <w:spacing w:after="0" w:line="240" w:lineRule="auto"/>
              <w:jc w:val="right"/>
              <w:rPr>
                <w:rFonts w:eastAsia="Times New Roman" w:cs="Arial"/>
                <w:color w:val="000000"/>
                <w:lang w:eastAsia="en-GB"/>
              </w:rPr>
            </w:pPr>
            <w:r w:rsidRPr="00701AFD">
              <w:rPr>
                <w:rFonts w:eastAsia="Times New Roman" w:cs="Arial"/>
                <w:color w:val="000000"/>
                <w:lang w:eastAsia="en-GB"/>
              </w:rPr>
              <w:t>0</w:t>
            </w:r>
          </w:p>
        </w:tc>
      </w:tr>
      <w:tr w:rsidRPr="00614894" w:rsidR="00F61B38" w:rsidTr="00E92AB7" w14:paraId="3F38F173" w14:textId="77777777">
        <w:trPr>
          <w:trHeight w:val="285"/>
        </w:trPr>
        <w:tc>
          <w:tcPr>
            <w:tcW w:w="1603" w:type="dxa"/>
            <w:tcBorders>
              <w:top w:val="nil"/>
              <w:left w:val="single" w:color="auto" w:sz="4" w:space="0"/>
              <w:bottom w:val="nil"/>
              <w:right w:val="single" w:color="auto" w:sz="4" w:space="0"/>
            </w:tcBorders>
            <w:shd w:val="clear" w:color="auto" w:fill="auto"/>
            <w:noWrap/>
            <w:vAlign w:val="bottom"/>
          </w:tcPr>
          <w:p w:rsidRPr="00227EBC" w:rsidR="00F61B38" w:rsidP="00B76BC8" w:rsidRDefault="00B76BC8" w14:paraId="78C3CDA5" w14:textId="2E63349C">
            <w:pPr>
              <w:spacing w:after="0" w:line="240" w:lineRule="auto"/>
              <w:jc w:val="right"/>
              <w:rPr>
                <w:rFonts w:eastAsia="Times New Roman" w:cs="Arial"/>
                <w:color w:val="000000"/>
                <w:lang w:eastAsia="en-GB"/>
              </w:rPr>
            </w:pPr>
            <w:r w:rsidRPr="00227EBC">
              <w:rPr>
                <w:rFonts w:eastAsia="Times New Roman" w:cs="Arial"/>
                <w:color w:val="000000"/>
                <w:lang w:eastAsia="en-GB"/>
              </w:rPr>
              <w:t xml:space="preserve">       </w:t>
            </w:r>
            <w:r w:rsidRPr="00227EBC" w:rsidR="00701AFD">
              <w:rPr>
                <w:rFonts w:eastAsia="Times New Roman" w:cs="Arial"/>
                <w:color w:val="000000"/>
                <w:lang w:eastAsia="en-GB"/>
              </w:rPr>
              <w:t>0</w:t>
            </w:r>
          </w:p>
        </w:tc>
        <w:tc>
          <w:tcPr>
            <w:tcW w:w="5812" w:type="dxa"/>
            <w:tcBorders>
              <w:top w:val="nil"/>
              <w:left w:val="nil"/>
              <w:bottom w:val="nil"/>
              <w:right w:val="single" w:color="auto" w:sz="4" w:space="0"/>
            </w:tcBorders>
            <w:shd w:val="clear" w:color="auto" w:fill="auto"/>
            <w:noWrap/>
          </w:tcPr>
          <w:p w:rsidRPr="00227EBC" w:rsidR="00F61B38" w:rsidP="00A34C5E" w:rsidRDefault="00F61B38" w14:paraId="0AB52DE7" w14:textId="77777777">
            <w:pPr>
              <w:spacing w:after="0"/>
            </w:pPr>
            <w:r w:rsidRPr="00227EBC">
              <w:t>Other receipts from investing activities</w:t>
            </w:r>
          </w:p>
        </w:tc>
        <w:tc>
          <w:tcPr>
            <w:tcW w:w="1559" w:type="dxa"/>
            <w:tcBorders>
              <w:top w:val="nil"/>
              <w:left w:val="single" w:color="auto" w:sz="4" w:space="0"/>
              <w:bottom w:val="nil"/>
              <w:right w:val="single" w:color="auto" w:sz="4" w:space="0"/>
            </w:tcBorders>
            <w:shd w:val="clear" w:color="auto" w:fill="auto"/>
            <w:noWrap/>
            <w:vAlign w:val="bottom"/>
          </w:tcPr>
          <w:p w:rsidRPr="00701AFD" w:rsidR="00F61B38" w:rsidP="00A34C5E" w:rsidRDefault="00B76BC8" w14:paraId="63AEAD3D" w14:textId="2D701809">
            <w:pPr>
              <w:spacing w:after="0" w:line="240" w:lineRule="auto"/>
              <w:jc w:val="right"/>
              <w:rPr>
                <w:rFonts w:eastAsia="Times New Roman" w:cs="Arial"/>
                <w:color w:val="000000"/>
                <w:lang w:eastAsia="en-GB"/>
              </w:rPr>
            </w:pPr>
            <w:r w:rsidRPr="00701AFD">
              <w:rPr>
                <w:rFonts w:eastAsia="Times New Roman" w:cs="Arial"/>
                <w:color w:val="000000"/>
                <w:lang w:eastAsia="en-GB"/>
              </w:rPr>
              <w:t>0</w:t>
            </w:r>
          </w:p>
        </w:tc>
      </w:tr>
      <w:tr w:rsidRPr="00614894" w:rsidR="00F61B38" w:rsidTr="00E92AB7" w14:paraId="2005CEF5" w14:textId="77777777">
        <w:trPr>
          <w:trHeight w:val="300"/>
        </w:trPr>
        <w:tc>
          <w:tcPr>
            <w:tcW w:w="1603" w:type="dxa"/>
            <w:tcBorders>
              <w:top w:val="nil"/>
              <w:left w:val="single" w:color="auto" w:sz="4" w:space="0"/>
              <w:bottom w:val="nil"/>
              <w:right w:val="single" w:color="auto" w:sz="4" w:space="0"/>
            </w:tcBorders>
            <w:shd w:val="clear" w:color="auto" w:fill="auto"/>
            <w:noWrap/>
            <w:vAlign w:val="bottom"/>
            <w:hideMark/>
          </w:tcPr>
          <w:p w:rsidRPr="00227EBC" w:rsidR="00F61B38" w:rsidP="00A34C5E" w:rsidRDefault="005736F9" w14:paraId="06939F06" w14:textId="0190BB1A">
            <w:pPr>
              <w:spacing w:after="0" w:line="240" w:lineRule="auto"/>
              <w:jc w:val="right"/>
              <w:rPr>
                <w:rFonts w:eastAsia="Times New Roman" w:cs="Arial"/>
                <w:b/>
                <w:color w:val="000000"/>
                <w:lang w:eastAsia="en-GB"/>
              </w:rPr>
            </w:pPr>
            <w:r w:rsidRPr="00227EBC">
              <w:rPr>
                <w:rFonts w:eastAsia="Times New Roman" w:cs="Arial"/>
                <w:b/>
                <w:color w:val="000000"/>
                <w:lang w:eastAsia="en-GB"/>
              </w:rPr>
              <w:t> </w:t>
            </w:r>
            <w:r w:rsidRPr="00227EBC" w:rsidR="00701AFD">
              <w:rPr>
                <w:rFonts w:eastAsia="Times New Roman" w:cs="Arial"/>
                <w:b/>
                <w:color w:val="000000"/>
                <w:lang w:eastAsia="en-GB"/>
              </w:rPr>
              <w:t>0</w:t>
            </w:r>
          </w:p>
        </w:tc>
        <w:tc>
          <w:tcPr>
            <w:tcW w:w="5812" w:type="dxa"/>
            <w:tcBorders>
              <w:top w:val="nil"/>
              <w:left w:val="nil"/>
              <w:bottom w:val="nil"/>
              <w:right w:val="single" w:color="auto" w:sz="4" w:space="0"/>
            </w:tcBorders>
            <w:shd w:val="clear" w:color="auto" w:fill="auto"/>
            <w:noWrap/>
            <w:vAlign w:val="bottom"/>
            <w:hideMark/>
          </w:tcPr>
          <w:p w:rsidRPr="00227EBC" w:rsidR="00F61B38" w:rsidP="00A34C5E" w:rsidRDefault="00F61B38" w14:paraId="68485F47" w14:textId="77777777">
            <w:pPr>
              <w:spacing w:after="0" w:line="240" w:lineRule="auto"/>
              <w:rPr>
                <w:rFonts w:eastAsia="Times New Roman" w:cs="Arial"/>
                <w:b/>
                <w:bCs/>
                <w:color w:val="000000"/>
                <w:lang w:eastAsia="en-GB"/>
              </w:rPr>
            </w:pPr>
            <w:r w:rsidRPr="00227EBC">
              <w:rPr>
                <w:rFonts w:eastAsia="Times New Roman" w:cs="Arial"/>
                <w:b/>
                <w:bCs/>
                <w:color w:val="000000"/>
                <w:lang w:eastAsia="en-GB"/>
              </w:rPr>
              <w:t>Total Investing Activities</w:t>
            </w:r>
          </w:p>
        </w:tc>
        <w:tc>
          <w:tcPr>
            <w:tcW w:w="1559" w:type="dxa"/>
            <w:tcBorders>
              <w:top w:val="nil"/>
              <w:left w:val="single" w:color="auto" w:sz="4" w:space="0"/>
              <w:bottom w:val="nil"/>
              <w:right w:val="single" w:color="auto" w:sz="4" w:space="0"/>
            </w:tcBorders>
            <w:shd w:val="clear" w:color="auto" w:fill="auto"/>
            <w:noWrap/>
            <w:vAlign w:val="bottom"/>
          </w:tcPr>
          <w:p w:rsidRPr="00701AFD" w:rsidR="00F61B38" w:rsidP="00A34C5E" w:rsidRDefault="00B76BC8" w14:paraId="3B7C062D" w14:textId="50BA4F99">
            <w:pPr>
              <w:spacing w:after="0" w:line="240" w:lineRule="auto"/>
              <w:jc w:val="right"/>
              <w:rPr>
                <w:rFonts w:eastAsia="Times New Roman" w:cs="Arial"/>
                <w:b/>
                <w:bCs/>
                <w:color w:val="000000"/>
                <w:lang w:eastAsia="en-GB"/>
              </w:rPr>
            </w:pPr>
            <w:r w:rsidRPr="00701AFD">
              <w:rPr>
                <w:rFonts w:eastAsia="Times New Roman" w:cs="Arial"/>
                <w:b/>
                <w:bCs/>
                <w:color w:val="000000"/>
                <w:lang w:eastAsia="en-GB"/>
              </w:rPr>
              <w:t>0</w:t>
            </w:r>
          </w:p>
        </w:tc>
      </w:tr>
      <w:tr w:rsidRPr="00614894" w:rsidR="00600AB8" w:rsidTr="00E92AB7" w14:paraId="7D4ADA21" w14:textId="77777777">
        <w:trPr>
          <w:trHeight w:val="285"/>
        </w:trPr>
        <w:tc>
          <w:tcPr>
            <w:tcW w:w="1603" w:type="dxa"/>
            <w:tcBorders>
              <w:top w:val="nil"/>
              <w:left w:val="single" w:color="auto" w:sz="4" w:space="0"/>
              <w:bottom w:val="nil"/>
              <w:right w:val="single" w:color="auto" w:sz="4" w:space="0"/>
            </w:tcBorders>
            <w:shd w:val="clear" w:color="auto" w:fill="auto"/>
            <w:noWrap/>
            <w:vAlign w:val="bottom"/>
          </w:tcPr>
          <w:p w:rsidRPr="00227EBC" w:rsidR="00600AB8" w:rsidP="00A34C5E" w:rsidRDefault="00600AB8" w14:paraId="19E141FB" w14:textId="77777777">
            <w:pPr>
              <w:spacing w:after="0" w:line="240" w:lineRule="auto"/>
              <w:jc w:val="right"/>
              <w:rPr>
                <w:rFonts w:eastAsia="Times New Roman" w:cs="Arial"/>
                <w:b/>
                <w:color w:val="000000"/>
                <w:lang w:eastAsia="en-GB"/>
              </w:rPr>
            </w:pPr>
          </w:p>
        </w:tc>
        <w:tc>
          <w:tcPr>
            <w:tcW w:w="5812" w:type="dxa"/>
            <w:tcBorders>
              <w:top w:val="nil"/>
              <w:left w:val="nil"/>
              <w:bottom w:val="nil"/>
              <w:right w:val="single" w:color="auto" w:sz="4" w:space="0"/>
            </w:tcBorders>
            <w:shd w:val="clear" w:color="auto" w:fill="auto"/>
            <w:noWrap/>
            <w:vAlign w:val="bottom"/>
          </w:tcPr>
          <w:p w:rsidRPr="00227EBC" w:rsidR="00600AB8" w:rsidP="00A34C5E" w:rsidRDefault="00600AB8" w14:paraId="71ACFDC4" w14:textId="77777777">
            <w:pPr>
              <w:spacing w:after="0" w:line="240" w:lineRule="auto"/>
              <w:rPr>
                <w:rFonts w:eastAsia="Times New Roman" w:cs="Arial"/>
                <w:b/>
                <w:color w:val="000000"/>
                <w:lang w:eastAsia="en-GB"/>
              </w:rPr>
            </w:pPr>
          </w:p>
        </w:tc>
        <w:tc>
          <w:tcPr>
            <w:tcW w:w="1559" w:type="dxa"/>
            <w:tcBorders>
              <w:top w:val="nil"/>
              <w:left w:val="single" w:color="auto" w:sz="4" w:space="0"/>
              <w:bottom w:val="nil"/>
              <w:right w:val="single" w:color="auto" w:sz="4" w:space="0"/>
            </w:tcBorders>
            <w:shd w:val="clear" w:color="auto" w:fill="auto"/>
            <w:noWrap/>
            <w:vAlign w:val="bottom"/>
          </w:tcPr>
          <w:p w:rsidRPr="00614894" w:rsidR="00600AB8" w:rsidP="00A34C5E" w:rsidRDefault="00600AB8" w14:paraId="14904244" w14:textId="77777777">
            <w:pPr>
              <w:spacing w:after="0" w:line="240" w:lineRule="auto"/>
              <w:jc w:val="right"/>
              <w:rPr>
                <w:rFonts w:eastAsia="Times New Roman" w:cs="Arial"/>
                <w:b/>
                <w:color w:val="000000"/>
                <w:highlight w:val="yellow"/>
                <w:lang w:eastAsia="en-GB"/>
              </w:rPr>
            </w:pPr>
          </w:p>
        </w:tc>
      </w:tr>
      <w:tr w:rsidRPr="00614894" w:rsidR="00F61B38" w:rsidTr="00E92AB7" w14:paraId="50AAC653" w14:textId="77777777">
        <w:trPr>
          <w:trHeight w:val="285"/>
        </w:trPr>
        <w:tc>
          <w:tcPr>
            <w:tcW w:w="1603" w:type="dxa"/>
            <w:tcBorders>
              <w:top w:val="nil"/>
              <w:left w:val="single" w:color="auto" w:sz="4" w:space="0"/>
              <w:bottom w:val="nil"/>
              <w:right w:val="single" w:color="auto" w:sz="4" w:space="0"/>
            </w:tcBorders>
            <w:shd w:val="clear" w:color="auto" w:fill="auto"/>
            <w:noWrap/>
            <w:vAlign w:val="bottom"/>
            <w:hideMark/>
          </w:tcPr>
          <w:p w:rsidRPr="00227EBC" w:rsidR="00F61B38" w:rsidP="00A34C5E" w:rsidRDefault="00227EBC" w14:paraId="3B9F235E" w14:textId="39121A6E">
            <w:pPr>
              <w:spacing w:after="0" w:line="240" w:lineRule="auto"/>
              <w:jc w:val="right"/>
              <w:rPr>
                <w:rFonts w:eastAsia="Times New Roman" w:cs="Arial"/>
                <w:b/>
                <w:color w:val="000000"/>
                <w:lang w:eastAsia="en-GB"/>
              </w:rPr>
            </w:pPr>
            <w:r w:rsidRPr="00227EBC">
              <w:rPr>
                <w:rFonts w:eastAsia="Times New Roman" w:cs="Arial"/>
                <w:b/>
                <w:color w:val="000000"/>
                <w:lang w:eastAsia="en-GB"/>
              </w:rPr>
              <w:t>0</w:t>
            </w:r>
          </w:p>
        </w:tc>
        <w:tc>
          <w:tcPr>
            <w:tcW w:w="5812" w:type="dxa"/>
            <w:tcBorders>
              <w:top w:val="nil"/>
              <w:left w:val="nil"/>
              <w:bottom w:val="nil"/>
              <w:right w:val="single" w:color="auto" w:sz="4" w:space="0"/>
            </w:tcBorders>
            <w:shd w:val="clear" w:color="auto" w:fill="auto"/>
            <w:noWrap/>
            <w:vAlign w:val="bottom"/>
            <w:hideMark/>
          </w:tcPr>
          <w:p w:rsidRPr="00227EBC" w:rsidR="00F61B38" w:rsidP="00A34C5E" w:rsidRDefault="00F61B38" w14:paraId="631C9EE5" w14:textId="77777777">
            <w:pPr>
              <w:spacing w:after="0" w:line="240" w:lineRule="auto"/>
              <w:rPr>
                <w:rFonts w:eastAsia="Times New Roman" w:cs="Arial"/>
                <w:b/>
                <w:color w:val="000000"/>
                <w:lang w:eastAsia="en-GB"/>
              </w:rPr>
            </w:pPr>
            <w:r w:rsidRPr="00227EBC">
              <w:rPr>
                <w:rFonts w:eastAsia="Times New Roman" w:cs="Arial"/>
                <w:b/>
                <w:color w:val="000000"/>
                <w:lang w:eastAsia="en-GB"/>
              </w:rPr>
              <w:t>Financing activities</w:t>
            </w:r>
          </w:p>
        </w:tc>
        <w:tc>
          <w:tcPr>
            <w:tcW w:w="1559" w:type="dxa"/>
            <w:tcBorders>
              <w:top w:val="nil"/>
              <w:left w:val="single" w:color="auto" w:sz="4" w:space="0"/>
              <w:bottom w:val="nil"/>
              <w:right w:val="single" w:color="auto" w:sz="4" w:space="0"/>
            </w:tcBorders>
            <w:shd w:val="clear" w:color="auto" w:fill="auto"/>
            <w:noWrap/>
            <w:vAlign w:val="bottom"/>
          </w:tcPr>
          <w:p w:rsidRPr="00227EBC" w:rsidR="00F61B38" w:rsidP="00A34C5E" w:rsidRDefault="00F61B38" w14:paraId="5C08978C" w14:textId="77777777">
            <w:pPr>
              <w:spacing w:after="0" w:line="240" w:lineRule="auto"/>
              <w:jc w:val="right"/>
              <w:rPr>
                <w:rFonts w:eastAsia="Times New Roman" w:cs="Arial"/>
                <w:b/>
                <w:color w:val="000000"/>
                <w:lang w:eastAsia="en-GB"/>
              </w:rPr>
            </w:pPr>
            <w:r w:rsidRPr="00227EBC">
              <w:rPr>
                <w:rFonts w:eastAsia="Times New Roman" w:cs="Arial"/>
                <w:b/>
                <w:color w:val="000000"/>
                <w:lang w:eastAsia="en-GB"/>
              </w:rPr>
              <w:t>0</w:t>
            </w:r>
          </w:p>
        </w:tc>
      </w:tr>
      <w:tr w:rsidRPr="00614894" w:rsidR="00F61B38" w:rsidTr="00E92AB7" w14:paraId="11FCD646" w14:textId="77777777">
        <w:trPr>
          <w:trHeight w:val="285"/>
        </w:trPr>
        <w:tc>
          <w:tcPr>
            <w:tcW w:w="1603" w:type="dxa"/>
            <w:tcBorders>
              <w:top w:val="nil"/>
              <w:left w:val="single" w:color="auto" w:sz="4" w:space="0"/>
              <w:bottom w:val="single" w:color="auto" w:sz="4" w:space="0"/>
              <w:right w:val="single" w:color="auto" w:sz="4" w:space="0"/>
            </w:tcBorders>
            <w:shd w:val="clear" w:color="auto" w:fill="auto"/>
            <w:noWrap/>
            <w:vAlign w:val="bottom"/>
            <w:hideMark/>
          </w:tcPr>
          <w:p w:rsidRPr="00227EBC" w:rsidR="00F61B38" w:rsidP="00B76BC8" w:rsidRDefault="00F61B38" w14:paraId="428750A5" w14:textId="77777777">
            <w:pPr>
              <w:spacing w:after="0" w:line="240" w:lineRule="auto"/>
              <w:jc w:val="right"/>
              <w:rPr>
                <w:rFonts w:eastAsia="Times New Roman" w:cs="Arial"/>
                <w:color w:val="000000"/>
                <w:lang w:eastAsia="en-GB"/>
              </w:rPr>
            </w:pPr>
            <w:r w:rsidRPr="00227EBC">
              <w:rPr>
                <w:rFonts w:eastAsia="Times New Roman" w:cs="Arial"/>
                <w:color w:val="000000"/>
                <w:lang w:eastAsia="en-GB"/>
              </w:rPr>
              <w:t> </w:t>
            </w:r>
          </w:p>
        </w:tc>
        <w:tc>
          <w:tcPr>
            <w:tcW w:w="5812" w:type="dxa"/>
            <w:tcBorders>
              <w:top w:val="nil"/>
              <w:left w:val="nil"/>
              <w:bottom w:val="single" w:color="auto" w:sz="4" w:space="0"/>
              <w:right w:val="single" w:color="auto" w:sz="4" w:space="0"/>
            </w:tcBorders>
            <w:shd w:val="clear" w:color="auto" w:fill="auto"/>
            <w:noWrap/>
            <w:vAlign w:val="bottom"/>
            <w:hideMark/>
          </w:tcPr>
          <w:p w:rsidRPr="00227EBC" w:rsidR="00F61B38" w:rsidP="00A34C5E" w:rsidRDefault="00F61B38" w14:paraId="5C2D9265" w14:textId="77777777">
            <w:pPr>
              <w:spacing w:after="0" w:line="240" w:lineRule="auto"/>
              <w:rPr>
                <w:rFonts w:eastAsia="Times New Roman" w:cs="Arial"/>
                <w:color w:val="000000"/>
                <w:lang w:eastAsia="en-GB"/>
              </w:rPr>
            </w:pPr>
            <w:r w:rsidRPr="00227EBC">
              <w:rPr>
                <w:rFonts w:eastAsia="Times New Roman" w:cs="Arial"/>
                <w:color w:val="000000"/>
                <w:lang w:eastAsia="en-GB"/>
              </w:rPr>
              <w:t> </w:t>
            </w:r>
          </w:p>
        </w:tc>
        <w:tc>
          <w:tcPr>
            <w:tcW w:w="1559" w:type="dxa"/>
            <w:tcBorders>
              <w:top w:val="nil"/>
              <w:left w:val="single" w:color="auto" w:sz="4" w:space="0"/>
              <w:bottom w:val="single" w:color="auto" w:sz="4" w:space="0"/>
              <w:right w:val="single" w:color="auto" w:sz="4" w:space="0"/>
            </w:tcBorders>
            <w:shd w:val="clear" w:color="auto" w:fill="auto"/>
            <w:noWrap/>
            <w:vAlign w:val="bottom"/>
          </w:tcPr>
          <w:p w:rsidRPr="00614894" w:rsidR="00F61B38" w:rsidP="00A34C5E" w:rsidRDefault="00F61B38" w14:paraId="5B561F55" w14:textId="77777777">
            <w:pPr>
              <w:spacing w:after="0" w:line="240" w:lineRule="auto"/>
              <w:rPr>
                <w:rFonts w:eastAsia="Times New Roman" w:cs="Arial"/>
                <w:color w:val="000000"/>
                <w:highlight w:val="yellow"/>
                <w:lang w:eastAsia="en-GB"/>
              </w:rPr>
            </w:pPr>
          </w:p>
        </w:tc>
      </w:tr>
      <w:tr w:rsidRPr="00614894" w:rsidR="00F61B38" w:rsidTr="00E92AB7" w14:paraId="2D7462F2" w14:textId="77777777">
        <w:trPr>
          <w:trHeight w:val="300"/>
        </w:trPr>
        <w:tc>
          <w:tcPr>
            <w:tcW w:w="1603" w:type="dxa"/>
            <w:tcBorders>
              <w:top w:val="nil"/>
              <w:left w:val="single" w:color="auto" w:sz="4" w:space="0"/>
              <w:bottom w:val="nil"/>
              <w:right w:val="single" w:color="auto" w:sz="4" w:space="0"/>
            </w:tcBorders>
            <w:shd w:val="clear" w:color="auto" w:fill="auto"/>
            <w:noWrap/>
            <w:vAlign w:val="bottom"/>
            <w:hideMark/>
          </w:tcPr>
          <w:p w:rsidRPr="00227EBC" w:rsidR="00F61B38" w:rsidP="00A34C5E" w:rsidRDefault="00F61B38" w14:paraId="2BB4FF77" w14:textId="77777777">
            <w:pPr>
              <w:spacing w:after="0" w:line="240" w:lineRule="auto"/>
              <w:rPr>
                <w:rFonts w:eastAsia="Times New Roman" w:cs="Arial"/>
                <w:b/>
                <w:bCs/>
                <w:color w:val="000000"/>
                <w:lang w:eastAsia="en-GB"/>
              </w:rPr>
            </w:pPr>
            <w:r w:rsidRPr="00227EBC">
              <w:rPr>
                <w:rFonts w:eastAsia="Times New Roman" w:cs="Arial"/>
                <w:b/>
                <w:bCs/>
                <w:color w:val="000000"/>
                <w:lang w:eastAsia="en-GB"/>
              </w:rPr>
              <w:t> </w:t>
            </w:r>
          </w:p>
        </w:tc>
        <w:tc>
          <w:tcPr>
            <w:tcW w:w="5812" w:type="dxa"/>
            <w:tcBorders>
              <w:top w:val="nil"/>
              <w:left w:val="nil"/>
              <w:bottom w:val="nil"/>
              <w:right w:val="single" w:color="auto" w:sz="4" w:space="0"/>
            </w:tcBorders>
            <w:shd w:val="clear" w:color="auto" w:fill="auto"/>
            <w:noWrap/>
            <w:vAlign w:val="bottom"/>
            <w:hideMark/>
          </w:tcPr>
          <w:p w:rsidRPr="00227EBC" w:rsidR="00F61B38" w:rsidP="00A34C5E" w:rsidRDefault="00F61B38" w14:paraId="59B94F5F" w14:textId="77777777">
            <w:pPr>
              <w:spacing w:after="0" w:line="240" w:lineRule="auto"/>
              <w:rPr>
                <w:rFonts w:eastAsia="Times New Roman" w:cs="Arial"/>
                <w:b/>
                <w:bCs/>
                <w:color w:val="000000"/>
                <w:lang w:eastAsia="en-GB"/>
              </w:rPr>
            </w:pPr>
            <w:r w:rsidRPr="00227EBC">
              <w:rPr>
                <w:rFonts w:eastAsia="Times New Roman" w:cs="Arial"/>
                <w:b/>
                <w:bCs/>
                <w:color w:val="000000"/>
                <w:lang w:eastAsia="en-GB"/>
              </w:rPr>
              <w:t xml:space="preserve">Net (increase)/decrease in cash and cash </w:t>
            </w:r>
          </w:p>
        </w:tc>
        <w:tc>
          <w:tcPr>
            <w:tcW w:w="1559" w:type="dxa"/>
            <w:tcBorders>
              <w:top w:val="nil"/>
              <w:left w:val="single" w:color="auto" w:sz="4" w:space="0"/>
              <w:bottom w:val="nil"/>
              <w:right w:val="single" w:color="auto" w:sz="4" w:space="0"/>
            </w:tcBorders>
            <w:shd w:val="clear" w:color="auto" w:fill="auto"/>
            <w:noWrap/>
            <w:vAlign w:val="bottom"/>
            <w:hideMark/>
          </w:tcPr>
          <w:p w:rsidRPr="00227EBC" w:rsidR="00F61B38" w:rsidP="00A34C5E" w:rsidRDefault="00F61B38" w14:paraId="3526D2DE" w14:textId="77777777">
            <w:pPr>
              <w:spacing w:after="0" w:line="240" w:lineRule="auto"/>
              <w:rPr>
                <w:rFonts w:eastAsia="Times New Roman" w:cs="Arial"/>
                <w:b/>
                <w:bCs/>
                <w:color w:val="000000"/>
                <w:lang w:eastAsia="en-GB"/>
              </w:rPr>
            </w:pPr>
            <w:r w:rsidRPr="00227EBC">
              <w:rPr>
                <w:rFonts w:eastAsia="Times New Roman" w:cs="Arial"/>
                <w:b/>
                <w:bCs/>
                <w:color w:val="000000"/>
                <w:lang w:eastAsia="en-GB"/>
              </w:rPr>
              <w:t> </w:t>
            </w:r>
          </w:p>
        </w:tc>
      </w:tr>
      <w:tr w:rsidRPr="00614894" w:rsidR="00F61B38" w:rsidTr="00E92AB7" w14:paraId="2E09A698" w14:textId="77777777">
        <w:trPr>
          <w:trHeight w:val="300"/>
        </w:trPr>
        <w:tc>
          <w:tcPr>
            <w:tcW w:w="1603" w:type="dxa"/>
            <w:tcBorders>
              <w:top w:val="nil"/>
              <w:left w:val="single" w:color="auto" w:sz="4" w:space="0"/>
              <w:bottom w:val="nil"/>
              <w:right w:val="single" w:color="auto" w:sz="4" w:space="0"/>
            </w:tcBorders>
            <w:shd w:val="clear" w:color="auto" w:fill="auto"/>
            <w:noWrap/>
            <w:vAlign w:val="bottom"/>
            <w:hideMark/>
          </w:tcPr>
          <w:p w:rsidRPr="00CB6137" w:rsidR="00F61B38" w:rsidP="00A34C5E" w:rsidRDefault="00227EBC" w14:paraId="65049EA6" w14:textId="205C6128">
            <w:pPr>
              <w:spacing w:after="0" w:line="240" w:lineRule="auto"/>
              <w:jc w:val="right"/>
              <w:rPr>
                <w:rFonts w:eastAsia="Times New Roman" w:cs="Arial"/>
                <w:b/>
                <w:bCs/>
                <w:color w:val="000000"/>
                <w:lang w:eastAsia="en-GB"/>
              </w:rPr>
            </w:pPr>
            <w:r w:rsidRPr="00CB6137">
              <w:rPr>
                <w:rFonts w:eastAsia="Times New Roman" w:cs="Arial"/>
                <w:b/>
                <w:bCs/>
                <w:color w:val="000000"/>
                <w:lang w:eastAsia="en-GB"/>
              </w:rPr>
              <w:t>(</w:t>
            </w:r>
            <w:r w:rsidR="00D764FE">
              <w:rPr>
                <w:rFonts w:eastAsia="Times New Roman" w:cs="Arial"/>
                <w:b/>
                <w:bCs/>
                <w:color w:val="000000"/>
                <w:lang w:eastAsia="en-GB"/>
              </w:rPr>
              <w:t>2</w:t>
            </w:r>
            <w:r w:rsidRPr="00CB6137">
              <w:rPr>
                <w:rFonts w:eastAsia="Times New Roman" w:cs="Arial"/>
                <w:b/>
                <w:bCs/>
                <w:color w:val="000000"/>
                <w:lang w:eastAsia="en-GB"/>
              </w:rPr>
              <w:t>)</w:t>
            </w:r>
          </w:p>
        </w:tc>
        <w:tc>
          <w:tcPr>
            <w:tcW w:w="5812" w:type="dxa"/>
            <w:tcBorders>
              <w:top w:val="nil"/>
              <w:left w:val="nil"/>
              <w:bottom w:val="nil"/>
              <w:right w:val="single" w:color="auto" w:sz="4" w:space="0"/>
            </w:tcBorders>
            <w:shd w:val="clear" w:color="auto" w:fill="auto"/>
            <w:noWrap/>
            <w:vAlign w:val="bottom"/>
            <w:hideMark/>
          </w:tcPr>
          <w:p w:rsidRPr="00CB6137" w:rsidR="00F61B38" w:rsidP="00A34C5E" w:rsidRDefault="00F61B38" w14:paraId="7D47441B" w14:textId="77777777">
            <w:pPr>
              <w:spacing w:after="0" w:line="240" w:lineRule="auto"/>
              <w:rPr>
                <w:rFonts w:eastAsia="Times New Roman" w:cs="Arial"/>
                <w:b/>
                <w:bCs/>
                <w:color w:val="000000"/>
                <w:lang w:eastAsia="en-GB"/>
              </w:rPr>
            </w:pPr>
            <w:r w:rsidRPr="00CB6137">
              <w:rPr>
                <w:rFonts w:eastAsia="Times New Roman" w:cs="Arial"/>
                <w:b/>
                <w:bCs/>
                <w:color w:val="000000"/>
                <w:lang w:eastAsia="en-GB"/>
              </w:rPr>
              <w:t>Equivalents</w:t>
            </w:r>
          </w:p>
        </w:tc>
        <w:tc>
          <w:tcPr>
            <w:tcW w:w="1559" w:type="dxa"/>
            <w:tcBorders>
              <w:top w:val="nil"/>
              <w:left w:val="single" w:color="auto" w:sz="4" w:space="0"/>
              <w:bottom w:val="nil"/>
              <w:right w:val="single" w:color="auto" w:sz="4" w:space="0"/>
            </w:tcBorders>
            <w:shd w:val="clear" w:color="auto" w:fill="auto"/>
            <w:noWrap/>
            <w:vAlign w:val="bottom"/>
          </w:tcPr>
          <w:p w:rsidRPr="00CB6137" w:rsidR="00F61B38" w:rsidP="006109A0" w:rsidRDefault="00177A2E" w14:paraId="320CBF0A" w14:textId="5EC41053">
            <w:pPr>
              <w:spacing w:after="0" w:line="240" w:lineRule="auto"/>
              <w:jc w:val="right"/>
              <w:rPr>
                <w:rFonts w:eastAsia="Times New Roman" w:cs="Arial"/>
                <w:b/>
                <w:bCs/>
                <w:color w:val="000000"/>
                <w:lang w:eastAsia="en-GB"/>
              </w:rPr>
            </w:pPr>
            <w:r w:rsidRPr="00CB6137">
              <w:rPr>
                <w:rFonts w:eastAsia="Times New Roman" w:cs="Arial"/>
                <w:b/>
                <w:bCs/>
                <w:color w:val="000000"/>
                <w:lang w:eastAsia="en-GB"/>
              </w:rPr>
              <w:t xml:space="preserve">             </w:t>
            </w:r>
            <w:r w:rsidRPr="00CB6137" w:rsidR="00227EBC">
              <w:rPr>
                <w:rFonts w:eastAsia="Times New Roman" w:cs="Arial"/>
                <w:b/>
                <w:bCs/>
                <w:color w:val="000000"/>
                <w:lang w:eastAsia="en-GB"/>
              </w:rPr>
              <w:t xml:space="preserve">      </w:t>
            </w:r>
            <w:r w:rsidRPr="00CB6137" w:rsidR="006109A0">
              <w:rPr>
                <w:rFonts w:eastAsia="Times New Roman" w:cs="Arial"/>
                <w:b/>
                <w:bCs/>
                <w:color w:val="000000"/>
                <w:lang w:eastAsia="en-GB"/>
              </w:rPr>
              <w:t xml:space="preserve">  </w:t>
            </w:r>
            <w:r w:rsidRPr="00CB6137" w:rsidR="00CB6137">
              <w:rPr>
                <w:rFonts w:eastAsia="Times New Roman" w:cs="Arial"/>
                <w:b/>
                <w:bCs/>
                <w:color w:val="000000"/>
                <w:lang w:eastAsia="en-GB"/>
              </w:rPr>
              <w:t>70</w:t>
            </w:r>
          </w:p>
        </w:tc>
      </w:tr>
      <w:tr w:rsidRPr="00614894" w:rsidR="00F61B38" w:rsidTr="00E92AB7" w14:paraId="354634BD" w14:textId="77777777">
        <w:trPr>
          <w:trHeight w:val="285"/>
        </w:trPr>
        <w:tc>
          <w:tcPr>
            <w:tcW w:w="1603" w:type="dxa"/>
            <w:tcBorders>
              <w:top w:val="nil"/>
              <w:left w:val="single" w:color="auto" w:sz="4" w:space="0"/>
              <w:bottom w:val="nil"/>
              <w:right w:val="single" w:color="auto" w:sz="4" w:space="0"/>
            </w:tcBorders>
            <w:shd w:val="clear" w:color="auto" w:fill="auto"/>
            <w:noWrap/>
            <w:vAlign w:val="bottom"/>
            <w:hideMark/>
          </w:tcPr>
          <w:p w:rsidRPr="00CB6137" w:rsidR="00F61B38" w:rsidP="00A34C5E" w:rsidRDefault="00F61B38" w14:paraId="4348E564" w14:textId="77777777">
            <w:pPr>
              <w:spacing w:after="0" w:line="240" w:lineRule="auto"/>
              <w:rPr>
                <w:rFonts w:eastAsia="Times New Roman" w:cs="Arial"/>
                <w:color w:val="000000"/>
                <w:lang w:eastAsia="en-GB"/>
              </w:rPr>
            </w:pPr>
            <w:r w:rsidRPr="00CB6137">
              <w:rPr>
                <w:rFonts w:eastAsia="Times New Roman" w:cs="Arial"/>
                <w:color w:val="000000"/>
                <w:lang w:eastAsia="en-GB"/>
              </w:rPr>
              <w:t> </w:t>
            </w:r>
          </w:p>
        </w:tc>
        <w:tc>
          <w:tcPr>
            <w:tcW w:w="5812" w:type="dxa"/>
            <w:tcBorders>
              <w:top w:val="nil"/>
              <w:left w:val="nil"/>
              <w:bottom w:val="nil"/>
              <w:right w:val="single" w:color="auto" w:sz="4" w:space="0"/>
            </w:tcBorders>
            <w:shd w:val="clear" w:color="auto" w:fill="auto"/>
            <w:noWrap/>
            <w:vAlign w:val="bottom"/>
            <w:hideMark/>
          </w:tcPr>
          <w:p w:rsidRPr="00CB6137" w:rsidR="00F61B38" w:rsidP="00A34C5E" w:rsidRDefault="00F61B38" w14:paraId="5E9514CD" w14:textId="77777777">
            <w:pPr>
              <w:spacing w:after="0" w:line="240" w:lineRule="auto"/>
              <w:rPr>
                <w:rFonts w:eastAsia="Times New Roman" w:cs="Arial"/>
                <w:color w:val="000000"/>
                <w:lang w:eastAsia="en-GB"/>
              </w:rPr>
            </w:pPr>
          </w:p>
        </w:tc>
        <w:tc>
          <w:tcPr>
            <w:tcW w:w="1559" w:type="dxa"/>
            <w:tcBorders>
              <w:top w:val="nil"/>
              <w:left w:val="single" w:color="auto" w:sz="4" w:space="0"/>
              <w:bottom w:val="nil"/>
              <w:right w:val="single" w:color="auto" w:sz="4" w:space="0"/>
            </w:tcBorders>
            <w:shd w:val="clear" w:color="auto" w:fill="auto"/>
            <w:noWrap/>
            <w:vAlign w:val="bottom"/>
          </w:tcPr>
          <w:p w:rsidRPr="00CB6137" w:rsidR="00F61B38" w:rsidP="001C213E" w:rsidRDefault="00F61B38" w14:paraId="184BF6C2" w14:textId="77777777">
            <w:pPr>
              <w:spacing w:after="0" w:line="240" w:lineRule="auto"/>
              <w:jc w:val="right"/>
              <w:rPr>
                <w:rFonts w:eastAsia="Times New Roman" w:cs="Arial"/>
                <w:color w:val="000000"/>
                <w:lang w:eastAsia="en-GB"/>
              </w:rPr>
            </w:pPr>
          </w:p>
        </w:tc>
      </w:tr>
      <w:tr w:rsidRPr="00614894" w:rsidR="00F61B38" w:rsidTr="00E92AB7" w14:paraId="7C4B478D" w14:textId="77777777">
        <w:trPr>
          <w:trHeight w:val="285"/>
        </w:trPr>
        <w:tc>
          <w:tcPr>
            <w:tcW w:w="1603" w:type="dxa"/>
            <w:tcBorders>
              <w:top w:val="nil"/>
              <w:left w:val="single" w:color="auto" w:sz="4" w:space="0"/>
              <w:bottom w:val="nil"/>
              <w:right w:val="single" w:color="auto" w:sz="4" w:space="0"/>
            </w:tcBorders>
            <w:shd w:val="clear" w:color="auto" w:fill="auto"/>
            <w:noWrap/>
            <w:vAlign w:val="bottom"/>
            <w:hideMark/>
          </w:tcPr>
          <w:p w:rsidRPr="00CB6137" w:rsidR="00F61B38" w:rsidP="00A34C5E" w:rsidRDefault="00F61B38" w14:paraId="6161FC57" w14:textId="77777777">
            <w:pPr>
              <w:spacing w:after="0" w:line="240" w:lineRule="auto"/>
              <w:rPr>
                <w:rFonts w:eastAsia="Times New Roman" w:cs="Arial"/>
                <w:color w:val="000000"/>
                <w:lang w:eastAsia="en-GB"/>
              </w:rPr>
            </w:pPr>
            <w:r w:rsidRPr="00CB6137">
              <w:rPr>
                <w:rFonts w:eastAsia="Times New Roman" w:cs="Arial"/>
                <w:color w:val="000000"/>
                <w:lang w:eastAsia="en-GB"/>
              </w:rPr>
              <w:t> </w:t>
            </w:r>
          </w:p>
        </w:tc>
        <w:tc>
          <w:tcPr>
            <w:tcW w:w="5812" w:type="dxa"/>
            <w:tcBorders>
              <w:top w:val="nil"/>
              <w:left w:val="nil"/>
              <w:bottom w:val="nil"/>
              <w:right w:val="single" w:color="auto" w:sz="4" w:space="0"/>
            </w:tcBorders>
            <w:shd w:val="clear" w:color="auto" w:fill="auto"/>
            <w:noWrap/>
            <w:vAlign w:val="bottom"/>
            <w:hideMark/>
          </w:tcPr>
          <w:p w:rsidRPr="00CB6137" w:rsidR="00F61B38" w:rsidP="00A34C5E" w:rsidRDefault="00F61B38" w14:paraId="071A92F7" w14:textId="77777777">
            <w:pPr>
              <w:spacing w:after="0" w:line="240" w:lineRule="auto"/>
              <w:rPr>
                <w:rFonts w:eastAsia="Times New Roman" w:cs="Arial"/>
                <w:color w:val="000000"/>
                <w:lang w:eastAsia="en-GB"/>
              </w:rPr>
            </w:pPr>
            <w:r w:rsidRPr="00CB6137">
              <w:rPr>
                <w:rFonts w:eastAsia="Times New Roman" w:cs="Arial"/>
                <w:color w:val="000000"/>
                <w:lang w:eastAsia="en-GB"/>
              </w:rPr>
              <w:t>Cash and cash equivalents at the beginning of the</w:t>
            </w:r>
          </w:p>
        </w:tc>
        <w:tc>
          <w:tcPr>
            <w:tcW w:w="1559" w:type="dxa"/>
            <w:tcBorders>
              <w:top w:val="nil"/>
              <w:left w:val="single" w:color="auto" w:sz="4" w:space="0"/>
              <w:bottom w:val="nil"/>
              <w:right w:val="single" w:color="auto" w:sz="4" w:space="0"/>
            </w:tcBorders>
            <w:shd w:val="clear" w:color="auto" w:fill="auto"/>
            <w:noWrap/>
            <w:vAlign w:val="bottom"/>
          </w:tcPr>
          <w:p w:rsidRPr="00CB6137" w:rsidR="00F61B38" w:rsidP="00260A29" w:rsidRDefault="00F61B38" w14:paraId="2184BCCA" w14:textId="6B861069">
            <w:pPr>
              <w:spacing w:after="0" w:line="240" w:lineRule="auto"/>
              <w:jc w:val="center"/>
              <w:rPr>
                <w:rFonts w:eastAsia="Times New Roman" w:cs="Arial"/>
                <w:color w:val="000000"/>
                <w:lang w:eastAsia="en-GB"/>
              </w:rPr>
            </w:pPr>
          </w:p>
        </w:tc>
      </w:tr>
      <w:tr w:rsidRPr="00614894" w:rsidR="00F61B38" w:rsidTr="00E92AB7" w14:paraId="572A073E" w14:textId="77777777">
        <w:trPr>
          <w:trHeight w:val="285"/>
        </w:trPr>
        <w:tc>
          <w:tcPr>
            <w:tcW w:w="1603" w:type="dxa"/>
            <w:tcBorders>
              <w:top w:val="nil"/>
              <w:left w:val="single" w:color="auto" w:sz="4" w:space="0"/>
              <w:bottom w:val="nil"/>
              <w:right w:val="single" w:color="auto" w:sz="4" w:space="0"/>
            </w:tcBorders>
            <w:shd w:val="clear" w:color="auto" w:fill="auto"/>
            <w:noWrap/>
            <w:vAlign w:val="bottom"/>
            <w:hideMark/>
          </w:tcPr>
          <w:p w:rsidRPr="00CB6137" w:rsidR="00F61B38" w:rsidP="00A34C5E" w:rsidRDefault="006109A0" w14:paraId="6F04F8EF" w14:textId="255E99F5">
            <w:pPr>
              <w:spacing w:after="0" w:line="240" w:lineRule="auto"/>
              <w:jc w:val="right"/>
              <w:rPr>
                <w:rFonts w:eastAsia="Times New Roman" w:cs="Arial"/>
                <w:color w:val="000000"/>
                <w:lang w:eastAsia="en-GB"/>
              </w:rPr>
            </w:pPr>
            <w:r w:rsidRPr="00CB6137">
              <w:rPr>
                <w:rFonts w:eastAsia="Times New Roman" w:cs="Arial"/>
                <w:color w:val="000000"/>
                <w:lang w:eastAsia="en-GB"/>
              </w:rPr>
              <w:t>(264)</w:t>
            </w:r>
          </w:p>
        </w:tc>
        <w:tc>
          <w:tcPr>
            <w:tcW w:w="5812" w:type="dxa"/>
            <w:tcBorders>
              <w:top w:val="nil"/>
              <w:left w:val="nil"/>
              <w:bottom w:val="nil"/>
              <w:right w:val="single" w:color="auto" w:sz="4" w:space="0"/>
            </w:tcBorders>
            <w:shd w:val="clear" w:color="auto" w:fill="auto"/>
            <w:noWrap/>
            <w:vAlign w:val="bottom"/>
            <w:hideMark/>
          </w:tcPr>
          <w:p w:rsidRPr="00CB6137" w:rsidR="00F61B38" w:rsidP="00A34C5E" w:rsidRDefault="00F61B38" w14:paraId="2CCEEDD3" w14:textId="77777777">
            <w:pPr>
              <w:spacing w:after="0" w:line="240" w:lineRule="auto"/>
              <w:rPr>
                <w:rFonts w:eastAsia="Times New Roman" w:cs="Arial"/>
                <w:color w:val="000000"/>
                <w:lang w:eastAsia="en-GB"/>
              </w:rPr>
            </w:pPr>
            <w:r w:rsidRPr="00CB6137">
              <w:rPr>
                <w:rFonts w:eastAsia="Times New Roman" w:cs="Arial"/>
                <w:color w:val="000000"/>
                <w:lang w:eastAsia="en-GB"/>
              </w:rPr>
              <w:t>reporting period</w:t>
            </w:r>
          </w:p>
        </w:tc>
        <w:tc>
          <w:tcPr>
            <w:tcW w:w="1559" w:type="dxa"/>
            <w:tcBorders>
              <w:top w:val="nil"/>
              <w:left w:val="single" w:color="auto" w:sz="4" w:space="0"/>
              <w:bottom w:val="nil"/>
              <w:right w:val="single" w:color="auto" w:sz="4" w:space="0"/>
            </w:tcBorders>
            <w:shd w:val="clear" w:color="auto" w:fill="auto"/>
            <w:noWrap/>
            <w:vAlign w:val="bottom"/>
          </w:tcPr>
          <w:p w:rsidRPr="00CB6137" w:rsidR="00F61B38" w:rsidP="00260A29" w:rsidRDefault="005736F9" w14:paraId="19867B04" w14:textId="0DC60BA0">
            <w:pPr>
              <w:spacing w:after="0" w:line="240" w:lineRule="auto"/>
              <w:jc w:val="right"/>
              <w:rPr>
                <w:rFonts w:eastAsia="Times New Roman" w:cs="Arial"/>
                <w:color w:val="000000"/>
                <w:lang w:eastAsia="en-GB"/>
              </w:rPr>
            </w:pPr>
            <w:r w:rsidRPr="00CB6137">
              <w:rPr>
                <w:rFonts w:eastAsia="Times New Roman" w:cs="Arial"/>
                <w:color w:val="000000"/>
                <w:lang w:eastAsia="en-GB"/>
              </w:rPr>
              <w:t xml:space="preserve">      </w:t>
            </w:r>
            <w:r w:rsidRPr="00CB6137" w:rsidR="00260A29">
              <w:rPr>
                <w:rFonts w:eastAsia="Times New Roman" w:cs="Arial"/>
                <w:color w:val="000000"/>
                <w:lang w:eastAsia="en-GB"/>
              </w:rPr>
              <w:t>(334)</w:t>
            </w:r>
            <w:r w:rsidRPr="00CB6137">
              <w:rPr>
                <w:rFonts w:eastAsia="Times New Roman" w:cs="Arial"/>
                <w:color w:val="000000"/>
                <w:lang w:eastAsia="en-GB"/>
              </w:rPr>
              <w:t xml:space="preserve">       </w:t>
            </w:r>
          </w:p>
        </w:tc>
      </w:tr>
      <w:tr w:rsidRPr="00614894" w:rsidR="00F61B38" w:rsidTr="00E92AB7" w14:paraId="5B96DDB9" w14:textId="77777777">
        <w:trPr>
          <w:trHeight w:val="285"/>
        </w:trPr>
        <w:tc>
          <w:tcPr>
            <w:tcW w:w="1603" w:type="dxa"/>
            <w:tcBorders>
              <w:top w:val="nil"/>
              <w:left w:val="single" w:color="auto" w:sz="4" w:space="0"/>
              <w:bottom w:val="nil"/>
              <w:right w:val="single" w:color="auto" w:sz="4" w:space="0"/>
            </w:tcBorders>
            <w:shd w:val="clear" w:color="auto" w:fill="auto"/>
            <w:noWrap/>
            <w:vAlign w:val="bottom"/>
            <w:hideMark/>
          </w:tcPr>
          <w:p w:rsidRPr="00CB6137" w:rsidR="00F61B38" w:rsidP="00A34C5E" w:rsidRDefault="00F61B38" w14:paraId="0264B79C" w14:textId="77777777">
            <w:pPr>
              <w:spacing w:after="0" w:line="240" w:lineRule="auto"/>
              <w:rPr>
                <w:rFonts w:eastAsia="Times New Roman" w:cs="Arial"/>
                <w:color w:val="000000"/>
                <w:lang w:eastAsia="en-GB"/>
              </w:rPr>
            </w:pPr>
            <w:r w:rsidRPr="00CB6137">
              <w:rPr>
                <w:rFonts w:eastAsia="Times New Roman" w:cs="Arial"/>
                <w:color w:val="000000"/>
                <w:lang w:eastAsia="en-GB"/>
              </w:rPr>
              <w:t> </w:t>
            </w:r>
          </w:p>
        </w:tc>
        <w:tc>
          <w:tcPr>
            <w:tcW w:w="5812" w:type="dxa"/>
            <w:tcBorders>
              <w:top w:val="nil"/>
              <w:left w:val="nil"/>
              <w:bottom w:val="nil"/>
              <w:right w:val="single" w:color="auto" w:sz="4" w:space="0"/>
            </w:tcBorders>
            <w:shd w:val="clear" w:color="auto" w:fill="auto"/>
            <w:noWrap/>
            <w:vAlign w:val="bottom"/>
            <w:hideMark/>
          </w:tcPr>
          <w:p w:rsidRPr="00CB6137" w:rsidR="00F61B38" w:rsidP="00A34C5E" w:rsidRDefault="00F61B38" w14:paraId="6CE4863B" w14:textId="77777777">
            <w:pPr>
              <w:spacing w:after="0" w:line="240" w:lineRule="auto"/>
              <w:rPr>
                <w:rFonts w:eastAsia="Times New Roman" w:cs="Arial"/>
                <w:color w:val="000000"/>
                <w:lang w:eastAsia="en-GB"/>
              </w:rPr>
            </w:pPr>
          </w:p>
        </w:tc>
        <w:tc>
          <w:tcPr>
            <w:tcW w:w="1559" w:type="dxa"/>
            <w:tcBorders>
              <w:top w:val="nil"/>
              <w:left w:val="single" w:color="auto" w:sz="4" w:space="0"/>
              <w:bottom w:val="nil"/>
              <w:right w:val="single" w:color="auto" w:sz="4" w:space="0"/>
            </w:tcBorders>
            <w:shd w:val="clear" w:color="auto" w:fill="auto"/>
            <w:noWrap/>
            <w:vAlign w:val="bottom"/>
          </w:tcPr>
          <w:p w:rsidRPr="00CB6137" w:rsidR="00F61B38" w:rsidP="001C213E" w:rsidRDefault="00F61B38" w14:paraId="15FE65DF" w14:textId="77777777">
            <w:pPr>
              <w:spacing w:after="0" w:line="240" w:lineRule="auto"/>
              <w:jc w:val="right"/>
              <w:rPr>
                <w:rFonts w:eastAsia="Times New Roman" w:cs="Arial"/>
                <w:color w:val="000000"/>
                <w:lang w:eastAsia="en-GB"/>
              </w:rPr>
            </w:pPr>
          </w:p>
        </w:tc>
      </w:tr>
      <w:tr w:rsidRPr="00614894" w:rsidR="00F61B38" w:rsidTr="00E92AB7" w14:paraId="656ED6DB" w14:textId="77777777">
        <w:trPr>
          <w:trHeight w:val="300"/>
        </w:trPr>
        <w:tc>
          <w:tcPr>
            <w:tcW w:w="1603"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CB6137" w:rsidR="00F61B38" w:rsidP="00A34C5E" w:rsidRDefault="00F61B38" w14:paraId="45C4E783" w14:textId="77777777">
            <w:pPr>
              <w:spacing w:after="0" w:line="240" w:lineRule="auto"/>
              <w:rPr>
                <w:rFonts w:eastAsia="Times New Roman" w:cs="Arial"/>
                <w:b/>
                <w:bCs/>
                <w:color w:val="000000"/>
                <w:lang w:eastAsia="en-GB"/>
              </w:rPr>
            </w:pPr>
            <w:r w:rsidRPr="00CB6137">
              <w:rPr>
                <w:rFonts w:eastAsia="Times New Roman" w:cs="Arial"/>
                <w:b/>
                <w:bCs/>
                <w:color w:val="000000"/>
                <w:lang w:eastAsia="en-GB"/>
              </w:rPr>
              <w:t> </w:t>
            </w:r>
          </w:p>
        </w:tc>
        <w:tc>
          <w:tcPr>
            <w:tcW w:w="5812" w:type="dxa"/>
            <w:tcBorders>
              <w:top w:val="single" w:color="auto" w:sz="4" w:space="0"/>
              <w:left w:val="nil"/>
              <w:bottom w:val="nil"/>
              <w:right w:val="single" w:color="auto" w:sz="4" w:space="0"/>
            </w:tcBorders>
            <w:shd w:val="clear" w:color="auto" w:fill="DBE5F1" w:themeFill="accent1" w:themeFillTint="33"/>
            <w:noWrap/>
            <w:vAlign w:val="bottom"/>
            <w:hideMark/>
          </w:tcPr>
          <w:p w:rsidRPr="00CB6137" w:rsidR="00F61B38" w:rsidP="00A34C5E" w:rsidRDefault="00F61B38" w14:paraId="2DF2563F" w14:textId="77777777">
            <w:pPr>
              <w:spacing w:after="0" w:line="240" w:lineRule="auto"/>
              <w:rPr>
                <w:rFonts w:eastAsia="Times New Roman" w:cs="Arial"/>
                <w:b/>
                <w:bCs/>
                <w:color w:val="000000"/>
                <w:lang w:eastAsia="en-GB"/>
              </w:rPr>
            </w:pPr>
            <w:r w:rsidRPr="00CB6137">
              <w:rPr>
                <w:rFonts w:eastAsia="Times New Roman" w:cs="Arial"/>
                <w:b/>
                <w:bCs/>
                <w:color w:val="000000"/>
                <w:lang w:eastAsia="en-GB"/>
              </w:rPr>
              <w:t xml:space="preserve">Cash owed </w:t>
            </w:r>
            <w:proofErr w:type="gramStart"/>
            <w:r w:rsidRPr="00CB6137">
              <w:rPr>
                <w:rFonts w:eastAsia="Times New Roman" w:cs="Arial"/>
                <w:b/>
                <w:bCs/>
                <w:color w:val="000000"/>
                <w:lang w:eastAsia="en-GB"/>
              </w:rPr>
              <w:t>To</w:t>
            </w:r>
            <w:proofErr w:type="gramEnd"/>
            <w:r w:rsidRPr="00CB6137">
              <w:rPr>
                <w:rFonts w:eastAsia="Times New Roman" w:cs="Arial"/>
                <w:b/>
                <w:bCs/>
                <w:color w:val="000000"/>
                <w:lang w:eastAsia="en-GB"/>
              </w:rPr>
              <w:t>/(From) Host Authority as at</w:t>
            </w:r>
          </w:p>
        </w:tc>
        <w:tc>
          <w:tcPr>
            <w:tcW w:w="1559" w:type="dxa"/>
            <w:tcBorders>
              <w:top w:val="single" w:color="auto" w:sz="4" w:space="0"/>
              <w:left w:val="single" w:color="auto" w:sz="4" w:space="0"/>
              <w:bottom w:val="nil"/>
              <w:right w:val="single" w:color="auto" w:sz="4" w:space="0"/>
            </w:tcBorders>
            <w:shd w:val="clear" w:color="auto" w:fill="DBE5F1" w:themeFill="accent1" w:themeFillTint="33"/>
            <w:noWrap/>
            <w:vAlign w:val="bottom"/>
          </w:tcPr>
          <w:p w:rsidRPr="00CB6137" w:rsidR="00F61B38" w:rsidP="001C213E" w:rsidRDefault="00F61B38" w14:paraId="44E37791" w14:textId="77777777">
            <w:pPr>
              <w:spacing w:after="0" w:line="240" w:lineRule="auto"/>
              <w:jc w:val="right"/>
              <w:rPr>
                <w:rFonts w:eastAsia="Times New Roman" w:cs="Arial"/>
                <w:b/>
                <w:bCs/>
                <w:color w:val="000000"/>
                <w:lang w:eastAsia="en-GB"/>
              </w:rPr>
            </w:pPr>
          </w:p>
        </w:tc>
      </w:tr>
      <w:tr w:rsidRPr="00614894" w:rsidR="00F61B38" w:rsidTr="00E92AB7" w14:paraId="215C47A1" w14:textId="77777777">
        <w:trPr>
          <w:trHeight w:val="300"/>
        </w:trPr>
        <w:tc>
          <w:tcPr>
            <w:tcW w:w="1603"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CB6137" w:rsidR="00F61B38" w:rsidP="00A34C5E" w:rsidRDefault="006109A0" w14:paraId="68357FF3" w14:textId="352651D8">
            <w:pPr>
              <w:spacing w:after="0" w:line="240" w:lineRule="auto"/>
              <w:jc w:val="right"/>
              <w:rPr>
                <w:rFonts w:eastAsia="Times New Roman" w:cs="Arial"/>
                <w:b/>
                <w:bCs/>
                <w:color w:val="000000"/>
                <w:lang w:eastAsia="en-GB"/>
              </w:rPr>
            </w:pPr>
            <w:r w:rsidRPr="00CB6137">
              <w:rPr>
                <w:rFonts w:eastAsia="Times New Roman" w:cs="Arial"/>
                <w:b/>
                <w:bCs/>
                <w:color w:val="000000"/>
                <w:lang w:eastAsia="en-GB"/>
              </w:rPr>
              <w:t>(26</w:t>
            </w:r>
            <w:r w:rsidR="00D764FE">
              <w:rPr>
                <w:rFonts w:eastAsia="Times New Roman" w:cs="Arial"/>
                <w:b/>
                <w:bCs/>
                <w:color w:val="000000"/>
                <w:lang w:eastAsia="en-GB"/>
              </w:rPr>
              <w:t>6</w:t>
            </w:r>
            <w:r w:rsidRPr="00CB6137">
              <w:rPr>
                <w:rFonts w:eastAsia="Times New Roman" w:cs="Arial"/>
                <w:b/>
                <w:bCs/>
                <w:color w:val="000000"/>
                <w:lang w:eastAsia="en-GB"/>
              </w:rPr>
              <w:t>)</w:t>
            </w:r>
          </w:p>
        </w:tc>
        <w:tc>
          <w:tcPr>
            <w:tcW w:w="5812" w:type="dxa"/>
            <w:tcBorders>
              <w:top w:val="nil"/>
              <w:left w:val="nil"/>
              <w:bottom w:val="single" w:color="auto" w:sz="4" w:space="0"/>
              <w:right w:val="single" w:color="auto" w:sz="4" w:space="0"/>
            </w:tcBorders>
            <w:shd w:val="clear" w:color="auto" w:fill="DBE5F1" w:themeFill="accent1" w:themeFillTint="33"/>
            <w:noWrap/>
            <w:vAlign w:val="bottom"/>
            <w:hideMark/>
          </w:tcPr>
          <w:p w:rsidRPr="00CB6137" w:rsidR="00F61B38" w:rsidP="00A34C5E" w:rsidRDefault="00F61B38" w14:paraId="677A78CC" w14:textId="77777777">
            <w:pPr>
              <w:spacing w:after="0" w:line="240" w:lineRule="auto"/>
              <w:rPr>
                <w:rFonts w:eastAsia="Times New Roman" w:cs="Arial"/>
                <w:b/>
                <w:bCs/>
                <w:color w:val="000000"/>
                <w:lang w:eastAsia="en-GB"/>
              </w:rPr>
            </w:pPr>
            <w:r w:rsidRPr="00CB6137">
              <w:rPr>
                <w:rFonts w:eastAsia="Times New Roman" w:cs="Arial"/>
                <w:b/>
                <w:bCs/>
                <w:color w:val="000000"/>
                <w:lang w:eastAsia="en-GB"/>
              </w:rPr>
              <w:t>31st March</w:t>
            </w:r>
          </w:p>
        </w:tc>
        <w:tc>
          <w:tcPr>
            <w:tcW w:w="1559" w:type="dxa"/>
            <w:tcBorders>
              <w:top w:val="nil"/>
              <w:left w:val="single" w:color="auto" w:sz="4" w:space="0"/>
              <w:bottom w:val="single" w:color="auto" w:sz="4" w:space="0"/>
              <w:right w:val="single" w:color="auto" w:sz="4" w:space="0"/>
            </w:tcBorders>
            <w:shd w:val="clear" w:color="auto" w:fill="DBE5F1" w:themeFill="accent1" w:themeFillTint="33"/>
            <w:noWrap/>
            <w:vAlign w:val="bottom"/>
          </w:tcPr>
          <w:p w:rsidRPr="00CB6137" w:rsidR="00F61B38" w:rsidP="001C213E" w:rsidRDefault="00F61B38" w14:paraId="60791D0C" w14:textId="21339737">
            <w:pPr>
              <w:spacing w:after="0" w:line="240" w:lineRule="auto"/>
              <w:jc w:val="right"/>
              <w:rPr>
                <w:rFonts w:eastAsia="Times New Roman" w:cs="Arial"/>
                <w:b/>
                <w:bCs/>
                <w:color w:val="000000"/>
                <w:lang w:eastAsia="en-GB"/>
              </w:rPr>
            </w:pPr>
            <w:r w:rsidRPr="00CB6137">
              <w:rPr>
                <w:rFonts w:eastAsia="Times New Roman" w:cs="Arial"/>
                <w:b/>
                <w:bCs/>
                <w:color w:val="000000"/>
                <w:lang w:eastAsia="en-GB"/>
              </w:rPr>
              <w:t xml:space="preserve">               </w:t>
            </w:r>
            <w:r w:rsidRPr="00CB6137" w:rsidR="00CB6137">
              <w:rPr>
                <w:rFonts w:eastAsia="Times New Roman" w:cs="Arial"/>
                <w:b/>
                <w:bCs/>
                <w:color w:val="000000"/>
                <w:lang w:eastAsia="en-GB"/>
              </w:rPr>
              <w:t>(264)</w:t>
            </w:r>
          </w:p>
        </w:tc>
      </w:tr>
    </w:tbl>
    <w:p w:rsidRPr="00614894" w:rsidR="001E07F2" w:rsidP="00177807" w:rsidRDefault="004C7613" w14:paraId="1843F2EA" w14:textId="77777777">
      <w:pPr>
        <w:pStyle w:val="Heading1"/>
        <w:rPr>
          <w:highlight w:val="yellow"/>
        </w:rPr>
      </w:pPr>
      <w:r w:rsidRPr="00614894">
        <w:rPr>
          <w:highlight w:val="yellow"/>
        </w:rPr>
        <w:br w:type="page"/>
      </w:r>
    </w:p>
    <w:p w:rsidRPr="00660FB3" w:rsidR="001E07F2" w:rsidP="001E07F2" w:rsidRDefault="001E07F2" w14:paraId="08D8538B" w14:textId="77777777">
      <w:pPr>
        <w:pStyle w:val="Heading1"/>
        <w:jc w:val="both"/>
      </w:pPr>
      <w:bookmarkStart w:name="_Toc485903678" w:id="25"/>
      <w:bookmarkStart w:name="_Toc158193769" w:id="26"/>
      <w:r w:rsidRPr="00660FB3">
        <w:lastRenderedPageBreak/>
        <w:t>Introduction to the Financial Statements</w:t>
      </w:r>
      <w:bookmarkEnd w:id="25"/>
      <w:bookmarkEnd w:id="26"/>
    </w:p>
    <w:p w:rsidRPr="00660FB3" w:rsidR="001E07F2" w:rsidP="001E07F2" w:rsidRDefault="001E07F2" w14:paraId="6E09BC02" w14:textId="77777777">
      <w:pPr>
        <w:pStyle w:val="Heading3"/>
      </w:pPr>
      <w:r w:rsidRPr="00660FB3">
        <w:t>Statement of Accounting Policies</w:t>
      </w:r>
    </w:p>
    <w:p w:rsidRPr="00660FB3" w:rsidR="001E07F2" w:rsidP="001E07F2" w:rsidRDefault="001E07F2" w14:paraId="067E81A1" w14:textId="77777777">
      <w:pPr>
        <w:jc w:val="both"/>
        <w:rPr>
          <w:rFonts w:cs="Arial"/>
        </w:rPr>
      </w:pPr>
      <w:r w:rsidRPr="00660FB3">
        <w:rPr>
          <w:rFonts w:cs="Arial"/>
        </w:rPr>
        <w:t>The purpose of this statement is to explain the basis of the figures in the accounts. It outlines the accounting policies adopted.</w:t>
      </w:r>
    </w:p>
    <w:p w:rsidRPr="00660FB3" w:rsidR="001E07F2" w:rsidP="001E07F2" w:rsidRDefault="001E07F2" w14:paraId="3E3FBC5B" w14:textId="77777777">
      <w:pPr>
        <w:pStyle w:val="Heading3"/>
      </w:pPr>
      <w:r w:rsidRPr="00660FB3">
        <w:t>Statement of Responsibilities for the Statement of Accounts</w:t>
      </w:r>
    </w:p>
    <w:p w:rsidRPr="00614894" w:rsidR="001E07F2" w:rsidP="001E07F2" w:rsidRDefault="001E07F2" w14:paraId="2E29B1BF" w14:textId="0B56C478">
      <w:pPr>
        <w:jc w:val="both"/>
        <w:rPr>
          <w:rFonts w:cs="Arial"/>
          <w:highlight w:val="yellow"/>
        </w:rPr>
      </w:pPr>
      <w:r w:rsidRPr="00660FB3">
        <w:rPr>
          <w:rFonts w:cs="Arial"/>
        </w:rPr>
        <w:t xml:space="preserve">This statement sets out the responsibilities of the Council as the administering Authority and the Head of Finance (Section 151 Officer) for the preparation of the Statement of Accounts.  </w:t>
      </w:r>
      <w:r w:rsidRPr="00E43C63">
        <w:rPr>
          <w:rFonts w:cs="Arial"/>
        </w:rPr>
        <w:t xml:space="preserve">The Statement has to be signed and dated by the presiding member </w:t>
      </w:r>
      <w:r w:rsidRPr="00E43C63" w:rsidR="00E43C63">
        <w:rPr>
          <w:rFonts w:cs="Arial"/>
        </w:rPr>
        <w:t>of</w:t>
      </w:r>
      <w:r w:rsidRPr="00E43C63">
        <w:rPr>
          <w:rFonts w:cs="Arial"/>
        </w:rPr>
        <w:t xml:space="preserve"> the Joint Committee.</w:t>
      </w:r>
    </w:p>
    <w:p w:rsidRPr="00660FB3" w:rsidR="001E07F2" w:rsidP="001E07F2" w:rsidRDefault="001E07F2" w14:paraId="1094B931" w14:textId="77777777">
      <w:pPr>
        <w:pStyle w:val="Heading3"/>
      </w:pPr>
      <w:r w:rsidRPr="00660FB3">
        <w:t>Expenditure and Funding Analysis</w:t>
      </w:r>
    </w:p>
    <w:p w:rsidRPr="00660FB3" w:rsidR="001E07F2" w:rsidP="001E07F2" w:rsidRDefault="001E07F2" w14:paraId="3491473F" w14:textId="18658D91">
      <w:pPr>
        <w:jc w:val="both"/>
        <w:rPr>
          <w:rFonts w:cs="Arial"/>
        </w:rPr>
      </w:pPr>
      <w:r w:rsidRPr="00660FB3">
        <w:rPr>
          <w:rFonts w:cs="Arial"/>
        </w:rPr>
        <w:t>The objective of the Expenditure and Funding Analysis is to demonstrate to the funding partners (</w:t>
      </w:r>
      <w:r w:rsidRPr="00660FB3" w:rsidR="00660FB3">
        <w:rPr>
          <w:rFonts w:cs="Arial"/>
        </w:rPr>
        <w:t xml:space="preserve">Merthyr Tydfil </w:t>
      </w:r>
      <w:r w:rsidRPr="00660FB3">
        <w:rPr>
          <w:rFonts w:cs="Arial"/>
        </w:rPr>
        <w:t>County Borough Council, The City of Cardiff Council</w:t>
      </w:r>
      <w:r w:rsidRPr="00660FB3" w:rsidR="00660FB3">
        <w:rPr>
          <w:rFonts w:cs="Arial"/>
        </w:rPr>
        <w:t>,</w:t>
      </w:r>
      <w:r w:rsidRPr="00660FB3">
        <w:rPr>
          <w:rFonts w:cs="Arial"/>
        </w:rPr>
        <w:t xml:space="preserve"> the Vale of Glamorgan Council</w:t>
      </w:r>
      <w:r w:rsidRPr="00660FB3" w:rsidR="00660FB3">
        <w:rPr>
          <w:rFonts w:cs="Arial"/>
        </w:rPr>
        <w:t xml:space="preserve"> and Rhondda Cynon Taff County Borough Council</w:t>
      </w:r>
      <w:r w:rsidRPr="00660FB3">
        <w:rPr>
          <w:rFonts w:cs="Arial"/>
        </w:rPr>
        <w:t xml:space="preserve">) how the available funding has been used in providing services in comparison with those resources consumed or earned by the authorities in accordance with generally accepted accounting practices.  The Expenditure and Funding Analysis also shows how this expenditure is allocated for decision making purposes between the different elements of </w:t>
      </w:r>
      <w:r w:rsidRPr="00386566" w:rsidR="006A70E1">
        <w:rPr>
          <w:bCs/>
        </w:rPr>
        <w:t>VVC</w:t>
      </w:r>
      <w:r w:rsidR="001E2079">
        <w:rPr>
          <w:bCs/>
        </w:rPr>
        <w:t xml:space="preserve"> </w:t>
      </w:r>
      <w:r w:rsidRPr="00660FB3">
        <w:rPr>
          <w:rFonts w:cs="Arial"/>
        </w:rPr>
        <w:t>structure.  Income and expenditure accounted for under generally accepted accounting practices is presented more fully in the Comprehensive Income and Expenditure Statement.</w:t>
      </w:r>
    </w:p>
    <w:p w:rsidRPr="00660FB3" w:rsidR="001E07F2" w:rsidP="001E07F2" w:rsidRDefault="001E07F2" w14:paraId="44670970" w14:textId="77777777">
      <w:pPr>
        <w:pStyle w:val="Heading3"/>
      </w:pPr>
      <w:r w:rsidRPr="00660FB3">
        <w:t>Movement in Reserves Statement</w:t>
      </w:r>
    </w:p>
    <w:p w:rsidRPr="00614894" w:rsidR="001E07F2" w:rsidP="001E07F2" w:rsidRDefault="001E07F2" w14:paraId="3FE1E774" w14:textId="413EA6B3">
      <w:pPr>
        <w:jc w:val="both"/>
        <w:rPr>
          <w:rFonts w:cs="Arial"/>
          <w:highlight w:val="yellow"/>
        </w:rPr>
      </w:pPr>
      <w:r w:rsidRPr="00A81985">
        <w:rPr>
          <w:rFonts w:cs="Arial"/>
        </w:rPr>
        <w:t xml:space="preserve">This statement shows the movement in the year on the different reserves held by the </w:t>
      </w:r>
      <w:r w:rsidR="006A70E1">
        <w:rPr>
          <w:rFonts w:cs="Arial"/>
        </w:rPr>
        <w:t xml:space="preserve">Collaborative </w:t>
      </w:r>
      <w:r w:rsidRPr="00A81985">
        <w:rPr>
          <w:rFonts w:cs="Arial"/>
        </w:rPr>
        <w:t xml:space="preserve">and analysed into ‘Usable Reserves’ (i.e. those that the </w:t>
      </w:r>
      <w:r w:rsidR="006A70E1">
        <w:rPr>
          <w:rFonts w:cs="Arial"/>
        </w:rPr>
        <w:t xml:space="preserve">Collaborative </w:t>
      </w:r>
      <w:r w:rsidRPr="00A81985">
        <w:rPr>
          <w:rFonts w:cs="Arial"/>
        </w:rPr>
        <w:t xml:space="preserve">may use </w:t>
      </w:r>
      <w:r w:rsidRPr="00E43C63">
        <w:rPr>
          <w:rFonts w:cs="Arial"/>
        </w:rPr>
        <w:t xml:space="preserve">to provide services subject to the need to maintain a prudent level of reserves, and the statutory limitations on their use) and ‘Unusable Reserves’.  The Surplus or Deficit on the Provision of Services line shows the true economic cost of providing the </w:t>
      </w:r>
      <w:r w:rsidR="006A70E1">
        <w:rPr>
          <w:rFonts w:cs="Arial"/>
        </w:rPr>
        <w:t>Collaborative’s</w:t>
      </w:r>
      <w:r w:rsidRPr="00E43C63">
        <w:rPr>
          <w:rFonts w:cs="Arial"/>
        </w:rPr>
        <w:t xml:space="preserve"> Services, more details of which are shown in the Comprehensive Income and Expenditure Statement.</w:t>
      </w:r>
    </w:p>
    <w:p w:rsidRPr="00A81985" w:rsidR="001E07F2" w:rsidP="001E07F2" w:rsidRDefault="001E07F2" w14:paraId="587917D8" w14:textId="77777777">
      <w:pPr>
        <w:pStyle w:val="Heading3"/>
      </w:pPr>
      <w:r w:rsidRPr="00A81985">
        <w:t>Comprehensive Income and Expenditure Statement</w:t>
      </w:r>
    </w:p>
    <w:p w:rsidRPr="00A81985" w:rsidR="001E07F2" w:rsidP="001E07F2" w:rsidRDefault="001E07F2" w14:paraId="389496FB" w14:textId="77777777">
      <w:pPr>
        <w:jc w:val="both"/>
        <w:rPr>
          <w:rFonts w:cs="Arial"/>
        </w:rPr>
      </w:pPr>
      <w:r w:rsidRPr="00A81985">
        <w:rPr>
          <w:rFonts w:cs="Arial"/>
        </w:rPr>
        <w:t>This statement shows the accounting cost in the year of providing services in accordance with generally accepted accounting practices rather than the amount funded by budgeted contributions.  The budgeted funding contributions are shown in both the Expenditure and Funding Analysis and on the Movement in Reserves Statement.</w:t>
      </w:r>
    </w:p>
    <w:p w:rsidRPr="00A81985" w:rsidR="001E07F2" w:rsidP="001E07F2" w:rsidRDefault="001E07F2" w14:paraId="3770E909" w14:textId="77777777">
      <w:pPr>
        <w:pStyle w:val="Heading3"/>
      </w:pPr>
      <w:r w:rsidRPr="00A81985">
        <w:t>Balance Sheet</w:t>
      </w:r>
    </w:p>
    <w:p w:rsidRPr="00614894" w:rsidR="001E07F2" w:rsidP="001E07F2" w:rsidRDefault="001E07F2" w14:paraId="01A8CD8C" w14:textId="4ACA772A">
      <w:pPr>
        <w:jc w:val="both"/>
        <w:rPr>
          <w:rFonts w:cs="Arial"/>
          <w:highlight w:val="yellow"/>
        </w:rPr>
      </w:pPr>
      <w:r w:rsidRPr="00A81985">
        <w:rPr>
          <w:rFonts w:cs="Arial"/>
        </w:rPr>
        <w:t xml:space="preserve">The Balance Sheet shows the assets and liabilities recognised by the </w:t>
      </w:r>
      <w:r w:rsidR="006A70E1">
        <w:rPr>
          <w:rFonts w:cs="Arial"/>
        </w:rPr>
        <w:t>Collaborative</w:t>
      </w:r>
      <w:r w:rsidRPr="00A81985">
        <w:rPr>
          <w:rFonts w:cs="Arial"/>
        </w:rPr>
        <w:t xml:space="preserve"> at the Balance Sheet date.  The net assets of the </w:t>
      </w:r>
      <w:r w:rsidR="006A70E1">
        <w:rPr>
          <w:rFonts w:cs="Arial"/>
        </w:rPr>
        <w:t>Collaborative</w:t>
      </w:r>
      <w:r w:rsidRPr="00A81985">
        <w:rPr>
          <w:rFonts w:cs="Arial"/>
        </w:rPr>
        <w:t xml:space="preserve"> (Assets less Liabilities) are matched by the reserves held by the </w:t>
      </w:r>
      <w:r w:rsidR="006A70E1">
        <w:rPr>
          <w:rFonts w:cs="Arial"/>
        </w:rPr>
        <w:t>Collab</w:t>
      </w:r>
      <w:r w:rsidR="00A2163C">
        <w:rPr>
          <w:rFonts w:cs="Arial"/>
        </w:rPr>
        <w:t>or</w:t>
      </w:r>
      <w:r w:rsidR="006A70E1">
        <w:rPr>
          <w:rFonts w:cs="Arial"/>
        </w:rPr>
        <w:t>ative</w:t>
      </w:r>
      <w:r w:rsidRPr="00A81985">
        <w:rPr>
          <w:rFonts w:cs="Arial"/>
        </w:rPr>
        <w:t xml:space="preserve">.  Reserves are reported in two categories.  The first category of reserves </w:t>
      </w:r>
      <w:proofErr w:type="gramStart"/>
      <w:r w:rsidRPr="00A81985">
        <w:rPr>
          <w:rFonts w:cs="Arial"/>
        </w:rPr>
        <w:t>are</w:t>
      </w:r>
      <w:proofErr w:type="gramEnd"/>
      <w:r w:rsidRPr="00A81985">
        <w:rPr>
          <w:rFonts w:cs="Arial"/>
        </w:rPr>
        <w:t xml:space="preserve"> Usable Reserves i.e.</w:t>
      </w:r>
      <w:r w:rsidR="001D64B2">
        <w:rPr>
          <w:rFonts w:cs="Arial"/>
        </w:rPr>
        <w:t>,</w:t>
      </w:r>
      <w:r w:rsidRPr="00A81985">
        <w:rPr>
          <w:rFonts w:cs="Arial"/>
        </w:rPr>
        <w:t xml:space="preserve"> those reserves that </w:t>
      </w:r>
      <w:r w:rsidRPr="00386566" w:rsidR="006A70E1">
        <w:rPr>
          <w:bCs/>
        </w:rPr>
        <w:t xml:space="preserve">VVC </w:t>
      </w:r>
      <w:r w:rsidRPr="00A81985">
        <w:rPr>
          <w:rFonts w:cs="Arial"/>
        </w:rPr>
        <w:t xml:space="preserve">may use to provide services, subject to the need to maintain a prudent level of reserve and any statutory limitations on their use.  The second category of reserves are called Unusable Reserves and cannot be accessed by </w:t>
      </w:r>
      <w:r w:rsidRPr="00386566" w:rsidR="006A70E1">
        <w:rPr>
          <w:bCs/>
        </w:rPr>
        <w:t xml:space="preserve">VVC </w:t>
      </w:r>
      <w:r w:rsidRPr="00A81985">
        <w:rPr>
          <w:rFonts w:cs="Arial"/>
        </w:rPr>
        <w:t xml:space="preserve">to fund the provision of services.  This category of reserves </w:t>
      </w:r>
      <w:r w:rsidRPr="00A81985">
        <w:rPr>
          <w:rFonts w:cs="Arial"/>
        </w:rPr>
        <w:lastRenderedPageBreak/>
        <w:t>includes reserves that hold unrealised gains and losses (for example the Revaluation Reserve), where amounts would only become available to provide services if the assets are sold, and reserves that hold timing differences shown in the Movement in Reserves Statement line “Adjustments between accounting basis and funding basis and regulations”.</w:t>
      </w:r>
    </w:p>
    <w:p w:rsidRPr="00A81985" w:rsidR="001E07F2" w:rsidP="001E07F2" w:rsidRDefault="001E07F2" w14:paraId="43E22E14" w14:textId="77777777">
      <w:pPr>
        <w:pStyle w:val="Heading3"/>
      </w:pPr>
      <w:r w:rsidRPr="00A81985">
        <w:t>Cash Flow Statement</w:t>
      </w:r>
    </w:p>
    <w:p w:rsidRPr="00A81985" w:rsidR="001E07F2" w:rsidP="001E07F2" w:rsidRDefault="001E07F2" w14:paraId="570E9446" w14:textId="09F8D194">
      <w:pPr>
        <w:jc w:val="both"/>
        <w:rPr>
          <w:rFonts w:cs="Arial"/>
        </w:rPr>
      </w:pPr>
      <w:r w:rsidRPr="00A81985">
        <w:rPr>
          <w:rFonts w:cs="Arial"/>
        </w:rPr>
        <w:t xml:space="preserve">The Cash Flow Statement shows the change in cash and cash equivalents of the </w:t>
      </w:r>
      <w:r w:rsidR="006A70E1">
        <w:rPr>
          <w:rFonts w:cs="Arial"/>
        </w:rPr>
        <w:t xml:space="preserve">Collaborative </w:t>
      </w:r>
      <w:r w:rsidRPr="00A81985">
        <w:rPr>
          <w:rFonts w:cs="Arial"/>
        </w:rPr>
        <w:t xml:space="preserve">during the reporting period.  The statement shows how the </w:t>
      </w:r>
      <w:r w:rsidR="006A70E1">
        <w:rPr>
          <w:rFonts w:cs="Arial"/>
        </w:rPr>
        <w:t>Collaborative</w:t>
      </w:r>
      <w:r w:rsidRPr="00A81985">
        <w:rPr>
          <w:rFonts w:cs="Arial"/>
        </w:rPr>
        <w:t xml:space="preserve"> generates and uses cash and cash equivalents by classifying cash flows into operating and investing activities.  The amount of net cash flows arising is a key indicator of the extent to which the operations of the </w:t>
      </w:r>
      <w:r w:rsidR="006A70E1">
        <w:rPr>
          <w:rFonts w:cs="Arial"/>
        </w:rPr>
        <w:t>Collaborative</w:t>
      </w:r>
      <w:r w:rsidRPr="00A81985">
        <w:rPr>
          <w:rFonts w:cs="Arial"/>
        </w:rPr>
        <w:t xml:space="preserve"> are funded by the recipients of the services provided.</w:t>
      </w:r>
    </w:p>
    <w:p w:rsidRPr="00A81985" w:rsidR="001E07F2" w:rsidP="001E07F2" w:rsidRDefault="001E07F2" w14:paraId="655B3305" w14:textId="77777777">
      <w:pPr>
        <w:pStyle w:val="Heading3"/>
      </w:pPr>
      <w:r w:rsidRPr="00A81985">
        <w:t>Annual Governance Statement</w:t>
      </w:r>
    </w:p>
    <w:p w:rsidRPr="00A81985" w:rsidR="001E07F2" w:rsidP="001E07F2" w:rsidRDefault="001E07F2" w14:paraId="76C12EBD" w14:textId="10C26205">
      <w:pPr>
        <w:jc w:val="both"/>
        <w:rPr>
          <w:rFonts w:cs="Arial"/>
        </w:rPr>
      </w:pPr>
      <w:r w:rsidRPr="00A81985">
        <w:rPr>
          <w:rFonts w:cs="Arial"/>
        </w:rPr>
        <w:t>The statement sets out the framework within which the Vale of Glamorgan Council as the administering authority manages and reviews internal control.  It outlines the components of the framework, including the arrangements for Internal Audit and how the consortium has complied with the various elements of the framework.</w:t>
      </w:r>
    </w:p>
    <w:p w:rsidRPr="00614894" w:rsidR="000F3082" w:rsidP="001E07F2" w:rsidRDefault="000F3082" w14:paraId="0C370F78" w14:textId="40B20CAE">
      <w:pPr>
        <w:jc w:val="both"/>
        <w:rPr>
          <w:rFonts w:cs="Arial"/>
          <w:highlight w:val="yellow"/>
        </w:rPr>
      </w:pPr>
    </w:p>
    <w:p w:rsidRPr="00614894" w:rsidR="000F3082" w:rsidP="001E07F2" w:rsidRDefault="000F3082" w14:paraId="099D4E99" w14:textId="648D7D45">
      <w:pPr>
        <w:jc w:val="both"/>
        <w:rPr>
          <w:rFonts w:cs="Arial"/>
          <w:highlight w:val="yellow"/>
        </w:rPr>
      </w:pPr>
    </w:p>
    <w:p w:rsidRPr="00614894" w:rsidR="000F3082" w:rsidP="001E07F2" w:rsidRDefault="000F3082" w14:paraId="230BAAEB" w14:textId="61D6691F">
      <w:pPr>
        <w:jc w:val="both"/>
        <w:rPr>
          <w:rFonts w:cs="Arial"/>
          <w:highlight w:val="yellow"/>
        </w:rPr>
      </w:pPr>
    </w:p>
    <w:p w:rsidRPr="00614894" w:rsidR="000F3082" w:rsidP="001E07F2" w:rsidRDefault="000F3082" w14:paraId="798BBC39" w14:textId="04E39DEA">
      <w:pPr>
        <w:jc w:val="both"/>
        <w:rPr>
          <w:rFonts w:cs="Arial"/>
          <w:highlight w:val="yellow"/>
        </w:rPr>
      </w:pPr>
    </w:p>
    <w:p w:rsidRPr="00614894" w:rsidR="000F3082" w:rsidP="001E07F2" w:rsidRDefault="000F3082" w14:paraId="2B2DD37B" w14:textId="7228271A">
      <w:pPr>
        <w:jc w:val="both"/>
        <w:rPr>
          <w:rFonts w:cs="Arial"/>
          <w:highlight w:val="yellow"/>
        </w:rPr>
      </w:pPr>
    </w:p>
    <w:p w:rsidRPr="00614894" w:rsidR="000F3082" w:rsidP="001E07F2" w:rsidRDefault="000F3082" w14:paraId="097103C3" w14:textId="0227AB2B">
      <w:pPr>
        <w:jc w:val="both"/>
        <w:rPr>
          <w:rFonts w:cs="Arial"/>
          <w:highlight w:val="yellow"/>
        </w:rPr>
      </w:pPr>
    </w:p>
    <w:p w:rsidRPr="00614894" w:rsidR="000F3082" w:rsidP="001E07F2" w:rsidRDefault="000F3082" w14:paraId="46DE35DC" w14:textId="389209F3">
      <w:pPr>
        <w:jc w:val="both"/>
        <w:rPr>
          <w:rFonts w:cs="Arial"/>
          <w:highlight w:val="yellow"/>
        </w:rPr>
      </w:pPr>
    </w:p>
    <w:p w:rsidRPr="00614894" w:rsidR="000F3082" w:rsidP="001E07F2" w:rsidRDefault="000F3082" w14:paraId="559478DB" w14:textId="3C576435">
      <w:pPr>
        <w:jc w:val="both"/>
        <w:rPr>
          <w:rFonts w:cs="Arial"/>
          <w:highlight w:val="yellow"/>
        </w:rPr>
      </w:pPr>
    </w:p>
    <w:p w:rsidRPr="00614894" w:rsidR="000F3082" w:rsidP="001E07F2" w:rsidRDefault="000F3082" w14:paraId="7FAC17F9" w14:textId="5E06FD42">
      <w:pPr>
        <w:jc w:val="both"/>
        <w:rPr>
          <w:rFonts w:cs="Arial"/>
          <w:highlight w:val="yellow"/>
        </w:rPr>
      </w:pPr>
    </w:p>
    <w:p w:rsidRPr="00614894" w:rsidR="000F3082" w:rsidP="001E07F2" w:rsidRDefault="000F3082" w14:paraId="4D2EA491" w14:textId="228DEBC6">
      <w:pPr>
        <w:jc w:val="both"/>
        <w:rPr>
          <w:rFonts w:cs="Arial"/>
          <w:highlight w:val="yellow"/>
        </w:rPr>
      </w:pPr>
    </w:p>
    <w:p w:rsidRPr="00614894" w:rsidR="000F3082" w:rsidP="001E07F2" w:rsidRDefault="000F3082" w14:paraId="399AD3B0" w14:textId="2C408FD0">
      <w:pPr>
        <w:jc w:val="both"/>
        <w:rPr>
          <w:rFonts w:cs="Arial"/>
          <w:highlight w:val="yellow"/>
        </w:rPr>
      </w:pPr>
    </w:p>
    <w:p w:rsidRPr="00614894" w:rsidR="000F3082" w:rsidP="001E07F2" w:rsidRDefault="000F3082" w14:paraId="43D9E033" w14:textId="5D1BC6F3">
      <w:pPr>
        <w:jc w:val="both"/>
        <w:rPr>
          <w:rFonts w:cs="Arial"/>
          <w:highlight w:val="yellow"/>
        </w:rPr>
      </w:pPr>
    </w:p>
    <w:p w:rsidRPr="00614894" w:rsidR="000F3082" w:rsidP="001E07F2" w:rsidRDefault="000F3082" w14:paraId="0DAC3604" w14:textId="4D64260C">
      <w:pPr>
        <w:jc w:val="both"/>
        <w:rPr>
          <w:rFonts w:cs="Arial"/>
          <w:highlight w:val="yellow"/>
        </w:rPr>
      </w:pPr>
    </w:p>
    <w:p w:rsidRPr="00614894" w:rsidR="000F3082" w:rsidP="001E07F2" w:rsidRDefault="000F3082" w14:paraId="16146777" w14:textId="7444264A">
      <w:pPr>
        <w:jc w:val="both"/>
        <w:rPr>
          <w:rFonts w:cs="Arial"/>
          <w:highlight w:val="yellow"/>
        </w:rPr>
      </w:pPr>
    </w:p>
    <w:p w:rsidR="000F3082" w:rsidP="001E07F2" w:rsidRDefault="000F3082" w14:paraId="757DCD1B" w14:textId="298CCFAB">
      <w:pPr>
        <w:jc w:val="both"/>
        <w:rPr>
          <w:rFonts w:cs="Arial"/>
          <w:highlight w:val="yellow"/>
        </w:rPr>
      </w:pPr>
    </w:p>
    <w:p w:rsidRPr="00614894" w:rsidR="006A70E1" w:rsidP="001E07F2" w:rsidRDefault="006A70E1" w14:paraId="1A078FBE" w14:textId="77777777">
      <w:pPr>
        <w:jc w:val="both"/>
        <w:rPr>
          <w:rFonts w:cs="Arial"/>
          <w:highlight w:val="yellow"/>
        </w:rPr>
      </w:pPr>
    </w:p>
    <w:p w:rsidRPr="00A81985" w:rsidR="008617AE" w:rsidP="00177807" w:rsidRDefault="005174F7" w14:paraId="6C349F09" w14:textId="0C0FB3FB">
      <w:pPr>
        <w:pStyle w:val="Heading1"/>
      </w:pPr>
      <w:bookmarkStart w:name="_Toc485903704" w:id="27"/>
      <w:bookmarkStart w:name="_Toc158193770" w:id="28"/>
      <w:r w:rsidRPr="00A81985">
        <w:lastRenderedPageBreak/>
        <w:t>Notes to the Financial Statements</w:t>
      </w:r>
      <w:bookmarkEnd w:id="27"/>
      <w:bookmarkEnd w:id="28"/>
    </w:p>
    <w:p w:rsidRPr="00614894" w:rsidR="00945E4E" w:rsidP="00467BBE" w:rsidRDefault="00945E4E" w14:paraId="39C61B46" w14:textId="77777777">
      <w:pPr>
        <w:pStyle w:val="Heading2"/>
        <w:numPr>
          <w:ilvl w:val="0"/>
          <w:numId w:val="0"/>
        </w:numPr>
        <w:ind w:left="720"/>
        <w:rPr>
          <w:highlight w:val="yellow"/>
          <w:lang w:val="en-US"/>
        </w:rPr>
      </w:pPr>
    </w:p>
    <w:p w:rsidRPr="00A81985" w:rsidR="004F5E7C" w:rsidP="00467BBE" w:rsidRDefault="004F5E7C" w14:paraId="001121C7" w14:textId="77777777">
      <w:pPr>
        <w:pStyle w:val="Heading2"/>
        <w:numPr>
          <w:ilvl w:val="0"/>
          <w:numId w:val="18"/>
        </w:numPr>
      </w:pPr>
      <w:bookmarkStart w:name="_Toc485903705" w:id="29"/>
      <w:r w:rsidRPr="00A81985">
        <w:t>Accounting Policies</w:t>
      </w:r>
    </w:p>
    <w:tbl>
      <w:tblPr>
        <w:tblStyle w:val="TableGrid"/>
        <w:tblW w:w="0" w:type="auto"/>
        <w:tblLook w:val="04A0" w:firstRow="1" w:lastRow="0" w:firstColumn="1" w:lastColumn="0" w:noHBand="0" w:noVBand="1"/>
      </w:tblPr>
      <w:tblGrid>
        <w:gridCol w:w="562"/>
        <w:gridCol w:w="2127"/>
        <w:gridCol w:w="6327"/>
      </w:tblGrid>
      <w:tr w:rsidRPr="00614894" w:rsidR="004F5E7C" w:rsidTr="004F5E7C" w14:paraId="79D4D09E" w14:textId="77777777">
        <w:tc>
          <w:tcPr>
            <w:tcW w:w="562" w:type="dxa"/>
          </w:tcPr>
          <w:p w:rsidRPr="00A81985" w:rsidR="004F5E7C" w:rsidP="004F5E7C" w:rsidRDefault="004F5E7C" w14:paraId="2C497E80" w14:textId="77777777">
            <w:pPr>
              <w:rPr>
                <w:rFonts w:cs="Arial"/>
              </w:rPr>
            </w:pPr>
            <w:r w:rsidRPr="00A81985">
              <w:rPr>
                <w:rFonts w:cs="Arial"/>
              </w:rPr>
              <w:t>(a)</w:t>
            </w:r>
          </w:p>
        </w:tc>
        <w:tc>
          <w:tcPr>
            <w:tcW w:w="2127" w:type="dxa"/>
          </w:tcPr>
          <w:p w:rsidRPr="00A81985" w:rsidR="004F5E7C" w:rsidP="004F5E7C" w:rsidRDefault="004F5E7C" w14:paraId="1A86B89D" w14:textId="77777777">
            <w:pPr>
              <w:pStyle w:val="NoSpacing"/>
              <w:rPr>
                <w:rFonts w:ascii="Arial" w:hAnsi="Arial" w:cs="Arial"/>
                <w:b/>
              </w:rPr>
            </w:pPr>
            <w:r w:rsidRPr="00A81985">
              <w:rPr>
                <w:rFonts w:ascii="Arial" w:hAnsi="Arial" w:cs="Arial"/>
                <w:b/>
              </w:rPr>
              <w:t>Accounting Policies</w:t>
            </w:r>
          </w:p>
          <w:p w:rsidRPr="00A81985" w:rsidR="004F5E7C" w:rsidP="004F5E7C" w:rsidRDefault="004F5E7C" w14:paraId="3D65246B" w14:textId="77777777">
            <w:pPr>
              <w:rPr>
                <w:rFonts w:cs="Arial"/>
              </w:rPr>
            </w:pPr>
          </w:p>
        </w:tc>
        <w:tc>
          <w:tcPr>
            <w:tcW w:w="6327" w:type="dxa"/>
          </w:tcPr>
          <w:p w:rsidRPr="00A81985" w:rsidR="004F5E7C" w:rsidP="007B543D" w:rsidRDefault="006A70E1" w14:paraId="6C32FE5A" w14:textId="76748856">
            <w:pPr>
              <w:pStyle w:val="NoSpacing"/>
              <w:jc w:val="both"/>
              <w:rPr>
                <w:rFonts w:ascii="Arial" w:hAnsi="Arial" w:cs="Arial"/>
              </w:rPr>
            </w:pPr>
            <w:r w:rsidRPr="006A70E1">
              <w:rPr>
                <w:rFonts w:ascii="Arial" w:hAnsi="Arial" w:cs="Arial"/>
              </w:rPr>
              <w:t xml:space="preserve">VVC </w:t>
            </w:r>
            <w:r w:rsidRPr="00A81985" w:rsidR="004F5E7C">
              <w:rPr>
                <w:rFonts w:ascii="Arial" w:hAnsi="Arial" w:cs="Arial"/>
              </w:rPr>
              <w:t>is required to prepare an annual Statement of Accounts by the Accounts and Audit (Wales) Regulations 2014 (Amended), which require them to be prepared in accordance with proper accounting practices.  These practices primarily comprise of the Code of Practice on Local Authority Accou</w:t>
            </w:r>
            <w:r w:rsidRPr="00A81985" w:rsidR="001C213E">
              <w:rPr>
                <w:rFonts w:ascii="Arial" w:hAnsi="Arial" w:cs="Arial"/>
              </w:rPr>
              <w:t xml:space="preserve">nting in the United Kingdom </w:t>
            </w:r>
            <w:r w:rsidR="0000365F">
              <w:rPr>
                <w:rFonts w:ascii="Arial" w:hAnsi="Arial" w:cs="Arial"/>
              </w:rPr>
              <w:t>2022/23</w:t>
            </w:r>
            <w:r w:rsidRPr="00A81985" w:rsidR="004F5E7C">
              <w:rPr>
                <w:rFonts w:ascii="Arial" w:hAnsi="Arial" w:cs="Arial"/>
              </w:rPr>
              <w:t>, and the Service Reporting Code of Pra</w:t>
            </w:r>
            <w:r w:rsidRPr="00A81985" w:rsidR="001C213E">
              <w:rPr>
                <w:rFonts w:ascii="Arial" w:hAnsi="Arial" w:cs="Arial"/>
              </w:rPr>
              <w:t xml:space="preserve">ctice for Local Authorities </w:t>
            </w:r>
            <w:r w:rsidR="0000365F">
              <w:rPr>
                <w:rFonts w:ascii="Arial" w:hAnsi="Arial" w:cs="Arial"/>
              </w:rPr>
              <w:t>2022/23</w:t>
            </w:r>
            <w:r w:rsidRPr="00A81985" w:rsidR="004F5E7C">
              <w:rPr>
                <w:rFonts w:ascii="Arial" w:hAnsi="Arial" w:cs="Arial"/>
              </w:rPr>
              <w:t xml:space="preserve"> (</w:t>
            </w:r>
            <w:proofErr w:type="spellStart"/>
            <w:r w:rsidRPr="00A81985" w:rsidR="004F5E7C">
              <w:rPr>
                <w:rFonts w:ascii="Arial" w:hAnsi="Arial" w:cs="Arial"/>
              </w:rPr>
              <w:t>SeRCOP</w:t>
            </w:r>
            <w:proofErr w:type="spellEnd"/>
            <w:r w:rsidRPr="00A81985" w:rsidR="004F5E7C">
              <w:rPr>
                <w:rFonts w:ascii="Arial" w:hAnsi="Arial" w:cs="Arial"/>
              </w:rPr>
              <w:t xml:space="preserve">) and supported by International Financial Reporting Standards (IFRS) and statutory guidance.  </w:t>
            </w:r>
            <w:r w:rsidRPr="00A81985" w:rsidR="00EB7766">
              <w:rPr>
                <w:rFonts w:ascii="Arial" w:hAnsi="Arial" w:cs="Arial"/>
              </w:rPr>
              <w:t>The accounts are prepared on a going c</w:t>
            </w:r>
            <w:r w:rsidRPr="00A81985" w:rsidR="004F5E7C">
              <w:rPr>
                <w:rFonts w:ascii="Arial" w:hAnsi="Arial" w:cs="Arial"/>
              </w:rPr>
              <w:t>oncern basis.</w:t>
            </w:r>
          </w:p>
          <w:p w:rsidRPr="00614894" w:rsidR="004F5E7C" w:rsidP="007B543D" w:rsidRDefault="004F5E7C" w14:paraId="7B54A898" w14:textId="77777777">
            <w:pPr>
              <w:pStyle w:val="NoSpacing"/>
              <w:jc w:val="both"/>
              <w:rPr>
                <w:rFonts w:ascii="Arial" w:hAnsi="Arial" w:cs="Arial"/>
                <w:highlight w:val="yellow"/>
              </w:rPr>
            </w:pPr>
          </w:p>
        </w:tc>
      </w:tr>
      <w:tr w:rsidRPr="00614894" w:rsidR="004F5E7C" w:rsidTr="004F5E7C" w14:paraId="2438BF69" w14:textId="77777777">
        <w:tc>
          <w:tcPr>
            <w:tcW w:w="562" w:type="dxa"/>
          </w:tcPr>
          <w:p w:rsidRPr="00A81985" w:rsidR="004F5E7C" w:rsidP="004F5E7C" w:rsidRDefault="004F5E7C" w14:paraId="745431E9" w14:textId="77777777">
            <w:r w:rsidRPr="00A81985">
              <w:t>(b)</w:t>
            </w:r>
          </w:p>
        </w:tc>
        <w:tc>
          <w:tcPr>
            <w:tcW w:w="2127" w:type="dxa"/>
          </w:tcPr>
          <w:p w:rsidRPr="00A81985" w:rsidR="004F5E7C" w:rsidP="004F5E7C" w:rsidRDefault="004F5E7C" w14:paraId="5D0BA2DE" w14:textId="77777777">
            <w:pPr>
              <w:pStyle w:val="NoSpacing"/>
              <w:rPr>
                <w:rFonts w:ascii="Arial" w:hAnsi="Arial" w:cs="Arial"/>
                <w:b/>
              </w:rPr>
            </w:pPr>
            <w:r w:rsidRPr="00A81985">
              <w:rPr>
                <w:rFonts w:ascii="Arial" w:hAnsi="Arial" w:cs="Arial"/>
                <w:b/>
              </w:rPr>
              <w:t>Revenue Income and Expenditure</w:t>
            </w:r>
          </w:p>
          <w:p w:rsidRPr="00A81985" w:rsidR="004F5E7C" w:rsidP="004F5E7C" w:rsidRDefault="004F5E7C" w14:paraId="2273F5CB" w14:textId="77777777">
            <w:pPr>
              <w:pStyle w:val="NoSpacing"/>
              <w:rPr>
                <w:rFonts w:ascii="Arial" w:hAnsi="Arial" w:cs="Arial"/>
              </w:rPr>
            </w:pPr>
          </w:p>
        </w:tc>
        <w:tc>
          <w:tcPr>
            <w:tcW w:w="6327" w:type="dxa"/>
          </w:tcPr>
          <w:p w:rsidRPr="00A81985" w:rsidR="004F5E7C" w:rsidP="007B543D" w:rsidRDefault="004F5E7C" w14:paraId="55A929BD" w14:textId="42F9A067">
            <w:pPr>
              <w:jc w:val="both"/>
              <w:rPr>
                <w:rFonts w:cs="Arial"/>
              </w:rPr>
            </w:pPr>
            <w:r w:rsidRPr="00A81985">
              <w:rPr>
                <w:rFonts w:cs="Arial"/>
              </w:rPr>
              <w:t xml:space="preserve">The transactions of </w:t>
            </w:r>
            <w:r w:rsidRPr="006A70E1" w:rsidR="006A70E1">
              <w:rPr>
                <w:rFonts w:cs="Arial"/>
              </w:rPr>
              <w:t>VVC</w:t>
            </w:r>
            <w:r w:rsidRPr="00A81985">
              <w:rPr>
                <w:rFonts w:cs="Arial"/>
              </w:rPr>
              <w:t xml:space="preserve"> are accounted for in the year that it takes place, not simply when cash payments are made or received.  In particular:</w:t>
            </w:r>
          </w:p>
          <w:p w:rsidRPr="00614894" w:rsidR="004F5E7C" w:rsidP="007B543D" w:rsidRDefault="004F5E7C" w14:paraId="55B30BF4" w14:textId="77777777">
            <w:pPr>
              <w:pStyle w:val="ListParagraph"/>
              <w:jc w:val="both"/>
              <w:rPr>
                <w:rFonts w:cs="Arial"/>
                <w:highlight w:val="yellow"/>
              </w:rPr>
            </w:pPr>
          </w:p>
          <w:p w:rsidRPr="00A81985" w:rsidR="004F5E7C" w:rsidP="007B543D" w:rsidRDefault="004F5E7C" w14:paraId="50DE76BE" w14:textId="081D0008">
            <w:pPr>
              <w:pStyle w:val="ListParagraph"/>
              <w:numPr>
                <w:ilvl w:val="0"/>
                <w:numId w:val="1"/>
              </w:numPr>
              <w:jc w:val="both"/>
              <w:rPr>
                <w:rFonts w:cs="Arial"/>
              </w:rPr>
            </w:pPr>
            <w:r w:rsidRPr="00A81985">
              <w:rPr>
                <w:rFonts w:cs="Arial"/>
              </w:rPr>
              <w:t xml:space="preserve">Revenue from the sale of goods is recognised when </w:t>
            </w:r>
            <w:r w:rsidRPr="006A70E1" w:rsidR="006A70E1">
              <w:rPr>
                <w:rFonts w:cs="Arial"/>
              </w:rPr>
              <w:t>VVC</w:t>
            </w:r>
            <w:r w:rsidRPr="00A81985">
              <w:rPr>
                <w:rFonts w:cs="Arial"/>
              </w:rPr>
              <w:t xml:space="preserve"> transfers the significant risks and rewards of ownership to the purchaser</w:t>
            </w:r>
            <w:r w:rsidR="001D64B2">
              <w:rPr>
                <w:rFonts w:cs="Arial"/>
              </w:rPr>
              <w:t>,</w:t>
            </w:r>
            <w:r w:rsidRPr="00A81985">
              <w:rPr>
                <w:rFonts w:cs="Arial"/>
              </w:rPr>
              <w:t xml:space="preserve"> and it is probable that the economic benefits or service potential associated with the transaction will flow to </w:t>
            </w:r>
            <w:proofErr w:type="gramStart"/>
            <w:r w:rsidRPr="006A70E1" w:rsidR="006A70E1">
              <w:rPr>
                <w:rFonts w:cs="Arial"/>
              </w:rPr>
              <w:t>VVC</w:t>
            </w:r>
            <w:r w:rsidRPr="00A81985">
              <w:rPr>
                <w:rFonts w:cs="Arial"/>
              </w:rPr>
              <w:t>;</w:t>
            </w:r>
            <w:proofErr w:type="gramEnd"/>
          </w:p>
          <w:p w:rsidRPr="00A81985" w:rsidR="004F5E7C" w:rsidP="007B543D" w:rsidRDefault="004F5E7C" w14:paraId="017E2E78" w14:textId="5B96D898">
            <w:pPr>
              <w:pStyle w:val="ListParagraph"/>
              <w:numPr>
                <w:ilvl w:val="0"/>
                <w:numId w:val="1"/>
              </w:numPr>
              <w:jc w:val="both"/>
              <w:rPr>
                <w:rFonts w:cs="Arial"/>
              </w:rPr>
            </w:pPr>
            <w:r w:rsidRPr="00A81985">
              <w:rPr>
                <w:rFonts w:cs="Arial"/>
              </w:rPr>
              <w:t xml:space="preserve">Revenue from the provision of services is recognised when </w:t>
            </w:r>
            <w:r w:rsidRPr="006A70E1" w:rsidR="006A70E1">
              <w:rPr>
                <w:rFonts w:cs="Arial"/>
              </w:rPr>
              <w:t xml:space="preserve">VVC </w:t>
            </w:r>
            <w:r w:rsidRPr="00A81985">
              <w:rPr>
                <w:rFonts w:cs="Arial"/>
              </w:rPr>
              <w:t>can measure reliably the percentage of completion of the transaction</w:t>
            </w:r>
            <w:r w:rsidR="001D64B2">
              <w:rPr>
                <w:rFonts w:cs="Arial"/>
              </w:rPr>
              <w:t>,</w:t>
            </w:r>
            <w:r w:rsidRPr="00A81985">
              <w:rPr>
                <w:rFonts w:cs="Arial"/>
              </w:rPr>
              <w:t xml:space="preserve"> and it is probable that economic benefits or service potential associated with the transaction will flow to </w:t>
            </w:r>
            <w:proofErr w:type="gramStart"/>
            <w:r w:rsidRPr="006A70E1" w:rsidR="006A70E1">
              <w:rPr>
                <w:rFonts w:cs="Arial"/>
              </w:rPr>
              <w:t>VVC</w:t>
            </w:r>
            <w:r w:rsidRPr="00A81985">
              <w:rPr>
                <w:rFonts w:cs="Arial"/>
              </w:rPr>
              <w:t>;</w:t>
            </w:r>
            <w:proofErr w:type="gramEnd"/>
          </w:p>
          <w:p w:rsidRPr="00A81985" w:rsidR="004F5E7C" w:rsidP="007B543D" w:rsidRDefault="004F5E7C" w14:paraId="60C96418" w14:textId="77777777">
            <w:pPr>
              <w:pStyle w:val="ListParagraph"/>
              <w:numPr>
                <w:ilvl w:val="0"/>
                <w:numId w:val="1"/>
              </w:numPr>
              <w:jc w:val="both"/>
              <w:rPr>
                <w:rFonts w:cs="Arial"/>
              </w:rPr>
            </w:pPr>
            <w:r w:rsidRPr="00A81985">
              <w:rPr>
                <w:rFonts w:cs="Arial"/>
              </w:rPr>
              <w:t>Expenses in relation to services received (including services provided by employees) are recorded as expenditure when the services are received rather than when payments are made; and</w:t>
            </w:r>
          </w:p>
          <w:p w:rsidRPr="00A81985" w:rsidR="004F5E7C" w:rsidP="007B543D" w:rsidRDefault="004F5E7C" w14:paraId="2911D6E5" w14:textId="77777777">
            <w:pPr>
              <w:pStyle w:val="ListParagraph"/>
              <w:numPr>
                <w:ilvl w:val="0"/>
                <w:numId w:val="1"/>
              </w:numPr>
              <w:jc w:val="both"/>
              <w:rPr>
                <w:rFonts w:cs="Arial"/>
              </w:rPr>
            </w:pPr>
            <w:r w:rsidRPr="00A81985">
              <w:rPr>
                <w:rFonts w:cs="Arial"/>
              </w:rPr>
              <w:t>Where revenue and expenditure have been recognised but cash has not been received or paid, a debtor or creditor for the relevant amount is recorded in the Balance Sheet.  Where debts may not be settled, the balance of debtors is written down and a change made to revenue for the income that might be collected.</w:t>
            </w:r>
          </w:p>
          <w:p w:rsidRPr="00614894" w:rsidR="006F20C4" w:rsidP="007B543D" w:rsidRDefault="006F20C4" w14:paraId="2C6DDCE5" w14:textId="77777777">
            <w:pPr>
              <w:pStyle w:val="ListParagraph"/>
              <w:jc w:val="both"/>
              <w:rPr>
                <w:rFonts w:cs="Arial"/>
                <w:highlight w:val="yellow"/>
              </w:rPr>
            </w:pPr>
          </w:p>
          <w:p w:rsidRPr="00A81985" w:rsidR="004F5E7C" w:rsidP="007B543D" w:rsidRDefault="004F5E7C" w14:paraId="0DBFFE88" w14:textId="77777777">
            <w:pPr>
              <w:ind w:left="709"/>
              <w:jc w:val="both"/>
              <w:rPr>
                <w:rFonts w:cs="Arial"/>
              </w:rPr>
            </w:pPr>
            <w:r w:rsidRPr="00A81985">
              <w:rPr>
                <w:rFonts w:cs="Arial"/>
              </w:rPr>
              <w:t>There are certain exceptions to this principle.  The main items are: -</w:t>
            </w:r>
          </w:p>
          <w:p w:rsidRPr="00614894" w:rsidR="006F20C4" w:rsidP="007B543D" w:rsidRDefault="006F20C4" w14:paraId="199469DF" w14:textId="77777777">
            <w:pPr>
              <w:ind w:left="709"/>
              <w:jc w:val="both"/>
              <w:rPr>
                <w:rFonts w:cs="Arial"/>
                <w:highlight w:val="yellow"/>
              </w:rPr>
            </w:pPr>
          </w:p>
          <w:p w:rsidRPr="00A81985" w:rsidR="004F5E7C" w:rsidP="00C44E1F" w:rsidRDefault="004F5E7C" w14:paraId="6DAE47E8" w14:textId="77777777">
            <w:pPr>
              <w:pStyle w:val="ListParagraph"/>
              <w:numPr>
                <w:ilvl w:val="0"/>
                <w:numId w:val="3"/>
              </w:numPr>
              <w:jc w:val="both"/>
              <w:rPr>
                <w:rFonts w:cs="Arial"/>
              </w:rPr>
            </w:pPr>
            <w:r w:rsidRPr="00A81985">
              <w:rPr>
                <w:rFonts w:cs="Arial"/>
              </w:rPr>
              <w:t xml:space="preserve">Electricity charges, telephone expenses, leasing and similar periodic payments are included in the Accounts on a payments basis and not accrued to the </w:t>
            </w:r>
            <w:proofErr w:type="gramStart"/>
            <w:r w:rsidRPr="00A81985">
              <w:rPr>
                <w:rFonts w:cs="Arial"/>
              </w:rPr>
              <w:t>31</w:t>
            </w:r>
            <w:r w:rsidRPr="00A81985">
              <w:rPr>
                <w:rFonts w:cs="Arial"/>
                <w:vertAlign w:val="superscript"/>
              </w:rPr>
              <w:t>st</w:t>
            </w:r>
            <w:proofErr w:type="gramEnd"/>
            <w:r w:rsidRPr="00A81985">
              <w:rPr>
                <w:rFonts w:cs="Arial"/>
              </w:rPr>
              <w:t xml:space="preserve"> March each year.  Payments in respect of a full 12 months are included; and</w:t>
            </w:r>
          </w:p>
          <w:p w:rsidRPr="00A81985" w:rsidR="004F5E7C" w:rsidP="00C44E1F" w:rsidRDefault="004F5E7C" w14:paraId="52097C73" w14:textId="77777777">
            <w:pPr>
              <w:pStyle w:val="ListParagraph"/>
              <w:numPr>
                <w:ilvl w:val="0"/>
                <w:numId w:val="3"/>
              </w:numPr>
              <w:jc w:val="both"/>
              <w:rPr>
                <w:rFonts w:cs="Arial"/>
              </w:rPr>
            </w:pPr>
            <w:r w:rsidRPr="00A81985">
              <w:rPr>
                <w:rFonts w:cs="Arial"/>
              </w:rPr>
              <w:t>The amount included in the accounts for the Budgeted Contributions are on the basis of cash received.</w:t>
            </w:r>
          </w:p>
          <w:p w:rsidRPr="00614894" w:rsidR="004F5E7C" w:rsidP="007B543D" w:rsidRDefault="004F5E7C" w14:paraId="50F83AA4" w14:textId="77777777">
            <w:pPr>
              <w:pStyle w:val="ListParagraph"/>
              <w:jc w:val="both"/>
              <w:rPr>
                <w:rFonts w:cs="Arial"/>
                <w:highlight w:val="yellow"/>
              </w:rPr>
            </w:pPr>
          </w:p>
          <w:p w:rsidRPr="00614894" w:rsidR="004F5E7C" w:rsidP="007B543D" w:rsidRDefault="004F5E7C" w14:paraId="5DEE90E0" w14:textId="77777777">
            <w:pPr>
              <w:pStyle w:val="ListParagraph"/>
              <w:jc w:val="both"/>
              <w:rPr>
                <w:rFonts w:cs="Arial"/>
                <w:highlight w:val="yellow"/>
              </w:rPr>
            </w:pPr>
            <w:r w:rsidRPr="00A81985">
              <w:rPr>
                <w:rFonts w:cs="Arial"/>
              </w:rPr>
              <w:t xml:space="preserve">The difference between the amounts charged annually to the Revenue Accounts in respect of items (a) and (b) </w:t>
            </w:r>
            <w:r w:rsidRPr="00A81985">
              <w:rPr>
                <w:rFonts w:cs="Arial"/>
              </w:rPr>
              <w:lastRenderedPageBreak/>
              <w:t xml:space="preserve">and the amounts that would be charged if they were accrued to the </w:t>
            </w:r>
            <w:proofErr w:type="gramStart"/>
            <w:r w:rsidRPr="00A81985">
              <w:rPr>
                <w:rFonts w:cs="Arial"/>
              </w:rPr>
              <w:t>31</w:t>
            </w:r>
            <w:r w:rsidRPr="00A81985">
              <w:rPr>
                <w:rFonts w:cs="Arial"/>
                <w:vertAlign w:val="superscript"/>
              </w:rPr>
              <w:t>st</w:t>
            </w:r>
            <w:proofErr w:type="gramEnd"/>
            <w:r w:rsidRPr="00A81985">
              <w:rPr>
                <w:rFonts w:cs="Arial"/>
              </w:rPr>
              <w:t xml:space="preserve"> March each year is not significant. </w:t>
            </w:r>
          </w:p>
        </w:tc>
      </w:tr>
      <w:tr w:rsidRPr="00614894" w:rsidR="004F5E7C" w:rsidTr="004F5E7C" w14:paraId="1C1E4DC3" w14:textId="77777777">
        <w:tc>
          <w:tcPr>
            <w:tcW w:w="562" w:type="dxa"/>
          </w:tcPr>
          <w:p w:rsidRPr="00CA4CDA" w:rsidR="004F5E7C" w:rsidP="004F5E7C" w:rsidRDefault="004F5E7C" w14:paraId="3013F769" w14:textId="77777777">
            <w:r w:rsidRPr="00CA4CDA">
              <w:lastRenderedPageBreak/>
              <w:t>(c)</w:t>
            </w:r>
          </w:p>
        </w:tc>
        <w:tc>
          <w:tcPr>
            <w:tcW w:w="2127" w:type="dxa"/>
          </w:tcPr>
          <w:p w:rsidRPr="00CA4CDA" w:rsidR="004F5E7C" w:rsidP="004F5E7C" w:rsidRDefault="004F5E7C" w14:paraId="09074FF0" w14:textId="77777777">
            <w:pPr>
              <w:rPr>
                <w:b/>
              </w:rPr>
            </w:pPr>
            <w:r w:rsidRPr="00CA4CDA">
              <w:rPr>
                <w:b/>
              </w:rPr>
              <w:t>Cash and Cash Equivalents</w:t>
            </w:r>
          </w:p>
        </w:tc>
        <w:tc>
          <w:tcPr>
            <w:tcW w:w="6327" w:type="dxa"/>
          </w:tcPr>
          <w:p w:rsidRPr="00CA4CDA" w:rsidR="004F5E7C" w:rsidP="007B543D" w:rsidRDefault="004F5E7C" w14:paraId="78926707" w14:textId="45002712">
            <w:pPr>
              <w:jc w:val="both"/>
              <w:rPr>
                <w:rFonts w:cs="Arial"/>
              </w:rPr>
            </w:pPr>
            <w:r w:rsidRPr="00CA4CDA">
              <w:rPr>
                <w:rFonts w:cs="Arial"/>
              </w:rPr>
              <w:t xml:space="preserve">All cash transactions are administered by the Vale of Glamorgan Council as </w:t>
            </w:r>
            <w:r w:rsidRPr="006A70E1" w:rsidR="006A70E1">
              <w:rPr>
                <w:rFonts w:cs="Arial"/>
              </w:rPr>
              <w:t xml:space="preserve">VVC </w:t>
            </w:r>
            <w:r w:rsidRPr="00CA4CDA">
              <w:rPr>
                <w:rFonts w:cs="Arial"/>
              </w:rPr>
              <w:t>does not operate its own Bank Account.</w:t>
            </w:r>
          </w:p>
          <w:p w:rsidRPr="00CA4CDA" w:rsidR="004F5E7C" w:rsidP="007B543D" w:rsidRDefault="004F5E7C" w14:paraId="23876444" w14:textId="77777777">
            <w:pPr>
              <w:jc w:val="both"/>
            </w:pPr>
          </w:p>
        </w:tc>
      </w:tr>
      <w:tr w:rsidRPr="00614894" w:rsidR="004F5E7C" w:rsidTr="004F5E7C" w14:paraId="6B702178" w14:textId="77777777">
        <w:tc>
          <w:tcPr>
            <w:tcW w:w="562" w:type="dxa"/>
          </w:tcPr>
          <w:p w:rsidRPr="00CA4CDA" w:rsidR="004F5E7C" w:rsidP="004F5E7C" w:rsidRDefault="004F5E7C" w14:paraId="5199E923" w14:textId="77777777">
            <w:r w:rsidRPr="00CA4CDA">
              <w:t>(d)</w:t>
            </w:r>
          </w:p>
        </w:tc>
        <w:tc>
          <w:tcPr>
            <w:tcW w:w="2127" w:type="dxa"/>
          </w:tcPr>
          <w:p w:rsidRPr="00CA4CDA" w:rsidR="004F5E7C" w:rsidP="004F5E7C" w:rsidRDefault="004F5E7C" w14:paraId="1891BF81" w14:textId="77777777">
            <w:pPr>
              <w:rPr>
                <w:b/>
              </w:rPr>
            </w:pPr>
            <w:r w:rsidRPr="00CA4CDA">
              <w:rPr>
                <w:b/>
              </w:rPr>
              <w:t>Prior Period Adjustments, Changes in Accounting Policies, Estimates and Errors</w:t>
            </w:r>
          </w:p>
          <w:p w:rsidRPr="00CA4CDA" w:rsidR="004F5E7C" w:rsidP="004F5E7C" w:rsidRDefault="004F5E7C" w14:paraId="2A6C7EE6" w14:textId="77777777">
            <w:pPr>
              <w:rPr>
                <w:b/>
              </w:rPr>
            </w:pPr>
          </w:p>
        </w:tc>
        <w:tc>
          <w:tcPr>
            <w:tcW w:w="6327" w:type="dxa"/>
          </w:tcPr>
          <w:p w:rsidRPr="00CA4CDA" w:rsidR="004F5E7C" w:rsidP="007B543D" w:rsidRDefault="004F5E7C" w14:paraId="1F4CF887" w14:textId="77777777">
            <w:pPr>
              <w:jc w:val="both"/>
              <w:rPr>
                <w:rFonts w:cs="Arial"/>
              </w:rPr>
            </w:pPr>
            <w:r w:rsidRPr="00CA4CDA">
              <w:rPr>
                <w:rFonts w:cs="Arial"/>
              </w:rPr>
              <w:t>A change in the accounting policies or to correct a material error can result in a prior period adjustment.  Changes in accounting estimates do not give rise to a prior period adjustment but are accounted for prospectively.</w:t>
            </w:r>
          </w:p>
          <w:p w:rsidRPr="00CA4CDA" w:rsidR="004F5E7C" w:rsidP="007B543D" w:rsidRDefault="004F5E7C" w14:paraId="66E704A5" w14:textId="77777777">
            <w:pPr>
              <w:pStyle w:val="ListParagraph"/>
              <w:jc w:val="both"/>
              <w:rPr>
                <w:rFonts w:cs="Arial"/>
              </w:rPr>
            </w:pPr>
          </w:p>
          <w:p w:rsidRPr="00CA4CDA" w:rsidR="004F5E7C" w:rsidP="007B543D" w:rsidRDefault="004F5E7C" w14:paraId="47AA1139" w14:textId="31E7ADF0">
            <w:pPr>
              <w:jc w:val="both"/>
              <w:rPr>
                <w:rFonts w:cs="Arial"/>
              </w:rPr>
            </w:pPr>
            <w:r w:rsidRPr="00CA4CDA">
              <w:rPr>
                <w:rFonts w:cs="Arial"/>
              </w:rPr>
              <w:t xml:space="preserve">Changes in accounting policies are only made when required by proper accounting practices or the change provides more reliable or relevant information about the effect of transactions, or other events and conditions of </w:t>
            </w:r>
            <w:r w:rsidRPr="006A70E1" w:rsidR="006A70E1">
              <w:rPr>
                <w:rFonts w:cs="Arial"/>
              </w:rPr>
              <w:t>VVC</w:t>
            </w:r>
            <w:r w:rsidR="001E2079">
              <w:rPr>
                <w:rFonts w:cs="Arial"/>
              </w:rPr>
              <w:t>’s</w:t>
            </w:r>
            <w:r w:rsidRPr="006A70E1" w:rsidR="006A70E1">
              <w:rPr>
                <w:rFonts w:cs="Arial"/>
              </w:rPr>
              <w:t xml:space="preserve"> </w:t>
            </w:r>
            <w:r w:rsidRPr="00CA4CDA">
              <w:rPr>
                <w:rFonts w:cs="Arial"/>
              </w:rPr>
              <w:t>financial position or financial performance.  Where a change is made, it is applied retrospectively (unless otherwise stated) by adjusting opening balances and comparative amounts for the prior period as if the new policy had always applied.</w:t>
            </w:r>
          </w:p>
          <w:p w:rsidRPr="00CA4CDA" w:rsidR="004F5E7C" w:rsidP="007B543D" w:rsidRDefault="004F5E7C" w14:paraId="62638508" w14:textId="77777777">
            <w:pPr>
              <w:pStyle w:val="ListParagraph"/>
              <w:jc w:val="both"/>
              <w:rPr>
                <w:rFonts w:cs="Arial"/>
              </w:rPr>
            </w:pPr>
          </w:p>
          <w:p w:rsidRPr="00CA4CDA" w:rsidR="004F5E7C" w:rsidP="007B543D" w:rsidRDefault="004F5E7C" w14:paraId="1EF36F22" w14:textId="77777777">
            <w:pPr>
              <w:jc w:val="both"/>
              <w:rPr>
                <w:rFonts w:cs="Arial"/>
              </w:rPr>
            </w:pPr>
            <w:r w:rsidRPr="00CA4CDA">
              <w:rPr>
                <w:rFonts w:cs="Arial"/>
              </w:rPr>
              <w:t>Material errors discovered in prior period figures are corrected retrospectively by amending opening balances and comparative amounts for the prior period.</w:t>
            </w:r>
          </w:p>
          <w:p w:rsidRPr="00614894" w:rsidR="004F5E7C" w:rsidP="007B543D" w:rsidRDefault="004F5E7C" w14:paraId="7BFB1C0D" w14:textId="77777777">
            <w:pPr>
              <w:jc w:val="both"/>
              <w:rPr>
                <w:highlight w:val="yellow"/>
              </w:rPr>
            </w:pPr>
          </w:p>
        </w:tc>
      </w:tr>
      <w:tr w:rsidRPr="00614894" w:rsidR="004F5E7C" w:rsidTr="004F5E7C" w14:paraId="61674507" w14:textId="77777777">
        <w:tc>
          <w:tcPr>
            <w:tcW w:w="562" w:type="dxa"/>
          </w:tcPr>
          <w:p w:rsidRPr="00CA4CDA" w:rsidR="004F5E7C" w:rsidP="004F5E7C" w:rsidRDefault="004F5E7C" w14:paraId="47C0F772" w14:textId="77777777">
            <w:r w:rsidRPr="00CA4CDA">
              <w:t>(e)</w:t>
            </w:r>
          </w:p>
        </w:tc>
        <w:tc>
          <w:tcPr>
            <w:tcW w:w="2127" w:type="dxa"/>
          </w:tcPr>
          <w:p w:rsidRPr="00CA4CDA" w:rsidR="004F5E7C" w:rsidP="004F5E7C" w:rsidRDefault="004F5E7C" w14:paraId="50E1BE2F" w14:textId="77777777">
            <w:pPr>
              <w:rPr>
                <w:b/>
              </w:rPr>
            </w:pPr>
            <w:r w:rsidRPr="00CA4CDA">
              <w:rPr>
                <w:b/>
              </w:rPr>
              <w:t>Charges to Revenue for Non-Current Assets</w:t>
            </w:r>
          </w:p>
        </w:tc>
        <w:tc>
          <w:tcPr>
            <w:tcW w:w="6327" w:type="dxa"/>
          </w:tcPr>
          <w:p w:rsidRPr="00CA4CDA" w:rsidR="004F5E7C" w:rsidP="007B543D" w:rsidRDefault="0000365F" w14:paraId="2E67B8A7" w14:textId="25F03E08">
            <w:pPr>
              <w:jc w:val="both"/>
              <w:rPr>
                <w:rFonts w:cs="Arial"/>
              </w:rPr>
            </w:pPr>
            <w:r>
              <w:rPr>
                <w:rFonts w:cs="Arial"/>
              </w:rPr>
              <w:t xml:space="preserve">The does not hold any </w:t>
            </w:r>
            <w:proofErr w:type="spellStart"/>
            <w:proofErr w:type="gramStart"/>
            <w:r>
              <w:rPr>
                <w:rFonts w:cs="Arial"/>
              </w:rPr>
              <w:t>Non Current</w:t>
            </w:r>
            <w:proofErr w:type="spellEnd"/>
            <w:proofErr w:type="gramEnd"/>
            <w:r>
              <w:rPr>
                <w:rFonts w:cs="Arial"/>
              </w:rPr>
              <w:t xml:space="preserve"> Assets at 31</w:t>
            </w:r>
            <w:r w:rsidRPr="0000365F">
              <w:rPr>
                <w:rFonts w:cs="Arial"/>
                <w:vertAlign w:val="superscript"/>
              </w:rPr>
              <w:t>st</w:t>
            </w:r>
            <w:r>
              <w:rPr>
                <w:rFonts w:cs="Arial"/>
              </w:rPr>
              <w:t xml:space="preserve"> March 2023.</w:t>
            </w:r>
          </w:p>
          <w:p w:rsidRPr="00CA4CDA" w:rsidR="004F5E7C" w:rsidP="007B543D" w:rsidRDefault="004F5E7C" w14:paraId="5C23B86E" w14:textId="77777777">
            <w:pPr>
              <w:jc w:val="both"/>
            </w:pPr>
          </w:p>
        </w:tc>
      </w:tr>
      <w:tr w:rsidRPr="00614894" w:rsidR="004F5E7C" w:rsidTr="004F5E7C" w14:paraId="2E5A6506" w14:textId="77777777">
        <w:tc>
          <w:tcPr>
            <w:tcW w:w="562" w:type="dxa"/>
          </w:tcPr>
          <w:p w:rsidRPr="00CA4CDA" w:rsidR="004F5E7C" w:rsidP="004F5E7C" w:rsidRDefault="004F5E7C" w14:paraId="51CFFB0D" w14:textId="77777777">
            <w:r w:rsidRPr="00CA4CDA">
              <w:t>(f)</w:t>
            </w:r>
          </w:p>
        </w:tc>
        <w:tc>
          <w:tcPr>
            <w:tcW w:w="2127" w:type="dxa"/>
          </w:tcPr>
          <w:p w:rsidRPr="00CA4CDA" w:rsidR="004F5E7C" w:rsidP="004F5E7C" w:rsidRDefault="004F5E7C" w14:paraId="32DF15F0" w14:textId="77777777">
            <w:pPr>
              <w:rPr>
                <w:b/>
              </w:rPr>
            </w:pPr>
            <w:r w:rsidRPr="00CA4CDA">
              <w:rPr>
                <w:b/>
              </w:rPr>
              <w:t>Employee Benefits</w:t>
            </w:r>
          </w:p>
        </w:tc>
        <w:tc>
          <w:tcPr>
            <w:tcW w:w="6327" w:type="dxa"/>
          </w:tcPr>
          <w:p w:rsidRPr="00CA4CDA" w:rsidR="004F5E7C" w:rsidP="007B543D" w:rsidRDefault="004F5E7C" w14:paraId="33596776" w14:textId="77777777">
            <w:pPr>
              <w:pStyle w:val="Heading3"/>
              <w:rPr>
                <w:sz w:val="22"/>
                <w:szCs w:val="22"/>
              </w:rPr>
            </w:pPr>
            <w:r w:rsidRPr="00CA4CDA">
              <w:rPr>
                <w:sz w:val="22"/>
                <w:szCs w:val="22"/>
              </w:rPr>
              <w:t>Benefits Payable during Employment</w:t>
            </w:r>
          </w:p>
          <w:p w:rsidRPr="00614894" w:rsidR="004F5E7C" w:rsidP="007B543D" w:rsidRDefault="004F5E7C" w14:paraId="07E2FA74" w14:textId="77777777">
            <w:pPr>
              <w:jc w:val="both"/>
              <w:rPr>
                <w:highlight w:val="yellow"/>
              </w:rPr>
            </w:pPr>
          </w:p>
          <w:p w:rsidRPr="00CA4CDA" w:rsidR="004F5E7C" w:rsidP="007B543D" w:rsidRDefault="004F5E7C" w14:paraId="29AEECCA" w14:textId="77777777">
            <w:pPr>
              <w:jc w:val="both"/>
              <w:rPr>
                <w:rFonts w:cs="Arial"/>
              </w:rPr>
            </w:pPr>
            <w:r w:rsidRPr="00CA4CDA">
              <w:rPr>
                <w:rFonts w:cs="Arial"/>
              </w:rPr>
              <w:t>Short term employee benefits are those due to be settled within 12 months of the year end.  An accrual is made for the cost of holiday entitlements (or any form of leave) earned by employees but not taken before the year end which employees can carry forward into the next financial year.  Holiday benefits are charged to revenue in the financial year in which the holiday absence occurs.</w:t>
            </w:r>
          </w:p>
          <w:p w:rsidRPr="00614894" w:rsidR="004F5E7C" w:rsidP="007B543D" w:rsidRDefault="004F5E7C" w14:paraId="36BEC126" w14:textId="77777777">
            <w:pPr>
              <w:jc w:val="both"/>
              <w:rPr>
                <w:rFonts w:cs="Arial"/>
                <w:highlight w:val="yellow"/>
              </w:rPr>
            </w:pPr>
          </w:p>
          <w:p w:rsidRPr="00CA4CDA" w:rsidR="004F5E7C" w:rsidP="007B543D" w:rsidRDefault="004F5E7C" w14:paraId="4F049862" w14:textId="77777777">
            <w:pPr>
              <w:jc w:val="both"/>
              <w:rPr>
                <w:rFonts w:cs="Arial"/>
                <w:b/>
              </w:rPr>
            </w:pPr>
            <w:r w:rsidRPr="00CA4CDA">
              <w:rPr>
                <w:rFonts w:cs="Arial"/>
                <w:b/>
              </w:rPr>
              <w:t>Termination Benefits</w:t>
            </w:r>
          </w:p>
          <w:p w:rsidRPr="00614894" w:rsidR="00035556" w:rsidP="007B543D" w:rsidRDefault="00035556" w14:paraId="7E56CFAC" w14:textId="77777777">
            <w:pPr>
              <w:jc w:val="both"/>
              <w:rPr>
                <w:rFonts w:cs="Arial"/>
                <w:b/>
                <w:highlight w:val="yellow"/>
              </w:rPr>
            </w:pPr>
          </w:p>
          <w:p w:rsidRPr="00CA4CDA" w:rsidR="004F5E7C" w:rsidP="007B543D" w:rsidRDefault="004F5E7C" w14:paraId="636A0526" w14:textId="2008A635">
            <w:pPr>
              <w:jc w:val="both"/>
              <w:rPr>
                <w:rFonts w:cs="Arial"/>
              </w:rPr>
            </w:pPr>
            <w:r w:rsidRPr="00CA4CDA">
              <w:rPr>
                <w:rFonts w:cs="Arial"/>
              </w:rPr>
              <w:t xml:space="preserve">Termination benefits are amounts payable as a result of a decision by </w:t>
            </w:r>
            <w:r w:rsidRPr="006A70E1" w:rsidR="006A70E1">
              <w:rPr>
                <w:rFonts w:cs="Arial"/>
              </w:rPr>
              <w:t xml:space="preserve">VVC </w:t>
            </w:r>
            <w:r w:rsidRPr="00CA4CDA">
              <w:rPr>
                <w:rFonts w:cs="Arial"/>
              </w:rPr>
              <w:t xml:space="preserve">to terminate an officer’s employment before the normal retirement date or an officer’s decision to accept voluntary redundancy in exchange for those benefits and are charged on an accruals basis to the appropriate service or where applicable to </w:t>
            </w:r>
            <w:proofErr w:type="gramStart"/>
            <w:r w:rsidRPr="00CA4CDA">
              <w:rPr>
                <w:rFonts w:cs="Arial"/>
              </w:rPr>
              <w:t>Non-Distributed</w:t>
            </w:r>
            <w:proofErr w:type="gramEnd"/>
            <w:r w:rsidRPr="00CA4CDA">
              <w:rPr>
                <w:rFonts w:cs="Arial"/>
              </w:rPr>
              <w:t xml:space="preserve"> costs.</w:t>
            </w:r>
          </w:p>
          <w:p w:rsidRPr="00614894" w:rsidR="00FD0433" w:rsidP="007B543D" w:rsidRDefault="00FD0433" w14:paraId="755472D2" w14:textId="77777777">
            <w:pPr>
              <w:jc w:val="both"/>
              <w:rPr>
                <w:rFonts w:cs="Arial"/>
                <w:b/>
                <w:highlight w:val="yellow"/>
              </w:rPr>
            </w:pPr>
          </w:p>
          <w:p w:rsidRPr="00CA4CDA" w:rsidR="004F5E7C" w:rsidP="007B543D" w:rsidRDefault="004F5E7C" w14:paraId="43C5D155" w14:textId="77777777">
            <w:pPr>
              <w:jc w:val="both"/>
              <w:rPr>
                <w:rFonts w:cs="Arial"/>
                <w:b/>
              </w:rPr>
            </w:pPr>
            <w:r w:rsidRPr="00CA4CDA">
              <w:rPr>
                <w:rFonts w:cs="Arial"/>
                <w:b/>
              </w:rPr>
              <w:t>Post-Employment Benefits</w:t>
            </w:r>
          </w:p>
          <w:p w:rsidRPr="00614894" w:rsidR="00035556" w:rsidP="007B543D" w:rsidRDefault="00035556" w14:paraId="16FC8B37" w14:textId="77777777">
            <w:pPr>
              <w:jc w:val="both"/>
              <w:rPr>
                <w:rFonts w:cs="Arial"/>
                <w:b/>
                <w:highlight w:val="yellow"/>
              </w:rPr>
            </w:pPr>
          </w:p>
          <w:p w:rsidRPr="00CA4CDA" w:rsidR="004F5E7C" w:rsidP="007B543D" w:rsidRDefault="004F5E7C" w14:paraId="71756E95" w14:textId="0ABF0B66">
            <w:pPr>
              <w:jc w:val="both"/>
              <w:rPr>
                <w:rFonts w:cs="Arial"/>
              </w:rPr>
            </w:pPr>
            <w:r w:rsidRPr="00CA4CDA">
              <w:rPr>
                <w:rFonts w:cs="Arial"/>
              </w:rPr>
              <w:t>Employees of the Joint Committee are members of the Local Government Pension Scheme, administered by Cardiff County Council Pension Authority.</w:t>
            </w:r>
            <w:r w:rsidR="001D64B2">
              <w:rPr>
                <w:rFonts w:cs="Arial"/>
              </w:rPr>
              <w:t xml:space="preserve"> </w:t>
            </w:r>
            <w:r w:rsidRPr="00CA4CDA">
              <w:rPr>
                <w:rFonts w:cs="Arial"/>
              </w:rPr>
              <w:t>The scheme provides defined benefits to members (retirement lump sums and pensions), earned as employees who worked for the Joint Committee.</w:t>
            </w:r>
          </w:p>
          <w:p w:rsidRPr="00614894" w:rsidR="004F5E7C" w:rsidP="007B543D" w:rsidRDefault="004F5E7C" w14:paraId="41202D69" w14:textId="77777777">
            <w:pPr>
              <w:ind w:left="720"/>
              <w:jc w:val="both"/>
              <w:rPr>
                <w:rFonts w:cs="Arial"/>
                <w:highlight w:val="yellow"/>
              </w:rPr>
            </w:pPr>
          </w:p>
          <w:p w:rsidRPr="00CA4CDA" w:rsidR="004F5E7C" w:rsidP="007B543D" w:rsidRDefault="004F5E7C" w14:paraId="0A7AE28D" w14:textId="77777777">
            <w:pPr>
              <w:pStyle w:val="Heading3"/>
              <w:rPr>
                <w:sz w:val="22"/>
                <w:szCs w:val="22"/>
              </w:rPr>
            </w:pPr>
            <w:r w:rsidRPr="00CA4CDA">
              <w:rPr>
                <w:sz w:val="22"/>
                <w:szCs w:val="22"/>
              </w:rPr>
              <w:lastRenderedPageBreak/>
              <w:t>The Local Government Pension Scheme</w:t>
            </w:r>
          </w:p>
          <w:p w:rsidRPr="00614894" w:rsidR="004F5E7C" w:rsidP="007B543D" w:rsidRDefault="004F5E7C" w14:paraId="2751E0B0" w14:textId="77777777">
            <w:pPr>
              <w:jc w:val="both"/>
              <w:rPr>
                <w:highlight w:val="yellow"/>
              </w:rPr>
            </w:pPr>
          </w:p>
          <w:p w:rsidRPr="00CA4CDA" w:rsidR="004F5E7C" w:rsidP="007B543D" w:rsidRDefault="004F5E7C" w14:paraId="0B2592E3" w14:textId="77777777">
            <w:pPr>
              <w:jc w:val="both"/>
              <w:rPr>
                <w:rFonts w:cs="Arial"/>
                <w:b/>
              </w:rPr>
            </w:pPr>
            <w:r w:rsidRPr="00CA4CDA">
              <w:rPr>
                <w:rFonts w:cs="Arial"/>
                <w:b/>
              </w:rPr>
              <w:t>The Local Government Scheme is Accounted for as a Defined Benefits Scheme</w:t>
            </w:r>
          </w:p>
          <w:p w:rsidRPr="000B3799" w:rsidR="00035556" w:rsidP="007B543D" w:rsidRDefault="00035556" w14:paraId="3B80C4DD" w14:textId="77777777">
            <w:pPr>
              <w:jc w:val="both"/>
              <w:rPr>
                <w:rFonts w:cs="Arial"/>
                <w:b/>
              </w:rPr>
            </w:pPr>
          </w:p>
          <w:p w:rsidRPr="000B3799" w:rsidR="004F5E7C" w:rsidP="007B543D" w:rsidRDefault="004F5E7C" w14:paraId="560D272E" w14:textId="77777777">
            <w:pPr>
              <w:pStyle w:val="ListParagraph"/>
              <w:numPr>
                <w:ilvl w:val="0"/>
                <w:numId w:val="1"/>
              </w:numPr>
              <w:jc w:val="both"/>
              <w:rPr>
                <w:rFonts w:cs="Arial"/>
              </w:rPr>
            </w:pPr>
            <w:r w:rsidRPr="000B3799">
              <w:rPr>
                <w:rFonts w:cs="Arial"/>
              </w:rPr>
              <w:t>The liabilities of the Cardiff and Vale Pension Fund attributable to the Joint Committee are included in the Balance Sheet on an actuarial basis using the projected unit method – i.e. an assessment of the future payments that will be made in relation to retirement benefits earned to date by employees, based on assumptions about mortality rates, employee turnover rates etc., plus projections of projected earnings for current employees.</w:t>
            </w:r>
          </w:p>
          <w:p w:rsidRPr="000B3799" w:rsidR="004F5E7C" w:rsidP="007B543D" w:rsidRDefault="004F5E7C" w14:paraId="51A4E1D5" w14:textId="77777777">
            <w:pPr>
              <w:pStyle w:val="ListParagraph"/>
              <w:numPr>
                <w:ilvl w:val="0"/>
                <w:numId w:val="1"/>
              </w:numPr>
              <w:jc w:val="both"/>
              <w:rPr>
                <w:rFonts w:cs="Arial"/>
              </w:rPr>
            </w:pPr>
            <w:r w:rsidRPr="000B3799">
              <w:rPr>
                <w:rFonts w:cs="Arial"/>
              </w:rPr>
              <w:t>Liabilities are discounted to their value at current prices, using a discount rate.</w:t>
            </w:r>
          </w:p>
          <w:p w:rsidRPr="000B3799" w:rsidR="004F5E7C" w:rsidP="007B543D" w:rsidRDefault="004F5E7C" w14:paraId="3D788537" w14:textId="5E250798">
            <w:pPr>
              <w:pStyle w:val="ListParagraph"/>
              <w:numPr>
                <w:ilvl w:val="0"/>
                <w:numId w:val="1"/>
              </w:numPr>
              <w:jc w:val="both"/>
              <w:rPr>
                <w:rFonts w:cs="Arial"/>
              </w:rPr>
            </w:pPr>
            <w:r w:rsidRPr="000B3799">
              <w:rPr>
                <w:rFonts w:cs="Arial"/>
              </w:rPr>
              <w:t xml:space="preserve">The assets of the Cardiff and Vale Pension Fund attributable to </w:t>
            </w:r>
            <w:r w:rsidRPr="006A70E1" w:rsidR="006A70E1">
              <w:rPr>
                <w:rFonts w:cs="Arial"/>
              </w:rPr>
              <w:t xml:space="preserve">VVC </w:t>
            </w:r>
            <w:r w:rsidRPr="000B3799">
              <w:rPr>
                <w:rFonts w:cs="Arial"/>
              </w:rPr>
              <w:t>are included in the Balance Sheet at their fair value.</w:t>
            </w:r>
          </w:p>
          <w:p w:rsidRPr="000B3799" w:rsidR="004F5E7C" w:rsidP="007B543D" w:rsidRDefault="004F5E7C" w14:paraId="539B6AD7" w14:textId="42C8FB86">
            <w:pPr>
              <w:pStyle w:val="ListParagraph"/>
              <w:numPr>
                <w:ilvl w:val="0"/>
                <w:numId w:val="1"/>
              </w:numPr>
              <w:jc w:val="both"/>
              <w:rPr>
                <w:rFonts w:cs="Arial"/>
              </w:rPr>
            </w:pPr>
            <w:r w:rsidRPr="000B3799">
              <w:rPr>
                <w:rFonts w:cs="Arial"/>
              </w:rPr>
              <w:t xml:space="preserve">The actuarial valuation carried out </w:t>
            </w:r>
            <w:proofErr w:type="gramStart"/>
            <w:r w:rsidRPr="000B3799">
              <w:rPr>
                <w:rFonts w:cs="Arial"/>
              </w:rPr>
              <w:t>at</w:t>
            </w:r>
            <w:proofErr w:type="gramEnd"/>
            <w:r w:rsidRPr="000B3799">
              <w:rPr>
                <w:rFonts w:cs="Arial"/>
              </w:rPr>
              <w:t xml:space="preserve"> 31</w:t>
            </w:r>
            <w:r w:rsidRPr="000B3799">
              <w:rPr>
                <w:rFonts w:cs="Arial"/>
                <w:vertAlign w:val="superscript"/>
              </w:rPr>
              <w:t>st</w:t>
            </w:r>
            <w:r w:rsidRPr="000B3799" w:rsidR="00134E79">
              <w:rPr>
                <w:rFonts w:cs="Arial"/>
              </w:rPr>
              <w:t xml:space="preserve"> March 2019</w:t>
            </w:r>
            <w:r w:rsidRPr="000B3799">
              <w:rPr>
                <w:rFonts w:cs="Arial"/>
              </w:rPr>
              <w:t xml:space="preserve"> used the roll-f</w:t>
            </w:r>
            <w:r w:rsidRPr="000B3799" w:rsidR="008C0C83">
              <w:rPr>
                <w:rFonts w:cs="Arial"/>
              </w:rPr>
              <w:t>orward method to 31st March 202</w:t>
            </w:r>
            <w:r w:rsidRPr="000B3799" w:rsidR="000B3799">
              <w:rPr>
                <w:rFonts w:cs="Arial"/>
              </w:rPr>
              <w:t>3</w:t>
            </w:r>
            <w:r w:rsidRPr="000B3799">
              <w:rPr>
                <w:rFonts w:cs="Arial"/>
              </w:rPr>
              <w:t>.</w:t>
            </w:r>
          </w:p>
          <w:p w:rsidRPr="000B3799" w:rsidR="004F5E7C" w:rsidP="007B543D" w:rsidRDefault="004F5E7C" w14:paraId="0C5EAE79" w14:textId="77777777">
            <w:pPr>
              <w:ind w:left="709"/>
              <w:jc w:val="both"/>
              <w:rPr>
                <w:rFonts w:cs="Arial"/>
              </w:rPr>
            </w:pPr>
            <w:r w:rsidRPr="000B3799">
              <w:rPr>
                <w:rFonts w:cs="Arial"/>
              </w:rPr>
              <w:t>The change in the net pension’s liability is analysed into the following components.</w:t>
            </w:r>
          </w:p>
          <w:p w:rsidRPr="000B3799" w:rsidR="004F5E7C" w:rsidP="007B543D" w:rsidRDefault="004F5E7C" w14:paraId="27580ECE" w14:textId="77777777">
            <w:pPr>
              <w:ind w:left="709"/>
              <w:jc w:val="both"/>
              <w:rPr>
                <w:rFonts w:cs="Arial"/>
              </w:rPr>
            </w:pPr>
          </w:p>
          <w:p w:rsidRPr="000B3799" w:rsidR="004F5E7C" w:rsidP="007B543D" w:rsidRDefault="004F5E7C" w14:paraId="783CCD2C" w14:textId="77777777">
            <w:pPr>
              <w:jc w:val="both"/>
              <w:rPr>
                <w:rFonts w:cs="Arial"/>
                <w:b/>
              </w:rPr>
            </w:pPr>
            <w:r w:rsidRPr="000B3799">
              <w:rPr>
                <w:rFonts w:cs="Arial"/>
                <w:b/>
              </w:rPr>
              <w:t>Service Cost Comprising of</w:t>
            </w:r>
          </w:p>
          <w:p w:rsidRPr="00614894" w:rsidR="00035556" w:rsidP="007B543D" w:rsidRDefault="00035556" w14:paraId="4F98171B" w14:textId="77777777">
            <w:pPr>
              <w:jc w:val="both"/>
              <w:rPr>
                <w:rFonts w:cs="Arial"/>
                <w:b/>
                <w:highlight w:val="yellow"/>
              </w:rPr>
            </w:pPr>
          </w:p>
          <w:p w:rsidRPr="000B3799" w:rsidR="004F5E7C" w:rsidP="007B543D" w:rsidRDefault="004F5E7C" w14:paraId="18BB460C" w14:textId="77777777">
            <w:pPr>
              <w:pStyle w:val="ListParagraph"/>
              <w:numPr>
                <w:ilvl w:val="0"/>
                <w:numId w:val="1"/>
              </w:numPr>
              <w:jc w:val="both"/>
              <w:rPr>
                <w:rFonts w:cs="Arial"/>
              </w:rPr>
            </w:pPr>
            <w:r w:rsidRPr="000B3799">
              <w:rPr>
                <w:rFonts w:cs="Arial"/>
                <w:b/>
              </w:rPr>
              <w:t>Current Service Cost</w:t>
            </w:r>
            <w:r w:rsidRPr="000B3799">
              <w:rPr>
                <w:rFonts w:cs="Arial"/>
              </w:rPr>
              <w:t xml:space="preserve"> – the increase in liabilities as a result of a year of service earned this year – allocated in the Comprehensive Income and Expenditure Statement to the service(s) to which the employee worked.</w:t>
            </w:r>
          </w:p>
          <w:p w:rsidRPr="000B3799" w:rsidR="004F5E7C" w:rsidP="007B543D" w:rsidRDefault="004F5E7C" w14:paraId="637AE8AA" w14:textId="77777777">
            <w:pPr>
              <w:pStyle w:val="ListParagraph"/>
              <w:numPr>
                <w:ilvl w:val="0"/>
                <w:numId w:val="1"/>
              </w:numPr>
              <w:jc w:val="both"/>
              <w:rPr>
                <w:rFonts w:cs="Arial"/>
              </w:rPr>
            </w:pPr>
            <w:r w:rsidRPr="000B3799">
              <w:rPr>
                <w:rFonts w:cs="Arial"/>
                <w:b/>
              </w:rPr>
              <w:t>Past Service Cost</w:t>
            </w:r>
            <w:r w:rsidRPr="000B3799">
              <w:rPr>
                <w:rFonts w:cs="Arial"/>
              </w:rPr>
              <w:t xml:space="preserve"> – the increase in liabilities as a result of the scheme amendment of curtailment whose effect relates to years of service earned in earlier years.  Debited to the surplus or deficit of services in the Comprehensive Income and Expenditure Statement as part of the Non-Distributed Costs.</w:t>
            </w:r>
          </w:p>
          <w:p w:rsidRPr="000B3799" w:rsidR="004F5E7C" w:rsidP="007B543D" w:rsidRDefault="004F5E7C" w14:paraId="7D3CA556" w14:textId="3510C5D9">
            <w:pPr>
              <w:pStyle w:val="ListParagraph"/>
              <w:numPr>
                <w:ilvl w:val="0"/>
                <w:numId w:val="1"/>
              </w:numPr>
              <w:jc w:val="both"/>
              <w:rPr>
                <w:rFonts w:cs="Arial"/>
              </w:rPr>
            </w:pPr>
            <w:r w:rsidRPr="000B3799">
              <w:rPr>
                <w:rFonts w:cs="Arial"/>
                <w:b/>
              </w:rPr>
              <w:t xml:space="preserve">Net Interest </w:t>
            </w:r>
            <w:r w:rsidRPr="000B3799">
              <w:rPr>
                <w:rFonts w:cs="Arial"/>
              </w:rPr>
              <w:t>on the net defined benefit liability (asset), i.e.</w:t>
            </w:r>
            <w:r w:rsidR="001D64B2">
              <w:rPr>
                <w:rFonts w:cs="Arial"/>
              </w:rPr>
              <w:t>,</w:t>
            </w:r>
            <w:r w:rsidRPr="000B3799">
              <w:rPr>
                <w:rFonts w:cs="Arial"/>
              </w:rPr>
              <w:t xml:space="preserve"> net increase expense for </w:t>
            </w:r>
            <w:r w:rsidRPr="006A70E1" w:rsidR="006A70E1">
              <w:rPr>
                <w:rFonts w:cs="Arial"/>
              </w:rPr>
              <w:t>VVC</w:t>
            </w:r>
            <w:r w:rsidR="001D64B2">
              <w:rPr>
                <w:rFonts w:cs="Arial"/>
              </w:rPr>
              <w:t xml:space="preserve"> </w:t>
            </w:r>
            <w:r w:rsidRPr="000B3799">
              <w:rPr>
                <w:rFonts w:cs="Arial"/>
              </w:rPr>
              <w:t xml:space="preserve">– the change during the period in the net defined benefit liability (asset) that arises from the passage of time charged to the Financing and Investment Income and Expenditure line of the Comprehensive Income and Expenditure Statement.  This is calculated by applying the discount rate used to measure the defined benefit obligation at the beginning of the period to the net defined liability (asset) at the beginning of the period, </w:t>
            </w:r>
            <w:proofErr w:type="gramStart"/>
            <w:r w:rsidRPr="000B3799">
              <w:rPr>
                <w:rFonts w:cs="Arial"/>
              </w:rPr>
              <w:t>taking</w:t>
            </w:r>
            <w:r w:rsidR="001D64B2">
              <w:rPr>
                <w:rFonts w:cs="Arial"/>
              </w:rPr>
              <w:t xml:space="preserve"> </w:t>
            </w:r>
            <w:r w:rsidRPr="000B3799">
              <w:rPr>
                <w:rFonts w:cs="Arial"/>
              </w:rPr>
              <w:t>into account</w:t>
            </w:r>
            <w:proofErr w:type="gramEnd"/>
            <w:r w:rsidRPr="000B3799">
              <w:rPr>
                <w:rFonts w:cs="Arial"/>
              </w:rPr>
              <w:t xml:space="preserve"> any changes in the net defined benefit (asset) during the period as a result of contribution and benefit payments.</w:t>
            </w:r>
          </w:p>
          <w:p w:rsidRPr="00614894" w:rsidR="004F5E7C" w:rsidP="007B543D" w:rsidRDefault="004F5E7C" w14:paraId="1A9FBD72" w14:textId="77777777">
            <w:pPr>
              <w:pStyle w:val="ListParagraph"/>
              <w:jc w:val="both"/>
              <w:rPr>
                <w:rFonts w:cs="Arial"/>
                <w:highlight w:val="yellow"/>
              </w:rPr>
            </w:pPr>
          </w:p>
          <w:p w:rsidRPr="000B3799" w:rsidR="004F5E7C" w:rsidP="007B543D" w:rsidRDefault="004F5E7C" w14:paraId="7D3372C9" w14:textId="77777777">
            <w:pPr>
              <w:pStyle w:val="Heading3"/>
              <w:rPr>
                <w:sz w:val="22"/>
                <w:szCs w:val="22"/>
              </w:rPr>
            </w:pPr>
            <w:r w:rsidRPr="000B3799">
              <w:rPr>
                <w:sz w:val="22"/>
                <w:szCs w:val="22"/>
              </w:rPr>
              <w:t>Re-measurements Comprising of</w:t>
            </w:r>
          </w:p>
          <w:p w:rsidRPr="00614894" w:rsidR="004F5E7C" w:rsidP="007B543D" w:rsidRDefault="004F5E7C" w14:paraId="39C787F3" w14:textId="77777777">
            <w:pPr>
              <w:jc w:val="both"/>
              <w:rPr>
                <w:highlight w:val="yellow"/>
              </w:rPr>
            </w:pPr>
          </w:p>
          <w:p w:rsidRPr="000B3799" w:rsidR="004F5E7C" w:rsidP="007B543D" w:rsidRDefault="004F5E7C" w14:paraId="36B743BA" w14:textId="77777777">
            <w:pPr>
              <w:pStyle w:val="ListParagraph"/>
              <w:numPr>
                <w:ilvl w:val="0"/>
                <w:numId w:val="1"/>
              </w:numPr>
              <w:jc w:val="both"/>
              <w:rPr>
                <w:rFonts w:cs="Arial"/>
              </w:rPr>
            </w:pPr>
            <w:r w:rsidRPr="000B3799">
              <w:rPr>
                <w:rFonts w:cs="Arial"/>
              </w:rPr>
              <w:t xml:space="preserve">The return on plan assets, excluded in net interest on the net defined liability (asset), charged to the Pensions </w:t>
            </w:r>
            <w:r w:rsidRPr="000B3799">
              <w:rPr>
                <w:rFonts w:cs="Arial"/>
              </w:rPr>
              <w:lastRenderedPageBreak/>
              <w:t>Reserve as Other Comprehensive Income and Expenditure.</w:t>
            </w:r>
          </w:p>
          <w:p w:rsidRPr="000B3799" w:rsidR="004F5E7C" w:rsidP="007B543D" w:rsidRDefault="004F5E7C" w14:paraId="2FAE173B" w14:textId="77777777">
            <w:pPr>
              <w:pStyle w:val="ListParagraph"/>
              <w:numPr>
                <w:ilvl w:val="0"/>
                <w:numId w:val="1"/>
              </w:numPr>
              <w:jc w:val="both"/>
              <w:rPr>
                <w:rFonts w:cs="Arial"/>
              </w:rPr>
            </w:pPr>
            <w:r w:rsidRPr="000B3799">
              <w:rPr>
                <w:rFonts w:cs="Arial"/>
              </w:rPr>
              <w:t>Actuarial gains and losses, changes in the net pension’s liability that arise because events have not coincided with assumptions made at the last actuarial valuation or because the actuaries have updated their assumptions.  This is charged to the Pensions Reserve as Other Comprehensive Income and Expenditure.</w:t>
            </w:r>
          </w:p>
          <w:p w:rsidRPr="000B3799" w:rsidR="004F5E7C" w:rsidP="007B543D" w:rsidRDefault="004F5E7C" w14:paraId="44BDF20C" w14:textId="5F82F178">
            <w:pPr>
              <w:pStyle w:val="ListParagraph"/>
              <w:jc w:val="both"/>
              <w:rPr>
                <w:rFonts w:cs="Arial"/>
              </w:rPr>
            </w:pPr>
            <w:r w:rsidRPr="000B3799">
              <w:rPr>
                <w:rFonts w:cs="Arial"/>
              </w:rPr>
              <w:t xml:space="preserve">Statutory provisions require the </w:t>
            </w:r>
            <w:r w:rsidRPr="000B3799" w:rsidR="00FD0433">
              <w:rPr>
                <w:rFonts w:cs="Arial"/>
              </w:rPr>
              <w:t xml:space="preserve">Joint Committee </w:t>
            </w:r>
            <w:r w:rsidRPr="000B3799">
              <w:rPr>
                <w:rFonts w:cs="Arial"/>
              </w:rPr>
              <w:t xml:space="preserve">Fund balance be charged with the amount payable by </w:t>
            </w:r>
            <w:r w:rsidRPr="006A70E1" w:rsidR="006A70E1">
              <w:rPr>
                <w:rFonts w:cs="Arial"/>
              </w:rPr>
              <w:t xml:space="preserve">VVC </w:t>
            </w:r>
            <w:r w:rsidRPr="000B3799">
              <w:rPr>
                <w:rFonts w:cs="Arial"/>
              </w:rPr>
              <w:t>to the pension fund or directly to pensioners in the year in relation to retirement benefits.</w:t>
            </w:r>
          </w:p>
          <w:p w:rsidRPr="00614894" w:rsidR="004F5E7C" w:rsidP="007B543D" w:rsidRDefault="004F5E7C" w14:paraId="45FB985E" w14:textId="77777777">
            <w:pPr>
              <w:pStyle w:val="ListParagraph"/>
              <w:jc w:val="both"/>
              <w:rPr>
                <w:rFonts w:cs="Arial"/>
                <w:highlight w:val="yellow"/>
              </w:rPr>
            </w:pPr>
          </w:p>
          <w:p w:rsidRPr="000B3799" w:rsidR="004F5E7C" w:rsidP="007B543D" w:rsidRDefault="004F5E7C" w14:paraId="6011181A" w14:textId="77777777">
            <w:pPr>
              <w:pStyle w:val="Heading3"/>
              <w:rPr>
                <w:sz w:val="22"/>
                <w:szCs w:val="22"/>
              </w:rPr>
            </w:pPr>
            <w:r w:rsidRPr="000B3799">
              <w:rPr>
                <w:sz w:val="22"/>
                <w:szCs w:val="22"/>
              </w:rPr>
              <w:t>Discretionary Benefits</w:t>
            </w:r>
          </w:p>
          <w:p w:rsidRPr="006D6417" w:rsidR="00035556" w:rsidP="007B543D" w:rsidRDefault="00035556" w14:paraId="0AD68201" w14:textId="77777777">
            <w:pPr>
              <w:jc w:val="both"/>
            </w:pPr>
          </w:p>
          <w:p w:rsidRPr="000B3799" w:rsidR="004F5E7C" w:rsidP="007B543D" w:rsidRDefault="006A70E1" w14:paraId="62460AB2" w14:textId="3D76680E">
            <w:pPr>
              <w:jc w:val="both"/>
              <w:rPr>
                <w:rFonts w:cs="Arial"/>
              </w:rPr>
            </w:pPr>
            <w:r w:rsidRPr="006D6417">
              <w:rPr>
                <w:rFonts w:cs="Arial"/>
              </w:rPr>
              <w:t xml:space="preserve">VVC </w:t>
            </w:r>
            <w:r w:rsidRPr="006D6417" w:rsidR="004F5E7C">
              <w:rPr>
                <w:rFonts w:cs="Arial"/>
              </w:rPr>
              <w:t>also has restricted powers to make discretionary awards of retirements benefits in the event of early retirements.</w:t>
            </w:r>
          </w:p>
          <w:p w:rsidRPr="00614894" w:rsidR="004F5E7C" w:rsidP="007B543D" w:rsidRDefault="004F5E7C" w14:paraId="3415408E" w14:textId="77777777">
            <w:pPr>
              <w:jc w:val="both"/>
              <w:rPr>
                <w:sz w:val="24"/>
                <w:szCs w:val="24"/>
                <w:highlight w:val="yellow"/>
              </w:rPr>
            </w:pPr>
          </w:p>
        </w:tc>
      </w:tr>
      <w:tr w:rsidRPr="00614894" w:rsidR="004F5E7C" w:rsidTr="004F5E7C" w14:paraId="7A661845" w14:textId="77777777">
        <w:tc>
          <w:tcPr>
            <w:tcW w:w="562" w:type="dxa"/>
          </w:tcPr>
          <w:p w:rsidRPr="000B3799" w:rsidR="004F5E7C" w:rsidP="004F5E7C" w:rsidRDefault="004F5E7C" w14:paraId="5CE25E0F" w14:textId="77777777">
            <w:r w:rsidRPr="000B3799">
              <w:lastRenderedPageBreak/>
              <w:t>(g)</w:t>
            </w:r>
          </w:p>
        </w:tc>
        <w:tc>
          <w:tcPr>
            <w:tcW w:w="2127" w:type="dxa"/>
          </w:tcPr>
          <w:p w:rsidRPr="000B3799" w:rsidR="004F5E7C" w:rsidP="004F5E7C" w:rsidRDefault="004F5E7C" w14:paraId="733F5F34" w14:textId="77777777">
            <w:pPr>
              <w:rPr>
                <w:b/>
              </w:rPr>
            </w:pPr>
            <w:r w:rsidRPr="000B3799">
              <w:rPr>
                <w:b/>
              </w:rPr>
              <w:t>Events After the Balance Sheet Date</w:t>
            </w:r>
          </w:p>
        </w:tc>
        <w:tc>
          <w:tcPr>
            <w:tcW w:w="6327" w:type="dxa"/>
          </w:tcPr>
          <w:p w:rsidRPr="000B3799" w:rsidR="004F5E7C" w:rsidP="007B543D" w:rsidRDefault="004F5E7C" w14:paraId="61345476" w14:textId="77777777">
            <w:pPr>
              <w:jc w:val="both"/>
              <w:rPr>
                <w:rFonts w:cs="Arial"/>
              </w:rPr>
            </w:pPr>
            <w:r w:rsidRPr="000B3799">
              <w:rPr>
                <w:rFonts w:cs="Arial"/>
              </w:rPr>
              <w:t>These are events, both favourable and unfavourable that occur between the end of the reporting period and the date when the Statement of Accounts is authorised for issue.  Such events could result in the Statement of Accounts being adjusted.  Two types of events can be identified:</w:t>
            </w:r>
          </w:p>
          <w:p w:rsidRPr="00614894" w:rsidR="004F5E7C" w:rsidP="007B543D" w:rsidRDefault="004F5E7C" w14:paraId="2F991566" w14:textId="77777777">
            <w:pPr>
              <w:pStyle w:val="ListParagraph"/>
              <w:jc w:val="both"/>
              <w:rPr>
                <w:rFonts w:cs="Arial"/>
                <w:highlight w:val="yellow"/>
              </w:rPr>
            </w:pPr>
          </w:p>
          <w:p w:rsidRPr="000B3799" w:rsidR="004F5E7C" w:rsidP="007B543D" w:rsidRDefault="004F5E7C" w14:paraId="1ED6BE6D" w14:textId="77777777">
            <w:pPr>
              <w:pStyle w:val="ListParagraph"/>
              <w:numPr>
                <w:ilvl w:val="0"/>
                <w:numId w:val="1"/>
              </w:numPr>
              <w:jc w:val="both"/>
              <w:rPr>
                <w:rFonts w:cs="Arial"/>
              </w:rPr>
            </w:pPr>
            <w:r w:rsidRPr="000B3799">
              <w:rPr>
                <w:rFonts w:cs="Arial"/>
              </w:rPr>
              <w:t xml:space="preserve">Those that provide evidence of conditions that existed at the end of the reporting period. The Statement of Accounts is adjusted to reflect such events; and </w:t>
            </w:r>
          </w:p>
          <w:p w:rsidRPr="000B3799" w:rsidR="004F5E7C" w:rsidP="007B543D" w:rsidRDefault="004F5E7C" w14:paraId="2F54234E" w14:textId="77777777">
            <w:pPr>
              <w:pStyle w:val="ListParagraph"/>
              <w:numPr>
                <w:ilvl w:val="0"/>
                <w:numId w:val="1"/>
              </w:numPr>
              <w:jc w:val="both"/>
              <w:rPr>
                <w:rFonts w:cs="Arial"/>
              </w:rPr>
            </w:pPr>
            <w:r w:rsidRPr="000B3799">
              <w:rPr>
                <w:rFonts w:cs="Arial"/>
              </w:rPr>
              <w:t>Those that are indicative of conditions that arose after the reporting period, the Statement of Accounts is then adjusted to reflect such events, but where a category of events would have a material effect, disclosure is made in the notes of the nature of the events and their estimated financial effect.</w:t>
            </w:r>
          </w:p>
          <w:p w:rsidRPr="00614894" w:rsidR="004F5E7C" w:rsidP="007B543D" w:rsidRDefault="004F5E7C" w14:paraId="49DB3AA8" w14:textId="77777777">
            <w:pPr>
              <w:jc w:val="both"/>
              <w:rPr>
                <w:highlight w:val="yellow"/>
              </w:rPr>
            </w:pPr>
          </w:p>
        </w:tc>
      </w:tr>
      <w:tr w:rsidRPr="00614894" w:rsidR="004F5E7C" w:rsidTr="004F5E7C" w14:paraId="5619417F" w14:textId="77777777">
        <w:tc>
          <w:tcPr>
            <w:tcW w:w="562" w:type="dxa"/>
          </w:tcPr>
          <w:p w:rsidRPr="000B3799" w:rsidR="004F5E7C" w:rsidP="004F5E7C" w:rsidRDefault="008E1DD7" w14:paraId="39BDF5B8" w14:textId="77777777">
            <w:r w:rsidRPr="000B3799">
              <w:t>(h)</w:t>
            </w:r>
          </w:p>
        </w:tc>
        <w:tc>
          <w:tcPr>
            <w:tcW w:w="2127" w:type="dxa"/>
          </w:tcPr>
          <w:p w:rsidRPr="000B3799" w:rsidR="004F5E7C" w:rsidP="004F5E7C" w:rsidRDefault="008E1DD7" w14:paraId="478867FD" w14:textId="77777777">
            <w:pPr>
              <w:rPr>
                <w:b/>
              </w:rPr>
            </w:pPr>
            <w:r w:rsidRPr="000B3799">
              <w:rPr>
                <w:b/>
              </w:rPr>
              <w:t>Government Grants and Contributions</w:t>
            </w:r>
          </w:p>
        </w:tc>
        <w:tc>
          <w:tcPr>
            <w:tcW w:w="6327" w:type="dxa"/>
          </w:tcPr>
          <w:p w:rsidRPr="00A550B9" w:rsidR="008E1DD7" w:rsidP="007B543D" w:rsidRDefault="008E1DD7" w14:paraId="570A2E13" w14:textId="0282A44D">
            <w:pPr>
              <w:jc w:val="both"/>
              <w:rPr>
                <w:rFonts w:cs="Arial"/>
              </w:rPr>
            </w:pPr>
            <w:r w:rsidRPr="00A550B9">
              <w:rPr>
                <w:rFonts w:cs="Arial"/>
              </w:rPr>
              <w:t xml:space="preserve">Government Grants, Third Party Contributions and Donations are recognised as due to </w:t>
            </w:r>
            <w:r w:rsidRPr="006A70E1" w:rsidR="006A70E1">
              <w:rPr>
                <w:rFonts w:cs="Arial"/>
              </w:rPr>
              <w:t xml:space="preserve">VVC </w:t>
            </w:r>
            <w:r w:rsidRPr="00A550B9">
              <w:rPr>
                <w:rFonts w:cs="Arial"/>
              </w:rPr>
              <w:t>when there is reasonable assurance that:</w:t>
            </w:r>
          </w:p>
          <w:p w:rsidRPr="00614894" w:rsidR="008E1DD7" w:rsidP="007B543D" w:rsidRDefault="008E1DD7" w14:paraId="3C966E96" w14:textId="77777777">
            <w:pPr>
              <w:pStyle w:val="ListParagraph"/>
              <w:jc w:val="both"/>
              <w:rPr>
                <w:rFonts w:cs="Arial"/>
                <w:highlight w:val="yellow"/>
              </w:rPr>
            </w:pPr>
          </w:p>
          <w:p w:rsidRPr="00A550B9" w:rsidR="008E1DD7" w:rsidP="007B543D" w:rsidRDefault="006A70E1" w14:paraId="721D489B" w14:textId="68E5CED3">
            <w:pPr>
              <w:pStyle w:val="ListParagraph"/>
              <w:numPr>
                <w:ilvl w:val="0"/>
                <w:numId w:val="1"/>
              </w:numPr>
              <w:jc w:val="both"/>
              <w:rPr>
                <w:rFonts w:cs="Arial"/>
              </w:rPr>
            </w:pPr>
            <w:r w:rsidRPr="006A70E1">
              <w:rPr>
                <w:rFonts w:cs="Arial"/>
              </w:rPr>
              <w:t xml:space="preserve">VVC </w:t>
            </w:r>
            <w:r w:rsidRPr="00A550B9" w:rsidR="008E1DD7">
              <w:rPr>
                <w:rFonts w:cs="Arial"/>
              </w:rPr>
              <w:t>will comply with the conditions attached to the payments; and</w:t>
            </w:r>
          </w:p>
          <w:p w:rsidRPr="00A550B9" w:rsidR="008E1DD7" w:rsidP="007B543D" w:rsidRDefault="008E1DD7" w14:paraId="68775386" w14:textId="77777777">
            <w:pPr>
              <w:pStyle w:val="ListParagraph"/>
              <w:numPr>
                <w:ilvl w:val="0"/>
                <w:numId w:val="1"/>
              </w:numPr>
              <w:jc w:val="both"/>
              <w:rPr>
                <w:rFonts w:cs="Arial"/>
              </w:rPr>
            </w:pPr>
            <w:r w:rsidRPr="00A550B9">
              <w:rPr>
                <w:rFonts w:cs="Arial"/>
              </w:rPr>
              <w:t>The grant(s) or contributions will be received.</w:t>
            </w:r>
          </w:p>
          <w:p w:rsidRPr="00614894" w:rsidR="008E1DD7" w:rsidP="007B543D" w:rsidRDefault="008E1DD7" w14:paraId="44CC2734" w14:textId="77777777">
            <w:pPr>
              <w:pStyle w:val="ListParagraph"/>
              <w:jc w:val="both"/>
              <w:rPr>
                <w:rFonts w:cs="Arial"/>
                <w:highlight w:val="yellow"/>
              </w:rPr>
            </w:pPr>
          </w:p>
          <w:p w:rsidRPr="00614894" w:rsidR="004F5E7C" w:rsidP="007B543D" w:rsidRDefault="008E1DD7" w14:paraId="6708C277" w14:textId="77777777">
            <w:pPr>
              <w:jc w:val="both"/>
              <w:rPr>
                <w:rFonts w:cs="Arial"/>
                <w:highlight w:val="yellow"/>
              </w:rPr>
            </w:pPr>
            <w:r w:rsidRPr="00A550B9">
              <w:rPr>
                <w:rFonts w:cs="Arial"/>
              </w:rPr>
              <w:t>Grants and contributions advanced for which conditions have not been satisfied are carried in the Balance Sheet as creditors.  Once conditions are satisfied, the grants or contributions are credited to the Comprehensive Income and Expenditure Statement.</w:t>
            </w:r>
          </w:p>
        </w:tc>
      </w:tr>
      <w:tr w:rsidRPr="00614894" w:rsidR="008E1DD7" w:rsidTr="004F5E7C" w14:paraId="0EE34757" w14:textId="77777777">
        <w:tc>
          <w:tcPr>
            <w:tcW w:w="562" w:type="dxa"/>
          </w:tcPr>
          <w:p w:rsidRPr="009E1E11" w:rsidR="008E1DD7" w:rsidP="004F5E7C" w:rsidRDefault="008E1DD7" w14:paraId="312E1188" w14:textId="77777777">
            <w:r w:rsidRPr="009E1E11">
              <w:t>(j)</w:t>
            </w:r>
          </w:p>
        </w:tc>
        <w:tc>
          <w:tcPr>
            <w:tcW w:w="2127" w:type="dxa"/>
          </w:tcPr>
          <w:p w:rsidRPr="009E1E11" w:rsidR="008E1DD7" w:rsidP="004F5E7C" w:rsidRDefault="008E1DD7" w14:paraId="4F63604D" w14:textId="77777777">
            <w:pPr>
              <w:rPr>
                <w:b/>
              </w:rPr>
            </w:pPr>
            <w:r w:rsidRPr="009E1E11">
              <w:rPr>
                <w:b/>
              </w:rPr>
              <w:t>Leases</w:t>
            </w:r>
          </w:p>
        </w:tc>
        <w:tc>
          <w:tcPr>
            <w:tcW w:w="6327" w:type="dxa"/>
          </w:tcPr>
          <w:p w:rsidRPr="006109A0" w:rsidR="008E1DD7" w:rsidP="007B543D" w:rsidRDefault="006A70E1" w14:paraId="32725845" w14:textId="533C5EFA">
            <w:pPr>
              <w:jc w:val="both"/>
              <w:rPr>
                <w:rFonts w:cs="Arial"/>
              </w:rPr>
            </w:pPr>
            <w:r w:rsidRPr="006A70E1">
              <w:rPr>
                <w:rFonts w:cs="Arial"/>
              </w:rPr>
              <w:t xml:space="preserve">VVC </w:t>
            </w:r>
            <w:r w:rsidRPr="006109A0" w:rsidR="008E1DD7">
              <w:rPr>
                <w:rFonts w:cs="Arial"/>
              </w:rPr>
              <w:t>does not have any operating or finance le</w:t>
            </w:r>
            <w:r w:rsidRPr="006109A0" w:rsidR="001F67CC">
              <w:rPr>
                <w:rFonts w:cs="Arial"/>
              </w:rPr>
              <w:t>ases in 202</w:t>
            </w:r>
            <w:r w:rsidRPr="006109A0" w:rsidR="005A13F8">
              <w:rPr>
                <w:rFonts w:cs="Arial"/>
              </w:rPr>
              <w:t>2</w:t>
            </w:r>
            <w:r w:rsidRPr="006109A0" w:rsidR="001F67CC">
              <w:rPr>
                <w:rFonts w:cs="Arial"/>
              </w:rPr>
              <w:t>/2</w:t>
            </w:r>
            <w:r w:rsidRPr="006109A0" w:rsidR="005A13F8">
              <w:rPr>
                <w:rFonts w:cs="Arial"/>
              </w:rPr>
              <w:t>3</w:t>
            </w:r>
            <w:r w:rsidRPr="006109A0" w:rsidR="008E1DD7">
              <w:rPr>
                <w:rFonts w:cs="Arial"/>
              </w:rPr>
              <w:t>.</w:t>
            </w:r>
          </w:p>
          <w:p w:rsidRPr="00614894" w:rsidR="008E1DD7" w:rsidP="007B543D" w:rsidRDefault="008E1DD7" w14:paraId="67B110ED" w14:textId="77777777">
            <w:pPr>
              <w:jc w:val="both"/>
              <w:rPr>
                <w:rFonts w:cs="Arial"/>
                <w:highlight w:val="yellow"/>
              </w:rPr>
            </w:pPr>
          </w:p>
        </w:tc>
      </w:tr>
      <w:tr w:rsidRPr="00614894" w:rsidR="008E1DD7" w:rsidTr="004F5E7C" w14:paraId="03F4557B" w14:textId="77777777">
        <w:tc>
          <w:tcPr>
            <w:tcW w:w="562" w:type="dxa"/>
          </w:tcPr>
          <w:p w:rsidRPr="00614894" w:rsidR="008E1DD7" w:rsidP="004F5E7C" w:rsidRDefault="008E1DD7" w14:paraId="40349605" w14:textId="77777777">
            <w:pPr>
              <w:rPr>
                <w:highlight w:val="yellow"/>
              </w:rPr>
            </w:pPr>
            <w:r w:rsidRPr="009E1E11">
              <w:t>(k)</w:t>
            </w:r>
          </w:p>
        </w:tc>
        <w:tc>
          <w:tcPr>
            <w:tcW w:w="2127" w:type="dxa"/>
          </w:tcPr>
          <w:p w:rsidRPr="009E1E11" w:rsidR="008E1DD7" w:rsidP="004F5E7C" w:rsidRDefault="008E1DD7" w14:paraId="3C6C073F" w14:textId="77777777">
            <w:pPr>
              <w:rPr>
                <w:b/>
              </w:rPr>
            </w:pPr>
            <w:r w:rsidRPr="009E1E11">
              <w:rPr>
                <w:b/>
              </w:rPr>
              <w:t>Overheads and Support Costs</w:t>
            </w:r>
          </w:p>
        </w:tc>
        <w:tc>
          <w:tcPr>
            <w:tcW w:w="6327" w:type="dxa"/>
          </w:tcPr>
          <w:p w:rsidRPr="009E1E11" w:rsidR="008E1DD7" w:rsidP="007B543D" w:rsidRDefault="008E1DD7" w14:paraId="175ED607" w14:textId="7543B5AB">
            <w:pPr>
              <w:jc w:val="both"/>
              <w:rPr>
                <w:rFonts w:cs="Arial"/>
              </w:rPr>
            </w:pPr>
            <w:r w:rsidRPr="009E1E11">
              <w:rPr>
                <w:rFonts w:cs="Arial"/>
              </w:rPr>
              <w:t xml:space="preserve">The cost of </w:t>
            </w:r>
            <w:r w:rsidRPr="006A70E1" w:rsidR="006A70E1">
              <w:rPr>
                <w:rFonts w:cs="Arial"/>
              </w:rPr>
              <w:t xml:space="preserve">VVC </w:t>
            </w:r>
            <w:r w:rsidRPr="009E1E11">
              <w:rPr>
                <w:rFonts w:cs="Arial"/>
              </w:rPr>
              <w:t>Overheads and Support services apportioned out within the Comprehensive Income and Expenditure Statement. These costs now sit with the relevant groupings within the statements concerned.</w:t>
            </w:r>
          </w:p>
          <w:p w:rsidRPr="009E1E11" w:rsidR="008E1DD7" w:rsidP="007B543D" w:rsidRDefault="008E1DD7" w14:paraId="2C4591BA" w14:textId="77777777">
            <w:pPr>
              <w:jc w:val="both"/>
              <w:rPr>
                <w:rFonts w:cs="Arial"/>
              </w:rPr>
            </w:pPr>
          </w:p>
        </w:tc>
      </w:tr>
      <w:tr w:rsidRPr="00614894" w:rsidR="008E1DD7" w:rsidTr="004F5E7C" w14:paraId="5BF08F19" w14:textId="77777777">
        <w:tc>
          <w:tcPr>
            <w:tcW w:w="562" w:type="dxa"/>
          </w:tcPr>
          <w:p w:rsidRPr="009E1E11" w:rsidR="008E1DD7" w:rsidP="004F5E7C" w:rsidRDefault="008E1DD7" w14:paraId="4F7FF90B" w14:textId="77777777">
            <w:r w:rsidRPr="009E1E11">
              <w:lastRenderedPageBreak/>
              <w:t>(i)</w:t>
            </w:r>
          </w:p>
        </w:tc>
        <w:tc>
          <w:tcPr>
            <w:tcW w:w="2127" w:type="dxa"/>
          </w:tcPr>
          <w:p w:rsidRPr="009E1E11" w:rsidR="008E1DD7" w:rsidP="004F5E7C" w:rsidRDefault="008E1DD7" w14:paraId="7B81FF06" w14:textId="77777777">
            <w:pPr>
              <w:rPr>
                <w:b/>
              </w:rPr>
            </w:pPr>
            <w:r w:rsidRPr="009E1E11">
              <w:rPr>
                <w:b/>
              </w:rPr>
              <w:t>Inventories</w:t>
            </w:r>
          </w:p>
        </w:tc>
        <w:tc>
          <w:tcPr>
            <w:tcW w:w="6327" w:type="dxa"/>
          </w:tcPr>
          <w:p w:rsidRPr="009E1E11" w:rsidR="008E1DD7" w:rsidP="007B543D" w:rsidRDefault="006A70E1" w14:paraId="452175D3" w14:textId="4E1483FF">
            <w:pPr>
              <w:jc w:val="both"/>
              <w:rPr>
                <w:rFonts w:cs="Arial"/>
              </w:rPr>
            </w:pPr>
            <w:r w:rsidRPr="006A70E1">
              <w:rPr>
                <w:rFonts w:cs="Arial"/>
              </w:rPr>
              <w:t xml:space="preserve">VVC </w:t>
            </w:r>
            <w:r w:rsidRPr="009E1E11" w:rsidR="008E1DD7">
              <w:rPr>
                <w:rFonts w:cs="Arial"/>
              </w:rPr>
              <w:t xml:space="preserve">did not hold any inventory as </w:t>
            </w:r>
            <w:proofErr w:type="gramStart"/>
            <w:r w:rsidRPr="009E1E11" w:rsidR="008E1DD7">
              <w:rPr>
                <w:rFonts w:cs="Arial"/>
              </w:rPr>
              <w:t>at</w:t>
            </w:r>
            <w:proofErr w:type="gramEnd"/>
            <w:r w:rsidRPr="009E1E11" w:rsidR="008E1DD7">
              <w:rPr>
                <w:rFonts w:cs="Arial"/>
              </w:rPr>
              <w:t xml:space="preserve"> 31</w:t>
            </w:r>
            <w:r w:rsidRPr="009E1E11" w:rsidR="008E1DD7">
              <w:rPr>
                <w:rFonts w:cs="Arial"/>
                <w:vertAlign w:val="superscript"/>
              </w:rPr>
              <w:t>st</w:t>
            </w:r>
            <w:r w:rsidRPr="009E1E11" w:rsidR="001F67CC">
              <w:rPr>
                <w:rFonts w:cs="Arial"/>
              </w:rPr>
              <w:t xml:space="preserve"> March 202</w:t>
            </w:r>
            <w:r w:rsidRPr="009E1E11" w:rsidR="005A13F8">
              <w:rPr>
                <w:rFonts w:cs="Arial"/>
              </w:rPr>
              <w:t>3</w:t>
            </w:r>
            <w:r w:rsidRPr="009E1E11" w:rsidR="008E1DD7">
              <w:rPr>
                <w:rFonts w:cs="Arial"/>
              </w:rPr>
              <w:t>.</w:t>
            </w:r>
          </w:p>
          <w:p w:rsidRPr="009E1E11" w:rsidR="008E1DD7" w:rsidP="007B543D" w:rsidRDefault="008E1DD7" w14:paraId="2FB2082E" w14:textId="77777777">
            <w:pPr>
              <w:jc w:val="both"/>
              <w:rPr>
                <w:rFonts w:cs="Arial"/>
              </w:rPr>
            </w:pPr>
          </w:p>
        </w:tc>
      </w:tr>
      <w:tr w:rsidRPr="00614894" w:rsidR="008E1DD7" w:rsidTr="004F5E7C" w14:paraId="6483724C" w14:textId="77777777">
        <w:tc>
          <w:tcPr>
            <w:tcW w:w="562" w:type="dxa"/>
          </w:tcPr>
          <w:p w:rsidRPr="00F06452" w:rsidR="008E1DD7" w:rsidP="004F5E7C" w:rsidRDefault="008E1DD7" w14:paraId="36AE8960" w14:textId="77777777">
            <w:r w:rsidRPr="00F06452">
              <w:t>(j)</w:t>
            </w:r>
          </w:p>
        </w:tc>
        <w:tc>
          <w:tcPr>
            <w:tcW w:w="2127" w:type="dxa"/>
          </w:tcPr>
          <w:p w:rsidRPr="00F06452" w:rsidR="008E1DD7" w:rsidP="004F5E7C" w:rsidRDefault="008E1DD7" w14:paraId="60D8F2CD" w14:textId="77777777">
            <w:pPr>
              <w:rPr>
                <w:b/>
              </w:rPr>
            </w:pPr>
            <w:r w:rsidRPr="00F06452">
              <w:rPr>
                <w:b/>
              </w:rPr>
              <w:t>Property Plant and Equipment</w:t>
            </w:r>
          </w:p>
        </w:tc>
        <w:tc>
          <w:tcPr>
            <w:tcW w:w="6327" w:type="dxa"/>
          </w:tcPr>
          <w:p w:rsidRPr="009E1E11" w:rsidR="0000365F" w:rsidP="0000365F" w:rsidRDefault="006A70E1" w14:paraId="6D40CC12" w14:textId="0418AC0D">
            <w:pPr>
              <w:jc w:val="both"/>
              <w:rPr>
                <w:rFonts w:cs="Arial"/>
              </w:rPr>
            </w:pPr>
            <w:r w:rsidRPr="006A70E1">
              <w:rPr>
                <w:rFonts w:cs="Arial"/>
              </w:rPr>
              <w:t xml:space="preserve">VVC </w:t>
            </w:r>
            <w:r w:rsidRPr="009E1E11" w:rsidR="0000365F">
              <w:rPr>
                <w:rFonts w:cs="Arial"/>
              </w:rPr>
              <w:t xml:space="preserve">did not hold any </w:t>
            </w:r>
            <w:r w:rsidR="0000365F">
              <w:rPr>
                <w:rFonts w:cs="Arial"/>
              </w:rPr>
              <w:t xml:space="preserve">Property, Plant and Equipment </w:t>
            </w:r>
            <w:r w:rsidRPr="009E1E11" w:rsidR="0000365F">
              <w:rPr>
                <w:rFonts w:cs="Arial"/>
              </w:rPr>
              <w:t xml:space="preserve">as </w:t>
            </w:r>
            <w:proofErr w:type="gramStart"/>
            <w:r w:rsidRPr="009E1E11" w:rsidR="0000365F">
              <w:rPr>
                <w:rFonts w:cs="Arial"/>
              </w:rPr>
              <w:t>at</w:t>
            </w:r>
            <w:proofErr w:type="gramEnd"/>
            <w:r w:rsidRPr="009E1E11" w:rsidR="0000365F">
              <w:rPr>
                <w:rFonts w:cs="Arial"/>
              </w:rPr>
              <w:t xml:space="preserve"> 31</w:t>
            </w:r>
            <w:r w:rsidRPr="009E1E11" w:rsidR="0000365F">
              <w:rPr>
                <w:rFonts w:cs="Arial"/>
                <w:vertAlign w:val="superscript"/>
              </w:rPr>
              <w:t>st</w:t>
            </w:r>
            <w:r w:rsidRPr="009E1E11" w:rsidR="0000365F">
              <w:rPr>
                <w:rFonts w:cs="Arial"/>
              </w:rPr>
              <w:t xml:space="preserve"> March 2023.</w:t>
            </w:r>
          </w:p>
          <w:p w:rsidRPr="00614894" w:rsidR="008E1DD7" w:rsidP="007B543D" w:rsidRDefault="008E1DD7" w14:paraId="23DCB11D" w14:textId="77777777">
            <w:pPr>
              <w:jc w:val="both"/>
              <w:rPr>
                <w:rFonts w:cs="Arial"/>
                <w:highlight w:val="yellow"/>
              </w:rPr>
            </w:pPr>
          </w:p>
        </w:tc>
      </w:tr>
      <w:tr w:rsidRPr="00614894" w:rsidR="008E1DD7" w:rsidTr="004F5E7C" w14:paraId="26566D5A" w14:textId="77777777">
        <w:tc>
          <w:tcPr>
            <w:tcW w:w="562" w:type="dxa"/>
          </w:tcPr>
          <w:p w:rsidRPr="009E1E11" w:rsidR="008E1DD7" w:rsidP="004F5E7C" w:rsidRDefault="008E1DD7" w14:paraId="21C4BE1E" w14:textId="77777777">
            <w:r w:rsidRPr="009E1E11">
              <w:t>(k)</w:t>
            </w:r>
          </w:p>
        </w:tc>
        <w:tc>
          <w:tcPr>
            <w:tcW w:w="2127" w:type="dxa"/>
          </w:tcPr>
          <w:p w:rsidRPr="009E1E11" w:rsidR="008E1DD7" w:rsidP="008E1DD7" w:rsidRDefault="008E1DD7" w14:paraId="13BE414B" w14:textId="77777777">
            <w:pPr>
              <w:pStyle w:val="NoSpacing"/>
              <w:rPr>
                <w:rFonts w:ascii="Arial" w:hAnsi="Arial" w:cs="Arial"/>
                <w:b/>
              </w:rPr>
            </w:pPr>
            <w:r w:rsidRPr="009E1E11">
              <w:rPr>
                <w:rFonts w:ascii="Arial" w:hAnsi="Arial" w:cs="Arial"/>
                <w:b/>
              </w:rPr>
              <w:t>Provisions, Contingent Liabilities and Contingent Assets</w:t>
            </w:r>
          </w:p>
          <w:p w:rsidRPr="009E1E11" w:rsidR="008E1DD7" w:rsidP="008E1DD7" w:rsidRDefault="008E1DD7" w14:paraId="04DB9D29" w14:textId="77777777">
            <w:pPr>
              <w:pStyle w:val="NoSpacing"/>
              <w:rPr>
                <w:rFonts w:ascii="Arial" w:hAnsi="Arial" w:cs="Arial"/>
              </w:rPr>
            </w:pPr>
          </w:p>
        </w:tc>
        <w:tc>
          <w:tcPr>
            <w:tcW w:w="6327" w:type="dxa"/>
          </w:tcPr>
          <w:p w:rsidRPr="00BC4212" w:rsidR="008E1DD7" w:rsidP="008E1DD7" w:rsidRDefault="008E1DD7" w14:paraId="54889D9A" w14:textId="08CF9748">
            <w:pPr>
              <w:jc w:val="both"/>
              <w:rPr>
                <w:rFonts w:cs="Arial"/>
                <w:b/>
              </w:rPr>
            </w:pPr>
            <w:r w:rsidRPr="009E1E11">
              <w:rPr>
                <w:rFonts w:cs="Arial"/>
                <w:b/>
              </w:rPr>
              <w:t>Provisions</w:t>
            </w:r>
          </w:p>
          <w:p w:rsidRPr="009E1E11" w:rsidR="00734883" w:rsidP="008E1DD7" w:rsidRDefault="00734883" w14:paraId="18131210" w14:textId="418D1D1A">
            <w:pPr>
              <w:jc w:val="both"/>
              <w:rPr>
                <w:rFonts w:cs="Arial"/>
              </w:rPr>
            </w:pPr>
            <w:r w:rsidRPr="009E1E11">
              <w:rPr>
                <w:rFonts w:cs="Arial"/>
              </w:rPr>
              <w:t xml:space="preserve">Provisions are made when an event has taken place that gives </w:t>
            </w:r>
            <w:r w:rsidRPr="006A70E1" w:rsidR="006A70E1">
              <w:rPr>
                <w:rFonts w:cs="Arial"/>
              </w:rPr>
              <w:t xml:space="preserve">VVC </w:t>
            </w:r>
            <w:r w:rsidRPr="009E1E11">
              <w:rPr>
                <w:rFonts w:cs="Arial"/>
              </w:rPr>
              <w:t xml:space="preserve">a legal or constructive obligation that probably requires settlement by a transfer of economic benefit or service potential, and a reliable estimate can be made of the amount of the obligation.  </w:t>
            </w:r>
          </w:p>
          <w:p w:rsidRPr="00614894" w:rsidR="00734883" w:rsidP="008E1DD7" w:rsidRDefault="00734883" w14:paraId="2EA89F9E" w14:textId="77777777">
            <w:pPr>
              <w:jc w:val="both"/>
              <w:rPr>
                <w:rFonts w:cs="Arial"/>
                <w:highlight w:val="yellow"/>
              </w:rPr>
            </w:pPr>
          </w:p>
          <w:p w:rsidRPr="009E1E11" w:rsidR="00734883" w:rsidP="008E1DD7" w:rsidRDefault="00734883" w14:paraId="160045E5" w14:textId="29801640">
            <w:pPr>
              <w:jc w:val="both"/>
              <w:rPr>
                <w:rFonts w:cs="Arial"/>
              </w:rPr>
            </w:pPr>
            <w:r w:rsidRPr="009E1E11">
              <w:rPr>
                <w:rFonts w:cs="Arial"/>
              </w:rPr>
              <w:t xml:space="preserve">Provisions are charged as an expense to the appropriate service line in the Comprehensive Income and expenditure Statement in the year that the becomes aware of the obligation and are measured at the best estimate at the Balance Sheet date of the expenditure required to settle the obligation, </w:t>
            </w:r>
            <w:proofErr w:type="gramStart"/>
            <w:r w:rsidRPr="009E1E11">
              <w:rPr>
                <w:rFonts w:cs="Arial"/>
              </w:rPr>
              <w:t>taking into account</w:t>
            </w:r>
            <w:proofErr w:type="gramEnd"/>
            <w:r w:rsidRPr="009E1E11">
              <w:rPr>
                <w:rFonts w:cs="Arial"/>
              </w:rPr>
              <w:t xml:space="preserve"> relevant risks and uncertainties.</w:t>
            </w:r>
          </w:p>
          <w:p w:rsidRPr="00614894" w:rsidR="00734883" w:rsidP="008E1DD7" w:rsidRDefault="00734883" w14:paraId="23861F56" w14:textId="77777777">
            <w:pPr>
              <w:jc w:val="both"/>
              <w:rPr>
                <w:rFonts w:cs="Arial"/>
                <w:highlight w:val="yellow"/>
              </w:rPr>
            </w:pPr>
          </w:p>
          <w:p w:rsidRPr="00614894" w:rsidR="008E1DD7" w:rsidP="008E1DD7" w:rsidRDefault="00734883" w14:paraId="6B6CE21C" w14:textId="146A70D0">
            <w:pPr>
              <w:jc w:val="both"/>
              <w:rPr>
                <w:rFonts w:cs="Arial"/>
                <w:highlight w:val="yellow"/>
              </w:rPr>
            </w:pPr>
            <w:r w:rsidRPr="009E1E11">
              <w:rPr>
                <w:rFonts w:cs="Arial"/>
              </w:rPr>
              <w:t xml:space="preserve">When payments are eventually made, they are charged to the provision carried in the Balance Sheet. </w:t>
            </w:r>
            <w:r w:rsidRPr="006A70E1" w:rsidR="006A70E1">
              <w:rPr>
                <w:rFonts w:cs="Arial"/>
              </w:rPr>
              <w:t xml:space="preserve">VVC </w:t>
            </w:r>
            <w:r w:rsidRPr="009E1E11" w:rsidR="008E1DD7">
              <w:rPr>
                <w:rFonts w:cs="Arial"/>
              </w:rPr>
              <w:t xml:space="preserve">did not hold any </w:t>
            </w:r>
            <w:r w:rsidRPr="009E1E11" w:rsidR="00E62057">
              <w:rPr>
                <w:rFonts w:cs="Arial"/>
              </w:rPr>
              <w:t xml:space="preserve">provisions as </w:t>
            </w:r>
            <w:proofErr w:type="gramStart"/>
            <w:r w:rsidRPr="009E1E11" w:rsidR="00E62057">
              <w:rPr>
                <w:rFonts w:cs="Arial"/>
              </w:rPr>
              <w:t>at</w:t>
            </w:r>
            <w:proofErr w:type="gramEnd"/>
            <w:r w:rsidRPr="009E1E11" w:rsidR="00E62057">
              <w:rPr>
                <w:rFonts w:cs="Arial"/>
              </w:rPr>
              <w:t xml:space="preserve"> 31st March 202</w:t>
            </w:r>
            <w:r w:rsidRPr="009E1E11" w:rsidR="009E1E11">
              <w:rPr>
                <w:rFonts w:cs="Arial"/>
              </w:rPr>
              <w:t>3</w:t>
            </w:r>
            <w:r w:rsidRPr="009E1E11" w:rsidR="008E1DD7">
              <w:rPr>
                <w:rFonts w:cs="Arial"/>
              </w:rPr>
              <w:t>.</w:t>
            </w:r>
          </w:p>
          <w:p w:rsidRPr="009E1E11" w:rsidR="008E1DD7" w:rsidP="008E1DD7" w:rsidRDefault="008E1DD7" w14:paraId="4B2B2B08" w14:textId="77777777">
            <w:pPr>
              <w:jc w:val="both"/>
              <w:rPr>
                <w:rFonts w:cs="Arial"/>
              </w:rPr>
            </w:pPr>
          </w:p>
          <w:p w:rsidRPr="009E1E11" w:rsidR="008E1DD7" w:rsidP="008E1DD7" w:rsidRDefault="008E1DD7" w14:paraId="521EAA3F" w14:textId="77777777">
            <w:pPr>
              <w:jc w:val="both"/>
              <w:rPr>
                <w:rFonts w:cs="Arial"/>
                <w:b/>
              </w:rPr>
            </w:pPr>
            <w:r w:rsidRPr="009E1E11">
              <w:rPr>
                <w:rFonts w:cs="Arial"/>
                <w:b/>
              </w:rPr>
              <w:t>Contingent Liabil</w:t>
            </w:r>
            <w:r w:rsidRPr="009E1E11">
              <w:rPr>
                <w:b/>
              </w:rPr>
              <w:t>i</w:t>
            </w:r>
            <w:r w:rsidRPr="009E1E11">
              <w:rPr>
                <w:rFonts w:cs="Arial"/>
                <w:b/>
              </w:rPr>
              <w:t>ties</w:t>
            </w:r>
          </w:p>
          <w:p w:rsidRPr="009E1E11" w:rsidR="008E1DD7" w:rsidP="008E1DD7" w:rsidRDefault="008E1DD7" w14:paraId="7D7612A4" w14:textId="77777777">
            <w:pPr>
              <w:jc w:val="both"/>
              <w:rPr>
                <w:rFonts w:cs="Arial"/>
              </w:rPr>
            </w:pPr>
          </w:p>
          <w:p w:rsidRPr="009E1E11" w:rsidR="008E1DD7" w:rsidP="008E1DD7" w:rsidRDefault="008E1DD7" w14:paraId="35B62307" w14:textId="28A24C95">
            <w:pPr>
              <w:jc w:val="both"/>
              <w:rPr>
                <w:rFonts w:cs="Arial"/>
              </w:rPr>
            </w:pPr>
            <w:r w:rsidRPr="009E1E11">
              <w:rPr>
                <w:rFonts w:cs="Arial"/>
              </w:rPr>
              <w:t xml:space="preserve">A contingent liability arises where an event has taken place that gives </w:t>
            </w:r>
            <w:r w:rsidRPr="006A70E1" w:rsidR="006A70E1">
              <w:rPr>
                <w:rFonts w:cs="Arial"/>
              </w:rPr>
              <w:t xml:space="preserve">VVC </w:t>
            </w:r>
            <w:r w:rsidRPr="009E1E11">
              <w:rPr>
                <w:rFonts w:cs="Arial"/>
              </w:rPr>
              <w:t xml:space="preserve">a possible obligation whose existence will only be confirmed by the occurrence or otherwise of uncertain future events not wholly in the control of </w:t>
            </w:r>
            <w:r w:rsidRPr="006A70E1" w:rsidR="006A70E1">
              <w:rPr>
                <w:rFonts w:cs="Arial"/>
              </w:rPr>
              <w:t>VVC</w:t>
            </w:r>
            <w:r w:rsidRPr="009E1E11">
              <w:rPr>
                <w:rFonts w:cs="Arial"/>
              </w:rPr>
              <w:t>.  Contingent liabilities also arise in circumstances where a provision would otherwise be made, but either it is not probable that an outflow of resources will be required, or the amount of the obligation cannot be measured reliably.</w:t>
            </w:r>
          </w:p>
          <w:p w:rsidRPr="00614894" w:rsidR="005F3F8C" w:rsidP="008E1DD7" w:rsidRDefault="005F3F8C" w14:paraId="276A8A5A" w14:textId="77777777">
            <w:pPr>
              <w:jc w:val="both"/>
              <w:rPr>
                <w:rFonts w:cs="Arial"/>
                <w:highlight w:val="yellow"/>
              </w:rPr>
            </w:pPr>
          </w:p>
          <w:p w:rsidRPr="009E1E11" w:rsidR="008E1DD7" w:rsidP="005F3F8C" w:rsidRDefault="008E1DD7" w14:paraId="3D4A6B1F" w14:textId="77777777">
            <w:pPr>
              <w:jc w:val="both"/>
              <w:rPr>
                <w:rFonts w:cs="Arial"/>
              </w:rPr>
            </w:pPr>
            <w:r w:rsidRPr="009E1E11">
              <w:rPr>
                <w:rFonts w:cs="Arial"/>
              </w:rPr>
              <w:t>Contingent liabilities are not recognised in the Balance Sheet but disclosed in a note to the accounts.</w:t>
            </w:r>
          </w:p>
          <w:p w:rsidRPr="00614894" w:rsidR="008E1DD7" w:rsidP="008E1DD7" w:rsidRDefault="008E1DD7" w14:paraId="6AFC6897" w14:textId="77777777">
            <w:pPr>
              <w:pStyle w:val="ListParagraph"/>
              <w:ind w:left="709"/>
              <w:jc w:val="both"/>
              <w:rPr>
                <w:rFonts w:cs="Arial"/>
                <w:highlight w:val="yellow"/>
              </w:rPr>
            </w:pPr>
          </w:p>
          <w:p w:rsidRPr="009E1E11" w:rsidR="008E1DD7" w:rsidP="008E1DD7" w:rsidRDefault="008E1DD7" w14:paraId="70454B02" w14:textId="77777777">
            <w:pPr>
              <w:jc w:val="both"/>
              <w:rPr>
                <w:rFonts w:cs="Arial"/>
                <w:b/>
              </w:rPr>
            </w:pPr>
            <w:r w:rsidRPr="009E1E11">
              <w:rPr>
                <w:rFonts w:cs="Arial"/>
                <w:b/>
              </w:rPr>
              <w:t>Contingent Assets</w:t>
            </w:r>
          </w:p>
          <w:p w:rsidRPr="00614894" w:rsidR="008E1DD7" w:rsidP="008E1DD7" w:rsidRDefault="008E1DD7" w14:paraId="2D5B8A22" w14:textId="77777777">
            <w:pPr>
              <w:jc w:val="both"/>
              <w:rPr>
                <w:rFonts w:cs="Arial"/>
                <w:highlight w:val="yellow"/>
              </w:rPr>
            </w:pPr>
          </w:p>
          <w:p w:rsidRPr="009E1E11" w:rsidR="008E1DD7" w:rsidP="008E1DD7" w:rsidRDefault="008E1DD7" w14:paraId="2BCEFE50" w14:textId="1C67C9D2">
            <w:pPr>
              <w:jc w:val="both"/>
              <w:rPr>
                <w:rFonts w:cs="Arial"/>
              </w:rPr>
            </w:pPr>
            <w:r w:rsidRPr="009E1E11">
              <w:rPr>
                <w:rFonts w:cs="Arial"/>
              </w:rPr>
              <w:t xml:space="preserve">A contingent asset arises where an event has taken place that gives </w:t>
            </w:r>
            <w:r w:rsidRPr="006A70E1" w:rsidR="006A70E1">
              <w:rPr>
                <w:rFonts w:cs="Arial"/>
              </w:rPr>
              <w:t xml:space="preserve">VVC </w:t>
            </w:r>
            <w:r w:rsidRPr="009E1E11">
              <w:rPr>
                <w:rFonts w:cs="Arial"/>
              </w:rPr>
              <w:t xml:space="preserve">a possible asset whose existence will only be confirmed by the occurrence or otherwise of uncertain future events not wholly within the control of </w:t>
            </w:r>
            <w:r w:rsidRPr="006A70E1" w:rsidR="006A70E1">
              <w:rPr>
                <w:rFonts w:cs="Arial"/>
              </w:rPr>
              <w:t>VVC</w:t>
            </w:r>
            <w:r w:rsidRPr="009E1E11">
              <w:rPr>
                <w:rFonts w:cs="Arial"/>
              </w:rPr>
              <w:t>.</w:t>
            </w:r>
          </w:p>
          <w:p w:rsidRPr="009E1E11" w:rsidR="008E1DD7" w:rsidP="008E1DD7" w:rsidRDefault="008E1DD7" w14:paraId="3EFF133C" w14:textId="77777777">
            <w:pPr>
              <w:jc w:val="both"/>
              <w:rPr>
                <w:rFonts w:cs="Arial"/>
              </w:rPr>
            </w:pPr>
          </w:p>
          <w:p w:rsidRPr="00614894" w:rsidR="008E1DD7" w:rsidP="008E1DD7" w:rsidRDefault="008E1DD7" w14:paraId="5A91CC46" w14:textId="77777777">
            <w:pPr>
              <w:jc w:val="both"/>
              <w:rPr>
                <w:rFonts w:cs="Arial"/>
                <w:highlight w:val="yellow"/>
              </w:rPr>
            </w:pPr>
            <w:r w:rsidRPr="009E1E11">
              <w:rPr>
                <w:rFonts w:cs="Arial"/>
              </w:rPr>
              <w:t xml:space="preserve">Contingent assets are not recognised in the Balance Sheet but disclosed in a note to the accounts where it is probable that there will be an inflow of economic benefits or service potential. </w:t>
            </w:r>
          </w:p>
        </w:tc>
      </w:tr>
      <w:tr w:rsidRPr="00614894" w:rsidR="008E1DD7" w:rsidTr="004F5E7C" w14:paraId="5E62B246" w14:textId="77777777">
        <w:tc>
          <w:tcPr>
            <w:tcW w:w="562" w:type="dxa"/>
          </w:tcPr>
          <w:p w:rsidRPr="009E1E11" w:rsidR="008E1DD7" w:rsidP="004F5E7C" w:rsidRDefault="008E1DD7" w14:paraId="5CADD9F4" w14:textId="77777777">
            <w:r w:rsidRPr="009E1E11">
              <w:t>(l)</w:t>
            </w:r>
          </w:p>
        </w:tc>
        <w:tc>
          <w:tcPr>
            <w:tcW w:w="2127" w:type="dxa"/>
          </w:tcPr>
          <w:p w:rsidRPr="009E1E11" w:rsidR="008E1DD7" w:rsidP="008E1DD7" w:rsidRDefault="008E1DD7" w14:paraId="148F51B1" w14:textId="77777777">
            <w:pPr>
              <w:jc w:val="both"/>
              <w:rPr>
                <w:rFonts w:cs="Arial"/>
                <w:b/>
              </w:rPr>
            </w:pPr>
            <w:r w:rsidRPr="009E1E11">
              <w:rPr>
                <w:rFonts w:cs="Arial"/>
                <w:b/>
              </w:rPr>
              <w:t>Specific Reserves</w:t>
            </w:r>
          </w:p>
          <w:p w:rsidRPr="009E1E11" w:rsidR="008E1DD7" w:rsidP="004F5E7C" w:rsidRDefault="008E1DD7" w14:paraId="593DA3EE" w14:textId="77777777"/>
        </w:tc>
        <w:tc>
          <w:tcPr>
            <w:tcW w:w="6327" w:type="dxa"/>
          </w:tcPr>
          <w:p w:rsidRPr="009E1E11" w:rsidR="008E1DD7" w:rsidP="008E1DD7" w:rsidRDefault="008E1DD7" w14:paraId="2CC6B6E1" w14:textId="77777777">
            <w:pPr>
              <w:jc w:val="both"/>
              <w:rPr>
                <w:rFonts w:cs="Arial"/>
              </w:rPr>
            </w:pPr>
            <w:r w:rsidRPr="009E1E11">
              <w:rPr>
                <w:rFonts w:cs="Arial"/>
              </w:rPr>
              <w:t xml:space="preserve">These reserves represent sums of money that are voluntarily set aside for specific purposes.  </w:t>
            </w:r>
          </w:p>
        </w:tc>
      </w:tr>
      <w:tr w:rsidRPr="00614894" w:rsidR="00FD0433" w:rsidTr="004F5E7C" w14:paraId="50A299A7" w14:textId="77777777">
        <w:tc>
          <w:tcPr>
            <w:tcW w:w="562" w:type="dxa"/>
          </w:tcPr>
          <w:p w:rsidRPr="009E1E11" w:rsidR="00FD0433" w:rsidP="004F5E7C" w:rsidRDefault="00FD0433" w14:paraId="0B5E0DC9" w14:textId="77777777">
            <w:r w:rsidRPr="009E1E11">
              <w:t>(m)</w:t>
            </w:r>
          </w:p>
        </w:tc>
        <w:tc>
          <w:tcPr>
            <w:tcW w:w="2127" w:type="dxa"/>
          </w:tcPr>
          <w:p w:rsidR="00FD0433" w:rsidP="008E1DD7" w:rsidRDefault="00FD0433" w14:paraId="7EB7E14C" w14:textId="77777777">
            <w:pPr>
              <w:jc w:val="both"/>
              <w:rPr>
                <w:rFonts w:cs="Arial"/>
                <w:b/>
              </w:rPr>
            </w:pPr>
            <w:r w:rsidRPr="009E1E11">
              <w:rPr>
                <w:rFonts w:cs="Arial"/>
                <w:b/>
              </w:rPr>
              <w:t>Value Added Tax</w:t>
            </w:r>
          </w:p>
          <w:p w:rsidRPr="00D243EC" w:rsidR="00D243EC" w:rsidP="00D243EC" w:rsidRDefault="00D243EC" w14:paraId="3216A7CA" w14:textId="77777777">
            <w:pPr>
              <w:rPr>
                <w:rFonts w:cs="Arial"/>
              </w:rPr>
            </w:pPr>
          </w:p>
          <w:p w:rsidR="00D243EC" w:rsidP="00D243EC" w:rsidRDefault="00D243EC" w14:paraId="030F652E" w14:textId="77777777">
            <w:pPr>
              <w:rPr>
                <w:rFonts w:cs="Arial"/>
                <w:b/>
              </w:rPr>
            </w:pPr>
          </w:p>
          <w:p w:rsidRPr="00D243EC" w:rsidR="00D243EC" w:rsidP="00D243EC" w:rsidRDefault="00D243EC" w14:paraId="32439024" w14:textId="2A2FB3BF">
            <w:pPr>
              <w:rPr>
                <w:rFonts w:cs="Arial"/>
              </w:rPr>
            </w:pPr>
          </w:p>
        </w:tc>
        <w:tc>
          <w:tcPr>
            <w:tcW w:w="6327" w:type="dxa"/>
          </w:tcPr>
          <w:p w:rsidRPr="009E1E11" w:rsidR="00FD0433" w:rsidP="00FD0433" w:rsidRDefault="00FD0433" w14:paraId="64FD90CA" w14:textId="77777777">
            <w:pPr>
              <w:jc w:val="both"/>
              <w:rPr>
                <w:rFonts w:cs="Arial"/>
              </w:rPr>
            </w:pPr>
            <w:r w:rsidRPr="009E1E11">
              <w:rPr>
                <w:rFonts w:cs="Arial"/>
              </w:rPr>
              <w:t>Income and expenditure exclude any amounts related to Value Added Tax (VAT), as all VAT collected is payable to HM Revenue and Customs and all VAT paid is recoverable from them.</w:t>
            </w:r>
          </w:p>
          <w:p w:rsidRPr="009E1E11" w:rsidR="00FD0433" w:rsidP="008E1DD7" w:rsidRDefault="00FD0433" w14:paraId="6EA87BCF" w14:textId="77777777">
            <w:pPr>
              <w:jc w:val="both"/>
              <w:rPr>
                <w:rFonts w:cs="Arial"/>
              </w:rPr>
            </w:pPr>
          </w:p>
        </w:tc>
      </w:tr>
    </w:tbl>
    <w:p w:rsidRPr="009E1E11" w:rsidR="00787505" w:rsidP="004F5E7C" w:rsidRDefault="00787505" w14:paraId="08ED736A" w14:textId="77777777"/>
    <w:p w:rsidRPr="009E1E11" w:rsidR="005174F7" w:rsidP="00467BBE" w:rsidRDefault="005174F7" w14:paraId="18715186" w14:textId="77777777">
      <w:pPr>
        <w:pStyle w:val="Heading2"/>
        <w:numPr>
          <w:ilvl w:val="0"/>
          <w:numId w:val="18"/>
        </w:numPr>
      </w:pPr>
      <w:r w:rsidRPr="009E1E11">
        <w:t>Accounting St</w:t>
      </w:r>
      <w:r w:rsidRPr="009E1E11" w:rsidR="0007519D">
        <w:t xml:space="preserve">andards </w:t>
      </w:r>
      <w:r w:rsidRPr="009E1E11" w:rsidR="007764FB">
        <w:t>t</w:t>
      </w:r>
      <w:r w:rsidRPr="009E1E11" w:rsidR="001A760D">
        <w:t xml:space="preserve">hat </w:t>
      </w:r>
      <w:r w:rsidRPr="009E1E11" w:rsidR="007764FB">
        <w:t>h</w:t>
      </w:r>
      <w:r w:rsidRPr="009E1E11" w:rsidR="001A760D">
        <w:t xml:space="preserve">ave </w:t>
      </w:r>
      <w:r w:rsidRPr="009E1E11" w:rsidR="007764FB">
        <w:t>b</w:t>
      </w:r>
      <w:r w:rsidRPr="009E1E11" w:rsidR="001A760D">
        <w:t xml:space="preserve">een </w:t>
      </w:r>
      <w:r w:rsidRPr="009E1E11" w:rsidR="007764FB">
        <w:t>i</w:t>
      </w:r>
      <w:r w:rsidRPr="009E1E11" w:rsidR="001A760D">
        <w:t xml:space="preserve">ssued </w:t>
      </w:r>
      <w:r w:rsidRPr="009E1E11" w:rsidR="007764FB">
        <w:t>b</w:t>
      </w:r>
      <w:r w:rsidRPr="009E1E11">
        <w:t>u</w:t>
      </w:r>
      <w:r w:rsidRPr="009E1E11" w:rsidR="001A760D">
        <w:t xml:space="preserve">t </w:t>
      </w:r>
      <w:r w:rsidRPr="009E1E11" w:rsidR="007764FB">
        <w:t>h</w:t>
      </w:r>
      <w:r w:rsidRPr="009E1E11" w:rsidR="001A760D">
        <w:t xml:space="preserve">ave </w:t>
      </w:r>
      <w:r w:rsidRPr="009E1E11" w:rsidR="007764FB">
        <w:t>y</w:t>
      </w:r>
      <w:r w:rsidRPr="009E1E11" w:rsidR="001A760D">
        <w:t xml:space="preserve">et </w:t>
      </w:r>
      <w:r w:rsidRPr="009E1E11" w:rsidR="007764FB">
        <w:t>t</w:t>
      </w:r>
      <w:r w:rsidRPr="009E1E11" w:rsidR="001A760D">
        <w:t xml:space="preserve">o </w:t>
      </w:r>
      <w:r w:rsidRPr="009E1E11" w:rsidR="007764FB">
        <w:t>b</w:t>
      </w:r>
      <w:r w:rsidRPr="009E1E11" w:rsidR="001A760D">
        <w:t xml:space="preserve">e </w:t>
      </w:r>
      <w:proofErr w:type="gramStart"/>
      <w:r w:rsidRPr="009E1E11" w:rsidR="007764FB">
        <w:t>a</w:t>
      </w:r>
      <w:r w:rsidRPr="009E1E11" w:rsidR="001A760D">
        <w:t>d</w:t>
      </w:r>
      <w:r w:rsidRPr="009E1E11">
        <w:t>opted</w:t>
      </w:r>
      <w:bookmarkEnd w:id="29"/>
      <w:proofErr w:type="gramEnd"/>
      <w:r w:rsidRPr="009E1E11">
        <w:t xml:space="preserve"> </w:t>
      </w:r>
    </w:p>
    <w:p w:rsidR="000547D3" w:rsidP="000547D3" w:rsidRDefault="000547D3" w14:paraId="59072DFB" w14:textId="77777777">
      <w:pPr>
        <w:pStyle w:val="ListParagraph"/>
        <w:ind w:left="1134"/>
        <w:jc w:val="both"/>
      </w:pPr>
      <w:bookmarkStart w:name="_Toc485903706" w:id="30"/>
      <w:r>
        <w:t xml:space="preserve">At the balance sheet date, there are no new relevant standards or amendments to existing standards that have been published but not yet adopted by the Code that will have any impact upon the financial statements. However, the following details are provided for information purposes: - </w:t>
      </w:r>
    </w:p>
    <w:p w:rsidR="000547D3" w:rsidP="000547D3" w:rsidRDefault="000547D3" w14:paraId="43F3194B" w14:textId="77777777">
      <w:pPr>
        <w:pStyle w:val="ListParagraph"/>
        <w:ind w:left="1134"/>
        <w:jc w:val="both"/>
      </w:pPr>
    </w:p>
    <w:p w:rsidR="000547D3" w:rsidP="000547D3" w:rsidRDefault="000547D3" w14:paraId="025FC4B8" w14:textId="77777777">
      <w:pPr>
        <w:pStyle w:val="ListParagraph"/>
        <w:ind w:left="1134"/>
        <w:jc w:val="both"/>
      </w:pPr>
      <w:r>
        <w:t xml:space="preserve">IFRS 16 - Leases: This Standard removes the previous lease classifications of operating and finance leases and will require local authorities that are lessees to recognise all leases on their balance sheets as right-of-use assets (there are exemptions for short-term and low value leases) with a corresponding lease liability representing the lessee's obligation to make lease payments for the asset. However, it should be noted that CIPFA/LASAAC have again deferred implementation of IFRS 16 for local government to 1 April 2024. </w:t>
      </w:r>
    </w:p>
    <w:p w:rsidR="000547D3" w:rsidP="000547D3" w:rsidRDefault="000547D3" w14:paraId="3DA208E1" w14:textId="77777777">
      <w:pPr>
        <w:pStyle w:val="ListParagraph"/>
        <w:ind w:left="1134"/>
        <w:jc w:val="both"/>
      </w:pPr>
    </w:p>
    <w:p w:rsidR="000547D3" w:rsidP="000547D3" w:rsidRDefault="000547D3" w14:paraId="26085792" w14:textId="7DCB0D12">
      <w:pPr>
        <w:pStyle w:val="ListParagraph"/>
        <w:ind w:left="1134"/>
        <w:jc w:val="both"/>
      </w:pPr>
      <w:r>
        <w:t>Infrastructure Assets – Temporary Relief: Following a consultation in the summer of 2022, CIPFA/LASAAC issued a code update on 29 November 2022. The update amends both the 2021</w:t>
      </w:r>
      <w:r w:rsidR="00E6303C">
        <w:t>/</w:t>
      </w:r>
      <w:r>
        <w:t>22 and 2022</w:t>
      </w:r>
      <w:r w:rsidR="00E6303C">
        <w:t>/</w:t>
      </w:r>
      <w:r>
        <w:t>23 Codes and includes specifications for future codes on the disclosure of gross cost and accumulated depreciation for infrastructure assets. The Code has been updated to include a temporary relief from the Code’s core requirement to disclose gross cost and accumulated depreciation of infrastructure assets until 31 March 2025.</w:t>
      </w:r>
    </w:p>
    <w:p w:rsidRPr="001C213E" w:rsidR="000547D3" w:rsidP="000547D3" w:rsidRDefault="000547D3" w14:paraId="2914331D" w14:textId="77777777">
      <w:pPr>
        <w:pStyle w:val="ListParagraph"/>
        <w:ind w:left="1134"/>
        <w:jc w:val="both"/>
        <w:rPr>
          <w:rFonts w:cs="Arial"/>
          <w:highlight w:val="yellow"/>
        </w:rPr>
      </w:pPr>
    </w:p>
    <w:p w:rsidRPr="008C0C83" w:rsidR="000547D3" w:rsidP="000547D3" w:rsidRDefault="000547D3" w14:paraId="06F9A66C" w14:textId="19769E9F">
      <w:pPr>
        <w:pStyle w:val="ListParagraph"/>
        <w:ind w:left="1134"/>
        <w:jc w:val="both"/>
        <w:rPr>
          <w:rFonts w:cs="Arial"/>
        </w:rPr>
      </w:pPr>
      <w:r w:rsidRPr="000F365E">
        <w:rPr>
          <w:rFonts w:cs="Arial"/>
        </w:rPr>
        <w:t xml:space="preserve">As the </w:t>
      </w:r>
      <w:r>
        <w:rPr>
          <w:rFonts w:cs="Arial"/>
        </w:rPr>
        <w:t>Regional Adoption Service</w:t>
      </w:r>
      <w:r w:rsidRPr="000F365E">
        <w:rPr>
          <w:rFonts w:cs="Arial"/>
        </w:rPr>
        <w:t xml:space="preserve"> does not hold any lease arrangements </w:t>
      </w:r>
      <w:r>
        <w:rPr>
          <w:rFonts w:cs="Arial"/>
        </w:rPr>
        <w:t>or infrastructure assets</w:t>
      </w:r>
      <w:r w:rsidRPr="000F365E">
        <w:rPr>
          <w:rFonts w:cs="Arial"/>
        </w:rPr>
        <w:t xml:space="preserve">, it is not expected that there will be any material impact on the </w:t>
      </w:r>
      <w:r>
        <w:rPr>
          <w:rFonts w:cs="Arial"/>
        </w:rPr>
        <w:t>Joint Committee</w:t>
      </w:r>
      <w:r w:rsidRPr="000F365E">
        <w:rPr>
          <w:rFonts w:cs="Arial"/>
        </w:rPr>
        <w:t xml:space="preserve"> accounts from the implementation of this standard.</w:t>
      </w:r>
    </w:p>
    <w:p w:rsidRPr="0073228C" w:rsidR="005174F7" w:rsidP="00467BBE" w:rsidRDefault="005174F7" w14:paraId="5C4FED03" w14:textId="77777777">
      <w:pPr>
        <w:pStyle w:val="Heading2"/>
      </w:pPr>
      <w:r w:rsidRPr="0073228C">
        <w:t>Critical Judgements in Applying Accounting Policies</w:t>
      </w:r>
      <w:bookmarkEnd w:id="30"/>
    </w:p>
    <w:p w:rsidRPr="0073228C" w:rsidR="00250B28" w:rsidP="00250B28" w:rsidRDefault="00250B28" w14:paraId="01447046" w14:textId="54B6443F">
      <w:pPr>
        <w:pStyle w:val="ListParagraph"/>
        <w:ind w:left="1080"/>
        <w:jc w:val="both"/>
        <w:rPr>
          <w:rFonts w:cs="Arial"/>
        </w:rPr>
      </w:pPr>
      <w:r w:rsidRPr="0073228C">
        <w:rPr>
          <w:rFonts w:cs="Arial"/>
        </w:rPr>
        <w:t xml:space="preserve">In applying the accounting policies set out above, </w:t>
      </w:r>
      <w:r w:rsidRPr="006A70E1" w:rsidR="006A70E1">
        <w:rPr>
          <w:rFonts w:cs="Arial"/>
        </w:rPr>
        <w:t xml:space="preserve">VVC </w:t>
      </w:r>
      <w:r w:rsidRPr="0073228C" w:rsidR="00843BD3">
        <w:rPr>
          <w:rFonts w:cs="Arial"/>
        </w:rPr>
        <w:t>would have</w:t>
      </w:r>
      <w:r w:rsidRPr="0073228C" w:rsidR="00C13168">
        <w:rPr>
          <w:rFonts w:cs="Arial"/>
        </w:rPr>
        <w:t xml:space="preserve"> mad</w:t>
      </w:r>
      <w:r w:rsidRPr="0073228C">
        <w:rPr>
          <w:rFonts w:cs="Arial"/>
        </w:rPr>
        <w:t>e certain judgements about complex transactions or those involving uncertainty about future events.</w:t>
      </w:r>
      <w:r w:rsidRPr="0073228C" w:rsidR="00843BD3">
        <w:rPr>
          <w:rFonts w:cs="Arial"/>
        </w:rPr>
        <w:t xml:space="preserve">  However, there are none known at the date of the report.</w:t>
      </w:r>
    </w:p>
    <w:p w:rsidRPr="0073228C" w:rsidR="00DF458F" w:rsidP="00250B28" w:rsidRDefault="00DF458F" w14:paraId="3993DB49" w14:textId="77777777">
      <w:pPr>
        <w:pStyle w:val="ListParagraph"/>
        <w:ind w:left="1080"/>
        <w:jc w:val="both"/>
        <w:rPr>
          <w:rFonts w:cs="Arial"/>
        </w:rPr>
      </w:pPr>
    </w:p>
    <w:p w:rsidRPr="00614894" w:rsidR="00DF458F" w:rsidP="00250B28" w:rsidRDefault="00DF458F" w14:paraId="78505FA7" w14:textId="1F8C6E22">
      <w:pPr>
        <w:pStyle w:val="ListParagraph"/>
        <w:ind w:left="1080"/>
        <w:jc w:val="both"/>
        <w:rPr>
          <w:rFonts w:cs="Arial"/>
          <w:highlight w:val="yellow"/>
        </w:rPr>
      </w:pPr>
      <w:r w:rsidRPr="0073228C">
        <w:rPr>
          <w:rFonts w:cs="Arial"/>
        </w:rPr>
        <w:t>There is a high degree of uncertainty about future levels of funding for local government</w:t>
      </w:r>
      <w:r w:rsidR="005D0A38">
        <w:rPr>
          <w:rFonts w:cs="Arial"/>
        </w:rPr>
        <w:t xml:space="preserve"> and this will be addressed as part of the annual budget cycle.</w:t>
      </w:r>
      <w:r w:rsidRPr="0073228C">
        <w:rPr>
          <w:rFonts w:cs="Arial"/>
        </w:rPr>
        <w:t xml:space="preserve">  </w:t>
      </w:r>
    </w:p>
    <w:p w:rsidRPr="0073228C" w:rsidR="00250B28" w:rsidP="00467BBE" w:rsidRDefault="00250B28" w14:paraId="3E7270B2" w14:textId="77777777">
      <w:pPr>
        <w:pStyle w:val="Heading2"/>
      </w:pPr>
      <w:bookmarkStart w:name="_Toc485903707" w:id="31"/>
      <w:r w:rsidRPr="0073228C">
        <w:t xml:space="preserve">Events </w:t>
      </w:r>
      <w:r w:rsidRPr="0073228C" w:rsidR="003B3408">
        <w:t>after</w:t>
      </w:r>
      <w:r w:rsidRPr="0073228C" w:rsidR="00A34879">
        <w:t xml:space="preserve"> t</w:t>
      </w:r>
      <w:r w:rsidRPr="0073228C">
        <w:t>he Balance Sheet Date</w:t>
      </w:r>
      <w:bookmarkEnd w:id="31"/>
    </w:p>
    <w:p w:rsidRPr="005D0A38" w:rsidR="0039582E" w:rsidP="00250B28" w:rsidRDefault="00C32525" w14:paraId="475A2D36" w14:textId="3BA364A2">
      <w:pPr>
        <w:pStyle w:val="ListParagraph"/>
        <w:ind w:left="1080"/>
        <w:jc w:val="both"/>
        <w:rPr>
          <w:rFonts w:cs="Arial"/>
        </w:rPr>
      </w:pPr>
      <w:r w:rsidRPr="005D0A38">
        <w:rPr>
          <w:rFonts w:cs="Arial"/>
        </w:rPr>
        <w:t xml:space="preserve">The </w:t>
      </w:r>
      <w:r w:rsidRPr="005D0A38" w:rsidR="005E4BFE">
        <w:rPr>
          <w:rFonts w:cs="Arial"/>
        </w:rPr>
        <w:t>A</w:t>
      </w:r>
      <w:r w:rsidRPr="005D0A38" w:rsidR="00C930F0">
        <w:rPr>
          <w:rFonts w:cs="Arial"/>
        </w:rPr>
        <w:t>udited</w:t>
      </w:r>
      <w:r w:rsidRPr="005D0A38" w:rsidR="00C13168">
        <w:rPr>
          <w:rFonts w:cs="Arial"/>
        </w:rPr>
        <w:t xml:space="preserve"> Statement of Accounts </w:t>
      </w:r>
      <w:r w:rsidRPr="005D0A38" w:rsidR="005E4BFE">
        <w:rPr>
          <w:rFonts w:cs="Arial"/>
        </w:rPr>
        <w:t>was</w:t>
      </w:r>
      <w:r w:rsidRPr="005D0A38" w:rsidR="00AE5F13">
        <w:rPr>
          <w:rFonts w:cs="Arial"/>
        </w:rPr>
        <w:t xml:space="preserve"> authorised</w:t>
      </w:r>
      <w:r w:rsidRPr="005D0A38" w:rsidR="0007519D">
        <w:rPr>
          <w:rFonts w:cs="Arial"/>
        </w:rPr>
        <w:t xml:space="preserve"> for issue by the Head of Finance (Section 1</w:t>
      </w:r>
      <w:r w:rsidRPr="005D0A38" w:rsidR="001A760D">
        <w:rPr>
          <w:rFonts w:cs="Arial"/>
        </w:rPr>
        <w:t xml:space="preserve">51 Officer) </w:t>
      </w:r>
      <w:r w:rsidRPr="005D0A38" w:rsidR="005E4BFE">
        <w:rPr>
          <w:rFonts w:cs="Arial"/>
        </w:rPr>
        <w:t xml:space="preserve">on </w:t>
      </w:r>
      <w:r w:rsidR="0054188A">
        <w:rPr>
          <w:rFonts w:cs="Arial"/>
        </w:rPr>
        <w:t>5</w:t>
      </w:r>
      <w:r w:rsidRPr="005D0A38" w:rsidR="005D0A38">
        <w:rPr>
          <w:rFonts w:cs="Arial"/>
          <w:vertAlign w:val="superscript"/>
        </w:rPr>
        <w:t>th</w:t>
      </w:r>
      <w:r w:rsidRPr="005D0A38" w:rsidR="005D0A38">
        <w:rPr>
          <w:rFonts w:cs="Arial"/>
        </w:rPr>
        <w:t xml:space="preserve"> </w:t>
      </w:r>
      <w:r w:rsidR="0054188A">
        <w:rPr>
          <w:rFonts w:cs="Arial"/>
        </w:rPr>
        <w:t>February</w:t>
      </w:r>
      <w:r w:rsidRPr="005D0A38" w:rsidR="005D0A38">
        <w:rPr>
          <w:rFonts w:cs="Arial"/>
        </w:rPr>
        <w:t xml:space="preserve"> 202</w:t>
      </w:r>
      <w:r w:rsidR="0054188A">
        <w:rPr>
          <w:rFonts w:cs="Arial"/>
        </w:rPr>
        <w:t>4</w:t>
      </w:r>
    </w:p>
    <w:p w:rsidRPr="005D0A38" w:rsidR="0039582E" w:rsidP="00250B28" w:rsidRDefault="0039582E" w14:paraId="69855492" w14:textId="77777777">
      <w:pPr>
        <w:pStyle w:val="ListParagraph"/>
        <w:ind w:left="1080"/>
        <w:jc w:val="both"/>
        <w:rPr>
          <w:rFonts w:cs="Arial"/>
        </w:rPr>
      </w:pPr>
    </w:p>
    <w:p w:rsidRPr="005D0A38" w:rsidR="00250B28" w:rsidP="00250B28" w:rsidRDefault="0007519D" w14:paraId="3B0A4AB8" w14:textId="77777777">
      <w:pPr>
        <w:pStyle w:val="ListParagraph"/>
        <w:ind w:left="1080"/>
        <w:jc w:val="both"/>
        <w:rPr>
          <w:rFonts w:cs="Arial"/>
        </w:rPr>
      </w:pPr>
      <w:r w:rsidRPr="005D0A38">
        <w:rPr>
          <w:rFonts w:cs="Arial"/>
        </w:rPr>
        <w:t>Events taking place after this date are not reflected in the fina</w:t>
      </w:r>
      <w:r w:rsidRPr="005D0A38" w:rsidR="007227EA">
        <w:rPr>
          <w:rFonts w:cs="Arial"/>
        </w:rPr>
        <w:t>ncial statements or notes.  Ther</w:t>
      </w:r>
      <w:r w:rsidRPr="005D0A38">
        <w:rPr>
          <w:rFonts w:cs="Arial"/>
        </w:rPr>
        <w:t>e have been no post balance sheet events prior to this date that have been reflected in the Statement of Accounts.</w:t>
      </w:r>
      <w:r w:rsidRPr="005D0A38" w:rsidR="003C365A">
        <w:rPr>
          <w:rFonts w:cs="Arial"/>
        </w:rPr>
        <w:t xml:space="preserve">  Such events could result in the Statement of Accounts being adjusted.  Two types of events can be identified.</w:t>
      </w:r>
    </w:p>
    <w:p w:rsidRPr="005D0A38" w:rsidR="003C365A" w:rsidP="00250B28" w:rsidRDefault="003C365A" w14:paraId="14E13AFB" w14:textId="77777777">
      <w:pPr>
        <w:pStyle w:val="ListParagraph"/>
        <w:ind w:left="1080"/>
        <w:jc w:val="both"/>
        <w:rPr>
          <w:rFonts w:cs="Arial"/>
        </w:rPr>
      </w:pPr>
    </w:p>
    <w:p w:rsidRPr="005D0A38" w:rsidR="003C365A" w:rsidP="00E6303C" w:rsidRDefault="003C365A" w14:paraId="1FA06343" w14:textId="77777777">
      <w:pPr>
        <w:pStyle w:val="ListParagraph"/>
        <w:numPr>
          <w:ilvl w:val="1"/>
          <w:numId w:val="1"/>
        </w:numPr>
        <w:rPr>
          <w:rFonts w:cs="Arial"/>
        </w:rPr>
      </w:pPr>
      <w:r w:rsidRPr="005D0A38">
        <w:rPr>
          <w:rFonts w:cs="Arial"/>
        </w:rPr>
        <w:lastRenderedPageBreak/>
        <w:t>Those that provide evidence of conditions that existed at the end of the reporting period, the Statement of Accounts is adjusted to reflect such events.</w:t>
      </w:r>
    </w:p>
    <w:p w:rsidRPr="005D0A38" w:rsidR="003C365A" w:rsidP="00E6303C" w:rsidRDefault="003C365A" w14:paraId="670CBE08" w14:textId="77777777">
      <w:pPr>
        <w:pStyle w:val="ListParagraph"/>
        <w:numPr>
          <w:ilvl w:val="1"/>
          <w:numId w:val="1"/>
        </w:numPr>
        <w:rPr>
          <w:rFonts w:cs="Arial"/>
        </w:rPr>
      </w:pPr>
      <w:r w:rsidRPr="005D0A38">
        <w:rPr>
          <w:rFonts w:cs="Arial"/>
        </w:rPr>
        <w:t>Those that are indicative of condition that arose after the reporting period – the Statement of Accounts is not adjusted to reflect such events, but where a category of events would have a material effect, disclosure is made in the notes of the nature of the events and their estimated financial effect.</w:t>
      </w:r>
    </w:p>
    <w:p w:rsidRPr="00614894" w:rsidR="007D4151" w:rsidP="007D4151" w:rsidRDefault="007D4151" w14:paraId="6EE317B0" w14:textId="77777777">
      <w:pPr>
        <w:pStyle w:val="ListParagraph"/>
        <w:jc w:val="both"/>
        <w:rPr>
          <w:rFonts w:cs="Arial"/>
          <w:highlight w:val="yellow"/>
        </w:rPr>
      </w:pPr>
    </w:p>
    <w:p w:rsidRPr="0073228C" w:rsidR="00945E4E" w:rsidP="00467BBE" w:rsidRDefault="00945E4E" w14:paraId="285B7EB7" w14:textId="77777777">
      <w:pPr>
        <w:pStyle w:val="Heading2"/>
      </w:pPr>
      <w:r w:rsidRPr="0073228C">
        <w:t>Prior Period Adjustments</w:t>
      </w:r>
    </w:p>
    <w:p w:rsidRPr="0073228C" w:rsidR="00B212DD" w:rsidP="00250B28" w:rsidRDefault="00B212DD" w14:paraId="2BCF9718" w14:textId="77777777">
      <w:pPr>
        <w:pStyle w:val="ListParagraph"/>
        <w:ind w:left="1080"/>
        <w:jc w:val="both"/>
        <w:rPr>
          <w:rFonts w:cs="Arial"/>
        </w:rPr>
      </w:pPr>
      <w:r w:rsidRPr="0073228C">
        <w:rPr>
          <w:rFonts w:cs="Arial"/>
        </w:rPr>
        <w:t>A change in accounting policies or to correct a material error can result in a prior period adjustment.  Changes in accounting estimates do note give rise to a prior period adjustment but are accounted for prospectively.</w:t>
      </w:r>
    </w:p>
    <w:p w:rsidRPr="00614894" w:rsidR="003B3408" w:rsidP="00250B28" w:rsidRDefault="003B3408" w14:paraId="55E43CFF" w14:textId="77777777">
      <w:pPr>
        <w:pStyle w:val="ListParagraph"/>
        <w:ind w:left="1080"/>
        <w:jc w:val="both"/>
        <w:rPr>
          <w:rFonts w:cs="Arial"/>
          <w:highlight w:val="yellow"/>
        </w:rPr>
      </w:pPr>
    </w:p>
    <w:p w:rsidRPr="0073228C" w:rsidR="003B3408" w:rsidP="00250B28" w:rsidRDefault="003B3408" w14:paraId="3004F534" w14:textId="6F64FF3F">
      <w:pPr>
        <w:pStyle w:val="ListParagraph"/>
        <w:ind w:left="1080"/>
        <w:jc w:val="both"/>
        <w:rPr>
          <w:rFonts w:cs="Arial"/>
        </w:rPr>
      </w:pPr>
      <w:r w:rsidRPr="0073228C">
        <w:rPr>
          <w:rFonts w:cs="Arial"/>
        </w:rPr>
        <w:t xml:space="preserve">Changes in accounting policies are only made when required by proper accounting practices, or the change provides more reliable or relevant information about the effect of the transactions, other events and condition of </w:t>
      </w:r>
      <w:r w:rsidRPr="006A70E1" w:rsidR="006A70E1">
        <w:rPr>
          <w:rFonts w:cs="Arial"/>
        </w:rPr>
        <w:t>VVC</w:t>
      </w:r>
      <w:r w:rsidR="001E2079">
        <w:rPr>
          <w:rFonts w:cs="Arial"/>
        </w:rPr>
        <w:t>’S</w:t>
      </w:r>
      <w:r w:rsidRPr="006A70E1" w:rsidR="006A70E1">
        <w:rPr>
          <w:rFonts w:cs="Arial"/>
        </w:rPr>
        <w:t xml:space="preserve"> </w:t>
      </w:r>
      <w:r w:rsidRPr="0073228C">
        <w:rPr>
          <w:rFonts w:cs="Arial"/>
        </w:rPr>
        <w:t>financial position or financial performance.  When a change is made it is applied retrospectively (unless stated otherwise) by adjusting opening balances and comparative amounts for the prior period as if the new policy had always applied.</w:t>
      </w:r>
    </w:p>
    <w:p w:rsidRPr="00614894" w:rsidR="003B3408" w:rsidP="00250B28" w:rsidRDefault="003B3408" w14:paraId="493F9B50" w14:textId="77777777">
      <w:pPr>
        <w:pStyle w:val="ListParagraph"/>
        <w:ind w:left="1080"/>
        <w:jc w:val="both"/>
        <w:rPr>
          <w:rFonts w:cs="Arial"/>
          <w:highlight w:val="yellow"/>
        </w:rPr>
      </w:pPr>
    </w:p>
    <w:p w:rsidRPr="005A616D" w:rsidR="009B49FE" w:rsidP="005A616D" w:rsidRDefault="003B3408" w14:paraId="5F7FB476" w14:textId="795CDF01">
      <w:pPr>
        <w:pStyle w:val="ListParagraph"/>
        <w:ind w:left="1080"/>
        <w:jc w:val="both"/>
        <w:rPr>
          <w:rFonts w:cs="Arial"/>
        </w:rPr>
      </w:pPr>
      <w:r w:rsidRPr="0073228C">
        <w:rPr>
          <w:rFonts w:cs="Arial"/>
        </w:rPr>
        <w:t>Material errors discovered in prior period figures are corrected retrospectively by amending opening balances and comparative amounts for the prior period.</w:t>
      </w:r>
    </w:p>
    <w:p w:rsidRPr="00614894" w:rsidR="009B49FE" w:rsidP="00C41A82" w:rsidRDefault="009B49FE" w14:paraId="289E9065" w14:textId="77777777">
      <w:pPr>
        <w:pStyle w:val="ListParagraph"/>
        <w:ind w:left="1080"/>
        <w:jc w:val="both"/>
        <w:rPr>
          <w:rFonts w:cs="Arial"/>
          <w:highlight w:val="yellow"/>
        </w:rPr>
      </w:pPr>
    </w:p>
    <w:p w:rsidRPr="0073228C" w:rsidR="0007519D" w:rsidP="00467BBE" w:rsidRDefault="0007519D" w14:paraId="10970412" w14:textId="77777777">
      <w:pPr>
        <w:pStyle w:val="Heading2"/>
      </w:pPr>
      <w:bookmarkStart w:name="_Toc485903708" w:id="32"/>
      <w:r w:rsidRPr="0073228C">
        <w:t>Assumptions Made about the Future and Other Major Sources of Estimation Uncertainty</w:t>
      </w:r>
      <w:bookmarkEnd w:id="32"/>
    </w:p>
    <w:p w:rsidRPr="005D0A38" w:rsidR="006C28E3" w:rsidP="0007519D" w:rsidRDefault="0007519D" w14:paraId="0C83E914" w14:textId="10A11657">
      <w:pPr>
        <w:pStyle w:val="ListParagraph"/>
        <w:ind w:left="1080"/>
        <w:jc w:val="both"/>
        <w:rPr>
          <w:rFonts w:cs="Arial"/>
        </w:rPr>
      </w:pPr>
      <w:r w:rsidRPr="005D0A38">
        <w:rPr>
          <w:rFonts w:cs="Arial"/>
        </w:rPr>
        <w:t>The Statement of Accounts contains estimated figures that are based on assumption</w:t>
      </w:r>
      <w:r w:rsidRPr="005D0A38" w:rsidR="00F4686E">
        <w:rPr>
          <w:rFonts w:cs="Arial"/>
        </w:rPr>
        <w:t>s</w:t>
      </w:r>
      <w:r w:rsidRPr="005D0A38">
        <w:rPr>
          <w:rFonts w:cs="Arial"/>
        </w:rPr>
        <w:t xml:space="preserve"> made by </w:t>
      </w:r>
      <w:r w:rsidRPr="006A70E1" w:rsidR="006A70E1">
        <w:rPr>
          <w:rFonts w:cs="Arial"/>
        </w:rPr>
        <w:t xml:space="preserve">VVC </w:t>
      </w:r>
      <w:r w:rsidRPr="005D0A38">
        <w:rPr>
          <w:rFonts w:cs="Arial"/>
        </w:rPr>
        <w:t xml:space="preserve">about the future or that are otherwise uncertain. Estimates are made </w:t>
      </w:r>
      <w:proofErr w:type="gramStart"/>
      <w:r w:rsidRPr="005D0A38">
        <w:rPr>
          <w:rFonts w:cs="Arial"/>
        </w:rPr>
        <w:t>taking into account</w:t>
      </w:r>
      <w:proofErr w:type="gramEnd"/>
      <w:r w:rsidRPr="005D0A38">
        <w:rPr>
          <w:rFonts w:cs="Arial"/>
        </w:rPr>
        <w:t xml:space="preserve"> historical experience, current trends and other relevant factors.  However, because balances cannot be determined with certain</w:t>
      </w:r>
      <w:r w:rsidRPr="005D0A38" w:rsidR="005067EF">
        <w:rPr>
          <w:rFonts w:cs="Arial"/>
        </w:rPr>
        <w:t>t</w:t>
      </w:r>
      <w:r w:rsidRPr="005D0A38">
        <w:rPr>
          <w:rFonts w:cs="Arial"/>
        </w:rPr>
        <w:t>y, actual results could be materially different from the assumptions and estimates.  The items in</w:t>
      </w:r>
      <w:r w:rsidRPr="005D0A38" w:rsidR="007227EA">
        <w:rPr>
          <w:rFonts w:cs="Arial"/>
        </w:rPr>
        <w:t xml:space="preserve"> the</w:t>
      </w:r>
      <w:r w:rsidRPr="005D0A38">
        <w:rPr>
          <w:rFonts w:cs="Arial"/>
        </w:rPr>
        <w:t xml:space="preserve"> Joint Committee’s Balance Sheet </w:t>
      </w:r>
      <w:proofErr w:type="gramStart"/>
      <w:r w:rsidRPr="005D0A38">
        <w:rPr>
          <w:rFonts w:cs="Arial"/>
        </w:rPr>
        <w:t>at</w:t>
      </w:r>
      <w:proofErr w:type="gramEnd"/>
      <w:r w:rsidRPr="005D0A38">
        <w:rPr>
          <w:rFonts w:cs="Arial"/>
        </w:rPr>
        <w:t xml:space="preserve"> 31</w:t>
      </w:r>
      <w:r w:rsidRPr="005D0A38">
        <w:rPr>
          <w:rFonts w:cs="Arial"/>
          <w:vertAlign w:val="superscript"/>
        </w:rPr>
        <w:t>st</w:t>
      </w:r>
      <w:r w:rsidRPr="005D0A38" w:rsidR="001A760D">
        <w:rPr>
          <w:rFonts w:cs="Arial"/>
        </w:rPr>
        <w:t xml:space="preserve"> M</w:t>
      </w:r>
      <w:r w:rsidRPr="005D0A38" w:rsidR="00177807">
        <w:rPr>
          <w:rFonts w:cs="Arial"/>
        </w:rPr>
        <w:t>arch 20</w:t>
      </w:r>
      <w:r w:rsidRPr="005D0A38" w:rsidR="008E23F9">
        <w:rPr>
          <w:rFonts w:cs="Arial"/>
        </w:rPr>
        <w:t>2</w:t>
      </w:r>
      <w:r w:rsidRPr="005D0A38" w:rsidR="002D75E5">
        <w:rPr>
          <w:rFonts w:cs="Arial"/>
        </w:rPr>
        <w:t>3</w:t>
      </w:r>
      <w:r w:rsidRPr="005D0A38">
        <w:rPr>
          <w:rFonts w:cs="Arial"/>
        </w:rPr>
        <w:t xml:space="preserve"> for which there is significant risk of material adjustment in the forthcoming financial year are as follows:</w:t>
      </w:r>
    </w:p>
    <w:p w:rsidRPr="00614894" w:rsidR="00945E4E" w:rsidP="0007519D" w:rsidRDefault="00945E4E" w14:paraId="3B916322" w14:textId="77777777">
      <w:pPr>
        <w:pStyle w:val="ListParagraph"/>
        <w:ind w:left="1080"/>
        <w:jc w:val="both"/>
        <w:rPr>
          <w:rFonts w:cs="Arial"/>
          <w:highlight w:val="yellow"/>
        </w:rPr>
      </w:pPr>
    </w:p>
    <w:p w:rsidRPr="006109A0" w:rsidR="0007519D" w:rsidP="0007519D" w:rsidRDefault="0007519D" w14:paraId="3C5A64CA" w14:textId="77777777">
      <w:pPr>
        <w:pStyle w:val="ListParagraph"/>
        <w:ind w:left="1080"/>
        <w:jc w:val="both"/>
        <w:rPr>
          <w:rFonts w:cs="Arial"/>
          <w:b/>
        </w:rPr>
      </w:pPr>
      <w:r w:rsidRPr="006109A0">
        <w:rPr>
          <w:rFonts w:cs="Arial"/>
          <w:b/>
        </w:rPr>
        <w:t>Debtors</w:t>
      </w:r>
    </w:p>
    <w:p w:rsidRPr="00614894" w:rsidR="00945E4E" w:rsidP="0007519D" w:rsidRDefault="00945E4E" w14:paraId="72D95A92" w14:textId="77777777">
      <w:pPr>
        <w:pStyle w:val="ListParagraph"/>
        <w:ind w:left="1080"/>
        <w:jc w:val="both"/>
        <w:rPr>
          <w:rFonts w:cs="Arial"/>
          <w:b/>
          <w:highlight w:val="yellow"/>
        </w:rPr>
      </w:pPr>
    </w:p>
    <w:p w:rsidR="005A616D" w:rsidP="0007519D" w:rsidRDefault="009131DA" w14:paraId="1B77EFBE" w14:textId="0EE2C43A">
      <w:pPr>
        <w:pStyle w:val="ListParagraph"/>
        <w:ind w:left="1080"/>
        <w:jc w:val="both"/>
        <w:rPr>
          <w:rFonts w:cs="Arial"/>
        </w:rPr>
      </w:pPr>
      <w:r w:rsidRPr="006109A0">
        <w:rPr>
          <w:rFonts w:cs="Arial"/>
        </w:rPr>
        <w:t>T</w:t>
      </w:r>
      <w:r w:rsidRPr="006109A0" w:rsidR="00B96651">
        <w:rPr>
          <w:rFonts w:cs="Arial"/>
        </w:rPr>
        <w:t>he</w:t>
      </w:r>
      <w:r w:rsidRPr="006109A0" w:rsidR="007B394F">
        <w:rPr>
          <w:rFonts w:cs="Arial"/>
        </w:rPr>
        <w:t>re are no</w:t>
      </w:r>
      <w:r w:rsidRPr="006109A0" w:rsidR="007E0064">
        <w:rPr>
          <w:rFonts w:cs="Arial"/>
        </w:rPr>
        <w:t xml:space="preserve"> significant</w:t>
      </w:r>
      <w:r w:rsidRPr="006109A0" w:rsidR="007B394F">
        <w:rPr>
          <w:rFonts w:cs="Arial"/>
        </w:rPr>
        <w:t xml:space="preserve"> debts held by </w:t>
      </w:r>
      <w:r w:rsidRPr="006A70E1" w:rsidR="006A70E1">
        <w:rPr>
          <w:rFonts w:cs="Arial"/>
        </w:rPr>
        <w:t xml:space="preserve">VVC </w:t>
      </w:r>
      <w:r w:rsidRPr="006109A0" w:rsidR="007E0064">
        <w:rPr>
          <w:rFonts w:cs="Arial"/>
        </w:rPr>
        <w:t xml:space="preserve">in excess of </w:t>
      </w:r>
      <w:r w:rsidRPr="006109A0" w:rsidR="007B394F">
        <w:rPr>
          <w:rFonts w:cs="Arial"/>
        </w:rPr>
        <w:t xml:space="preserve">a year old as at the </w:t>
      </w:r>
      <w:proofErr w:type="gramStart"/>
      <w:r w:rsidRPr="006109A0" w:rsidR="007B394F">
        <w:rPr>
          <w:rFonts w:cs="Arial"/>
        </w:rPr>
        <w:t>31</w:t>
      </w:r>
      <w:r w:rsidRPr="006109A0" w:rsidR="007B394F">
        <w:rPr>
          <w:rFonts w:cs="Arial"/>
          <w:vertAlign w:val="superscript"/>
        </w:rPr>
        <w:t>st</w:t>
      </w:r>
      <w:proofErr w:type="gramEnd"/>
      <w:r w:rsidRPr="006109A0" w:rsidR="007B394F">
        <w:rPr>
          <w:rFonts w:cs="Arial"/>
        </w:rPr>
        <w:t xml:space="preserve"> March 20</w:t>
      </w:r>
      <w:r w:rsidRPr="006109A0" w:rsidR="001F67CC">
        <w:rPr>
          <w:rFonts w:cs="Arial"/>
        </w:rPr>
        <w:t>2</w:t>
      </w:r>
      <w:r w:rsidRPr="006109A0" w:rsidR="006109A0">
        <w:rPr>
          <w:rFonts w:cs="Arial"/>
        </w:rPr>
        <w:t>3</w:t>
      </w:r>
      <w:r w:rsidRPr="006109A0" w:rsidR="007E0064">
        <w:rPr>
          <w:rFonts w:cs="Arial"/>
        </w:rPr>
        <w:t>.</w:t>
      </w:r>
    </w:p>
    <w:p w:rsidR="005A616D" w:rsidP="0007519D" w:rsidRDefault="005A616D" w14:paraId="049393A8" w14:textId="77777777">
      <w:pPr>
        <w:pStyle w:val="ListParagraph"/>
        <w:ind w:left="1080"/>
        <w:jc w:val="both"/>
        <w:rPr>
          <w:rFonts w:cs="Arial"/>
        </w:rPr>
      </w:pPr>
    </w:p>
    <w:p w:rsidR="001D64B2" w:rsidP="00E6303C" w:rsidRDefault="001D64B2" w14:paraId="24AE35C6" w14:textId="35A01C10">
      <w:pPr>
        <w:jc w:val="both"/>
        <w:rPr>
          <w:rFonts w:cs="Arial"/>
        </w:rPr>
      </w:pPr>
    </w:p>
    <w:p w:rsidR="00E6303C" w:rsidP="00E6303C" w:rsidRDefault="00E6303C" w14:paraId="5A615373" w14:textId="62CB411C">
      <w:pPr>
        <w:jc w:val="both"/>
        <w:rPr>
          <w:rFonts w:cs="Arial"/>
        </w:rPr>
      </w:pPr>
    </w:p>
    <w:p w:rsidRPr="00E6303C" w:rsidR="00E6303C" w:rsidP="00E6303C" w:rsidRDefault="00E6303C" w14:paraId="2A8DC350" w14:textId="77777777">
      <w:pPr>
        <w:jc w:val="both"/>
        <w:rPr>
          <w:rFonts w:cs="Arial"/>
        </w:rPr>
      </w:pPr>
    </w:p>
    <w:p w:rsidRPr="00614894" w:rsidR="007D01E5" w:rsidP="0007519D" w:rsidRDefault="007D01E5" w14:paraId="6A61CFF6" w14:textId="77777777">
      <w:pPr>
        <w:pStyle w:val="ListParagraph"/>
        <w:ind w:left="1080"/>
        <w:jc w:val="both"/>
        <w:rPr>
          <w:rFonts w:cs="Arial"/>
          <w:highlight w:val="yellow"/>
        </w:rPr>
      </w:pPr>
    </w:p>
    <w:p w:rsidRPr="0073228C" w:rsidR="0007519D" w:rsidP="0007519D" w:rsidRDefault="0007519D" w14:paraId="4573FA04" w14:textId="77777777">
      <w:pPr>
        <w:pStyle w:val="ListParagraph"/>
        <w:ind w:left="1080"/>
        <w:jc w:val="both"/>
        <w:rPr>
          <w:rFonts w:cs="Arial"/>
          <w:b/>
        </w:rPr>
      </w:pPr>
      <w:r w:rsidRPr="0073228C">
        <w:rPr>
          <w:rFonts w:cs="Arial"/>
          <w:b/>
        </w:rPr>
        <w:lastRenderedPageBreak/>
        <w:t>Pensions Liability</w:t>
      </w:r>
    </w:p>
    <w:p w:rsidRPr="00614894" w:rsidR="00B142A0" w:rsidP="0007519D" w:rsidRDefault="00B142A0" w14:paraId="0D4B49A4" w14:textId="77777777">
      <w:pPr>
        <w:pStyle w:val="ListParagraph"/>
        <w:ind w:left="1080"/>
        <w:jc w:val="both"/>
        <w:rPr>
          <w:rFonts w:cs="Arial"/>
          <w:b/>
          <w:highlight w:val="yellow"/>
        </w:rPr>
      </w:pPr>
    </w:p>
    <w:p w:rsidRPr="0073228C" w:rsidR="0005782D" w:rsidP="0007519D" w:rsidRDefault="00B142A0" w14:paraId="1C54D86B" w14:textId="2C8E9686">
      <w:pPr>
        <w:pStyle w:val="ListParagraph"/>
        <w:ind w:left="1080"/>
        <w:jc w:val="both"/>
        <w:rPr>
          <w:rFonts w:cs="Arial"/>
        </w:rPr>
      </w:pPr>
      <w:r w:rsidRPr="0073228C">
        <w:rPr>
          <w:rFonts w:cs="Arial"/>
        </w:rPr>
        <w:t xml:space="preserve">Pensions are provided under the Local Government Pension Scheme, with </w:t>
      </w:r>
      <w:r w:rsidRPr="006A70E1" w:rsidR="006A70E1">
        <w:rPr>
          <w:rFonts w:cs="Arial"/>
        </w:rPr>
        <w:t xml:space="preserve">VVC </w:t>
      </w:r>
      <w:r w:rsidRPr="0073228C">
        <w:rPr>
          <w:rFonts w:cs="Arial"/>
        </w:rPr>
        <w:t>being a member of the Cardiff and Vale Pension Fund, administered by Cardiff Council.  Employees and employers contribute to the fund, along with investment income and growth generated.</w:t>
      </w:r>
    </w:p>
    <w:p w:rsidRPr="00614894" w:rsidR="00D76726" w:rsidP="0007519D" w:rsidRDefault="00D76726" w14:paraId="7685B530" w14:textId="77777777">
      <w:pPr>
        <w:pStyle w:val="ListParagraph"/>
        <w:ind w:left="1080"/>
        <w:jc w:val="both"/>
        <w:rPr>
          <w:rFonts w:cs="Arial"/>
          <w:highlight w:val="yellow"/>
        </w:rPr>
      </w:pPr>
    </w:p>
    <w:p w:rsidRPr="0073228C" w:rsidR="0005782D" w:rsidP="0005782D" w:rsidRDefault="00F81225" w14:paraId="46E359D3" w14:textId="636CAC8D">
      <w:pPr>
        <w:pStyle w:val="ListParagraph"/>
        <w:ind w:left="1080"/>
        <w:jc w:val="both"/>
        <w:rPr>
          <w:rFonts w:cs="Arial"/>
        </w:rPr>
      </w:pPr>
      <w:r w:rsidRPr="004B3C5F">
        <w:rPr>
          <w:rFonts w:cs="Arial"/>
        </w:rPr>
        <w:t>Estimation of the net liability to pay pensions depends on a number of complex judgements related to the discount rate used, the rate at which salaries are projected to increase, changes in retirement ages, mortality rates and expected returns on pension fund assets.  A firm of actuaries</w:t>
      </w:r>
      <w:r>
        <w:rPr>
          <w:rFonts w:cs="Arial"/>
        </w:rPr>
        <w:t xml:space="preserve"> is</w:t>
      </w:r>
      <w:r w:rsidRPr="004B3C5F">
        <w:rPr>
          <w:rFonts w:cs="Arial"/>
        </w:rPr>
        <w:t xml:space="preserve"> engaged to provide the</w:t>
      </w:r>
      <w:r>
        <w:rPr>
          <w:rFonts w:cs="Arial"/>
        </w:rPr>
        <w:t xml:space="preserve"> Cardiff and Vale Pension Fund with expert advice about assumptions to be applied.  </w:t>
      </w:r>
      <w:r w:rsidRPr="00AE6B55">
        <w:rPr>
          <w:rFonts w:cs="Arial"/>
        </w:rPr>
        <w:t xml:space="preserve">The actuarial report is based on a roll forward of the triennial valuation carried out </w:t>
      </w:r>
      <w:proofErr w:type="gramStart"/>
      <w:r w:rsidRPr="00AE6B55">
        <w:rPr>
          <w:rFonts w:cs="Arial"/>
        </w:rPr>
        <w:t>at</w:t>
      </w:r>
      <w:proofErr w:type="gramEnd"/>
      <w:r w:rsidRPr="00AE6B55">
        <w:rPr>
          <w:rFonts w:cs="Arial"/>
        </w:rPr>
        <w:t xml:space="preserve"> 31</w:t>
      </w:r>
      <w:r w:rsidRPr="00AE6B55">
        <w:rPr>
          <w:rFonts w:cs="Arial"/>
          <w:vertAlign w:val="superscript"/>
        </w:rPr>
        <w:t>st</w:t>
      </w:r>
      <w:r w:rsidRPr="00AE6B55">
        <w:rPr>
          <w:rFonts w:cs="Arial"/>
        </w:rPr>
        <w:t xml:space="preserve"> March 202</w:t>
      </w:r>
      <w:r>
        <w:rPr>
          <w:rFonts w:cs="Arial"/>
        </w:rPr>
        <w:t>3</w:t>
      </w:r>
      <w:r w:rsidRPr="0073228C" w:rsidR="00406807">
        <w:rPr>
          <w:rFonts w:cs="Arial"/>
        </w:rPr>
        <w:t>.</w:t>
      </w:r>
      <w:r w:rsidRPr="0073228C" w:rsidR="00A34879">
        <w:rPr>
          <w:rFonts w:cs="Arial"/>
        </w:rPr>
        <w:t xml:space="preserve"> </w:t>
      </w:r>
    </w:p>
    <w:p w:rsidRPr="00614894" w:rsidR="00E245C4" w:rsidP="0005782D" w:rsidRDefault="00E245C4" w14:paraId="1AF9D97C" w14:textId="77777777">
      <w:pPr>
        <w:pStyle w:val="ListParagraph"/>
        <w:ind w:left="1080"/>
        <w:jc w:val="both"/>
        <w:rPr>
          <w:rFonts w:cs="Arial"/>
          <w:highlight w:val="yellow"/>
        </w:rPr>
      </w:pPr>
    </w:p>
    <w:p w:rsidR="00837948" w:rsidP="0007519D" w:rsidRDefault="00F81225" w14:paraId="1C55348C" w14:textId="7E049391">
      <w:pPr>
        <w:pStyle w:val="ListParagraph"/>
        <w:ind w:left="1080"/>
        <w:jc w:val="both"/>
        <w:rPr>
          <w:rFonts w:cs="Arial"/>
        </w:rPr>
      </w:pPr>
      <w:r w:rsidRPr="00AE6B55">
        <w:rPr>
          <w:rFonts w:cs="Arial"/>
        </w:rPr>
        <w:t xml:space="preserve">The actuarial </w:t>
      </w:r>
      <w:r>
        <w:rPr>
          <w:rFonts w:cs="Arial"/>
        </w:rPr>
        <w:t>report confirms that they are maintaining a watching brief in relation to Covid-19 developments and the possible impact on defined benefit pension scheme liabilities.</w:t>
      </w:r>
    </w:p>
    <w:p w:rsidRPr="00614894" w:rsidR="00F81225" w:rsidP="0007519D" w:rsidRDefault="00F81225" w14:paraId="109E2780" w14:textId="77777777">
      <w:pPr>
        <w:pStyle w:val="ListParagraph"/>
        <w:ind w:left="1080"/>
        <w:jc w:val="both"/>
        <w:rPr>
          <w:rFonts w:cs="Arial"/>
          <w:highlight w:val="yellow"/>
        </w:rPr>
      </w:pPr>
    </w:p>
    <w:p w:rsidRPr="00BD5721" w:rsidR="000A5B57" w:rsidP="0007519D" w:rsidRDefault="00837948" w14:paraId="5FE8E277" w14:textId="5A93FB9D">
      <w:pPr>
        <w:pStyle w:val="ListParagraph"/>
        <w:ind w:left="1080"/>
        <w:jc w:val="both"/>
        <w:rPr>
          <w:rFonts w:cs="Arial"/>
        </w:rPr>
      </w:pPr>
      <w:r w:rsidRPr="0073228C">
        <w:rPr>
          <w:rFonts w:cs="Arial"/>
        </w:rPr>
        <w:t>The 202</w:t>
      </w:r>
      <w:r w:rsidRPr="0073228C" w:rsidR="0073228C">
        <w:rPr>
          <w:rFonts w:cs="Arial"/>
        </w:rPr>
        <w:t>2</w:t>
      </w:r>
      <w:r w:rsidRPr="0073228C">
        <w:rPr>
          <w:rFonts w:cs="Arial"/>
        </w:rPr>
        <w:t>/2</w:t>
      </w:r>
      <w:r w:rsidRPr="0073228C" w:rsidR="0073228C">
        <w:rPr>
          <w:rFonts w:cs="Arial"/>
        </w:rPr>
        <w:t>3</w:t>
      </w:r>
      <w:r w:rsidRPr="0073228C">
        <w:rPr>
          <w:rFonts w:cs="Arial"/>
        </w:rPr>
        <w:t xml:space="preserve"> </w:t>
      </w:r>
      <w:r w:rsidRPr="006A70E1" w:rsidR="006A70E1">
        <w:rPr>
          <w:rFonts w:cs="Arial"/>
        </w:rPr>
        <w:t xml:space="preserve">VVC </w:t>
      </w:r>
      <w:r w:rsidRPr="0073228C">
        <w:rPr>
          <w:rFonts w:cs="Arial"/>
        </w:rPr>
        <w:t xml:space="preserve">element of the Pension Scheme has reduced </w:t>
      </w:r>
      <w:r w:rsidRPr="00BD5721">
        <w:rPr>
          <w:rFonts w:cs="Arial"/>
        </w:rPr>
        <w:t>by £</w:t>
      </w:r>
      <w:r w:rsidRPr="00BD5721" w:rsidR="00BD5721">
        <w:rPr>
          <w:rFonts w:cs="Arial"/>
        </w:rPr>
        <w:t>2</w:t>
      </w:r>
      <w:r w:rsidRPr="00BD5721">
        <w:rPr>
          <w:rFonts w:cs="Arial"/>
        </w:rPr>
        <w:t>.</w:t>
      </w:r>
      <w:r w:rsidRPr="00BD5721" w:rsidR="00BD5721">
        <w:rPr>
          <w:rFonts w:cs="Arial"/>
        </w:rPr>
        <w:t>960</w:t>
      </w:r>
      <w:r w:rsidRPr="00BD5721">
        <w:rPr>
          <w:rFonts w:cs="Arial"/>
        </w:rPr>
        <w:t xml:space="preserve">m in the year, which is reflected on the Balance Sheet. </w:t>
      </w:r>
      <w:r w:rsidRPr="00BD5721" w:rsidR="00040733">
        <w:rPr>
          <w:rFonts w:cs="Arial"/>
        </w:rPr>
        <w:t>The estimated impact of the McCloud judgement has been accounted for within the 202</w:t>
      </w:r>
      <w:r w:rsidR="00BD5721">
        <w:rPr>
          <w:rFonts w:cs="Arial"/>
        </w:rPr>
        <w:t>2</w:t>
      </w:r>
      <w:r w:rsidRPr="00BD5721" w:rsidR="00040733">
        <w:rPr>
          <w:rFonts w:cs="Arial"/>
        </w:rPr>
        <w:t>/2</w:t>
      </w:r>
      <w:r w:rsidR="00BD5721">
        <w:rPr>
          <w:rFonts w:cs="Arial"/>
        </w:rPr>
        <w:t>3</w:t>
      </w:r>
      <w:r w:rsidRPr="00BD5721" w:rsidR="00040733">
        <w:rPr>
          <w:rFonts w:cs="Arial"/>
        </w:rPr>
        <w:t xml:space="preserve"> pension valuation.  </w:t>
      </w:r>
    </w:p>
    <w:p w:rsidRPr="00614894" w:rsidR="006F4CCC" w:rsidP="0007519D" w:rsidRDefault="006F4CCC" w14:paraId="3711C7C4" w14:textId="3E23FBA8">
      <w:pPr>
        <w:pStyle w:val="ListParagraph"/>
        <w:ind w:left="1080"/>
        <w:jc w:val="both"/>
        <w:rPr>
          <w:rFonts w:cs="Arial"/>
          <w:highlight w:val="yellow"/>
        </w:rPr>
      </w:pPr>
    </w:p>
    <w:p w:rsidRPr="00533AE1" w:rsidR="006F4CCC" w:rsidP="0007519D" w:rsidRDefault="006F4CCC" w14:paraId="057A393F" w14:textId="1437D842">
      <w:pPr>
        <w:pStyle w:val="ListParagraph"/>
        <w:ind w:left="1080"/>
        <w:jc w:val="both"/>
        <w:rPr>
          <w:rFonts w:cs="Arial"/>
          <w:b/>
        </w:rPr>
      </w:pPr>
      <w:r w:rsidRPr="00533AE1">
        <w:rPr>
          <w:rFonts w:cs="Arial"/>
          <w:b/>
        </w:rPr>
        <w:t xml:space="preserve">Future </w:t>
      </w:r>
      <w:r w:rsidRPr="00533AE1" w:rsidR="009002E0">
        <w:rPr>
          <w:rFonts w:cs="Arial"/>
          <w:b/>
        </w:rPr>
        <w:t>Period Budget</w:t>
      </w:r>
      <w:r w:rsidRPr="00533AE1">
        <w:rPr>
          <w:rFonts w:cs="Arial"/>
          <w:b/>
        </w:rPr>
        <w:t xml:space="preserve"> Pressures</w:t>
      </w:r>
    </w:p>
    <w:p w:rsidRPr="00533AE1" w:rsidR="006F4CCC" w:rsidP="0007519D" w:rsidRDefault="006F4CCC" w14:paraId="4E130ABB" w14:textId="1530D8F3">
      <w:pPr>
        <w:pStyle w:val="ListParagraph"/>
        <w:ind w:left="1080"/>
        <w:jc w:val="both"/>
        <w:rPr>
          <w:rFonts w:cs="Arial"/>
        </w:rPr>
      </w:pPr>
    </w:p>
    <w:p w:rsidRPr="00533AE1" w:rsidR="006F4CCC" w:rsidP="0007519D" w:rsidRDefault="006F4CCC" w14:paraId="0DFF8E1D" w14:textId="4A51C3EC">
      <w:pPr>
        <w:pStyle w:val="ListParagraph"/>
        <w:ind w:left="1080"/>
        <w:jc w:val="both"/>
        <w:rPr>
          <w:rFonts w:cs="Arial"/>
        </w:rPr>
      </w:pPr>
      <w:r w:rsidRPr="00533AE1">
        <w:rPr>
          <w:rFonts w:cs="Arial"/>
        </w:rPr>
        <w:t xml:space="preserve">In accordance with </w:t>
      </w:r>
      <w:r w:rsidRPr="00533AE1" w:rsidR="009002E0">
        <w:rPr>
          <w:rFonts w:cs="Arial"/>
        </w:rPr>
        <w:t xml:space="preserve">the </w:t>
      </w:r>
      <w:r w:rsidR="00A26D72">
        <w:rPr>
          <w:rFonts w:cs="Arial"/>
        </w:rPr>
        <w:t>Collaborative</w:t>
      </w:r>
      <w:r w:rsidRPr="00533AE1" w:rsidR="009002E0">
        <w:rPr>
          <w:rFonts w:cs="Arial"/>
        </w:rPr>
        <w:t>, as</w:t>
      </w:r>
      <w:r w:rsidRPr="00533AE1">
        <w:rPr>
          <w:rFonts w:cs="Arial"/>
        </w:rPr>
        <w:t xml:space="preserve"> signed by all partner</w:t>
      </w:r>
      <w:r w:rsidRPr="00533AE1" w:rsidR="009002E0">
        <w:rPr>
          <w:rFonts w:cs="Arial"/>
        </w:rPr>
        <w:t xml:space="preserve"> authorities on the </w:t>
      </w:r>
      <w:proofErr w:type="gramStart"/>
      <w:r w:rsidRPr="00533AE1" w:rsidR="009002E0">
        <w:rPr>
          <w:rFonts w:cs="Arial"/>
        </w:rPr>
        <w:t>1</w:t>
      </w:r>
      <w:r w:rsidRPr="00533AE1" w:rsidR="009002E0">
        <w:rPr>
          <w:rFonts w:cs="Arial"/>
          <w:vertAlign w:val="superscript"/>
        </w:rPr>
        <w:t>st</w:t>
      </w:r>
      <w:proofErr w:type="gramEnd"/>
      <w:r w:rsidRPr="00533AE1" w:rsidR="009002E0">
        <w:rPr>
          <w:rFonts w:cs="Arial"/>
        </w:rPr>
        <w:t xml:space="preserve"> </w:t>
      </w:r>
      <w:r w:rsidRPr="00533AE1" w:rsidR="000B1133">
        <w:rPr>
          <w:rFonts w:cs="Arial"/>
        </w:rPr>
        <w:t>June</w:t>
      </w:r>
      <w:r w:rsidRPr="00533AE1" w:rsidR="009002E0">
        <w:rPr>
          <w:rFonts w:cs="Arial"/>
        </w:rPr>
        <w:t xml:space="preserve"> 2015, the </w:t>
      </w:r>
      <w:r w:rsidRPr="00533AE1" w:rsidR="00533AE1">
        <w:rPr>
          <w:rFonts w:cs="Arial"/>
        </w:rPr>
        <w:t xml:space="preserve">draft </w:t>
      </w:r>
      <w:r w:rsidRPr="00533AE1" w:rsidR="009002E0">
        <w:rPr>
          <w:rFonts w:cs="Arial"/>
        </w:rPr>
        <w:t>revenue budget must be agreed by the 31</w:t>
      </w:r>
      <w:r w:rsidRPr="00533AE1" w:rsidR="009002E0">
        <w:rPr>
          <w:rFonts w:cs="Arial"/>
          <w:vertAlign w:val="superscript"/>
        </w:rPr>
        <w:t>st</w:t>
      </w:r>
      <w:r w:rsidRPr="00533AE1" w:rsidR="009002E0">
        <w:rPr>
          <w:rFonts w:cs="Arial"/>
        </w:rPr>
        <w:t xml:space="preserve"> December in the year preceding the year to which it relates</w:t>
      </w:r>
      <w:r w:rsidRPr="00533AE1" w:rsidR="006A328B">
        <w:rPr>
          <w:rFonts w:cs="Arial"/>
        </w:rPr>
        <w:t xml:space="preserve"> an extension to this period was agreed by all partner authorities </w:t>
      </w:r>
      <w:r w:rsidRPr="00533AE1" w:rsidR="000B1133">
        <w:rPr>
          <w:rFonts w:cs="Arial"/>
        </w:rPr>
        <w:t>for 202</w:t>
      </w:r>
      <w:r w:rsidRPr="00533AE1" w:rsidR="00533AE1">
        <w:rPr>
          <w:rFonts w:cs="Arial"/>
        </w:rPr>
        <w:t>3</w:t>
      </w:r>
      <w:r w:rsidRPr="00533AE1" w:rsidR="000B1133">
        <w:rPr>
          <w:rFonts w:cs="Arial"/>
        </w:rPr>
        <w:t>/2</w:t>
      </w:r>
      <w:r w:rsidRPr="00533AE1" w:rsidR="00533AE1">
        <w:rPr>
          <w:rFonts w:cs="Arial"/>
        </w:rPr>
        <w:t>4</w:t>
      </w:r>
      <w:r w:rsidRPr="00533AE1" w:rsidR="000B1133">
        <w:rPr>
          <w:rFonts w:cs="Arial"/>
        </w:rPr>
        <w:t xml:space="preserve"> </w:t>
      </w:r>
      <w:r w:rsidRPr="00533AE1" w:rsidR="006A328B">
        <w:rPr>
          <w:rFonts w:cs="Arial"/>
        </w:rPr>
        <w:t>with the Final Budget being agreed by</w:t>
      </w:r>
      <w:r w:rsidRPr="00533AE1" w:rsidR="00533AE1">
        <w:rPr>
          <w:rFonts w:cs="Arial"/>
        </w:rPr>
        <w:t xml:space="preserve"> 23</w:t>
      </w:r>
      <w:r w:rsidRPr="00533AE1" w:rsidR="00533AE1">
        <w:rPr>
          <w:rFonts w:cs="Arial"/>
          <w:vertAlign w:val="superscript"/>
        </w:rPr>
        <w:t>rd</w:t>
      </w:r>
      <w:r w:rsidRPr="00533AE1" w:rsidR="00533AE1">
        <w:rPr>
          <w:rFonts w:cs="Arial"/>
        </w:rPr>
        <w:t xml:space="preserve"> January 2023.</w:t>
      </w:r>
      <w:r w:rsidRPr="00533AE1" w:rsidR="009002E0">
        <w:rPr>
          <w:rFonts w:cs="Arial"/>
        </w:rPr>
        <w:t xml:space="preserve">  All amendments to the revenue budget are progressed in the following financial year.</w:t>
      </w:r>
    </w:p>
    <w:p w:rsidRPr="00614894" w:rsidR="00040733" w:rsidP="0007519D" w:rsidRDefault="00040733" w14:paraId="2DC57020" w14:textId="77777777">
      <w:pPr>
        <w:pStyle w:val="ListParagraph"/>
        <w:ind w:left="1080"/>
        <w:jc w:val="both"/>
        <w:rPr>
          <w:rFonts w:cs="Arial"/>
          <w:highlight w:val="yellow"/>
        </w:rPr>
      </w:pPr>
    </w:p>
    <w:p w:rsidRPr="0073228C" w:rsidR="00BC59F4" w:rsidP="00193CE2" w:rsidRDefault="00193CE2" w14:paraId="0444D5D0" w14:textId="77777777">
      <w:pPr>
        <w:pStyle w:val="ListParagraph"/>
        <w:ind w:left="1080"/>
        <w:jc w:val="both"/>
        <w:rPr>
          <w:rFonts w:cs="Arial"/>
          <w:b/>
        </w:rPr>
      </w:pPr>
      <w:r w:rsidRPr="0073228C">
        <w:rPr>
          <w:rFonts w:cs="Arial"/>
          <w:b/>
        </w:rPr>
        <w:t>Material Items of Income and Expenditure</w:t>
      </w:r>
    </w:p>
    <w:p w:rsidRPr="0073228C" w:rsidR="00193CE2" w:rsidP="00193CE2" w:rsidRDefault="00193CE2" w14:paraId="5FCB3339" w14:textId="77777777">
      <w:pPr>
        <w:pStyle w:val="ListParagraph"/>
        <w:ind w:left="1080"/>
        <w:jc w:val="both"/>
        <w:rPr>
          <w:rFonts w:cs="Arial"/>
          <w:b/>
        </w:rPr>
      </w:pPr>
    </w:p>
    <w:p w:rsidR="00D31C92" w:rsidP="00837948" w:rsidRDefault="006A70E1" w14:paraId="0A148C34" w14:textId="7E367A46">
      <w:pPr>
        <w:pStyle w:val="ListParagraph"/>
        <w:ind w:left="1080"/>
        <w:jc w:val="both"/>
        <w:rPr>
          <w:rFonts w:cs="Arial"/>
        </w:rPr>
      </w:pPr>
      <w:r w:rsidRPr="006A70E1">
        <w:rPr>
          <w:rFonts w:cs="Arial"/>
        </w:rPr>
        <w:t xml:space="preserve">VVC </w:t>
      </w:r>
      <w:r w:rsidRPr="0073228C" w:rsidR="00193CE2">
        <w:rPr>
          <w:rFonts w:cs="Arial"/>
        </w:rPr>
        <w:t>does not have any material items of income and expenditure to report that require any further explanation.</w:t>
      </w:r>
    </w:p>
    <w:p w:rsidR="009E054E" w:rsidP="009E054E" w:rsidRDefault="009E054E" w14:paraId="569FE4C3" w14:textId="47321065">
      <w:pPr>
        <w:jc w:val="both"/>
        <w:rPr>
          <w:rFonts w:cs="Arial"/>
          <w:b/>
        </w:rPr>
      </w:pPr>
    </w:p>
    <w:p w:rsidR="000B1133" w:rsidP="009E054E" w:rsidRDefault="000B1133" w14:paraId="7FDE1D04" w14:textId="4E62FFBB">
      <w:pPr>
        <w:jc w:val="both"/>
        <w:rPr>
          <w:rFonts w:cs="Arial"/>
          <w:b/>
        </w:rPr>
      </w:pPr>
    </w:p>
    <w:p w:rsidR="001E2079" w:rsidP="009E054E" w:rsidRDefault="001E2079" w14:paraId="46F98984" w14:textId="6E1D6BF6">
      <w:pPr>
        <w:jc w:val="both"/>
        <w:rPr>
          <w:rFonts w:cs="Arial"/>
          <w:b/>
        </w:rPr>
      </w:pPr>
    </w:p>
    <w:p w:rsidR="001E2079" w:rsidP="009E054E" w:rsidRDefault="001E2079" w14:paraId="79C3A27E" w14:textId="613DABCA">
      <w:pPr>
        <w:jc w:val="both"/>
        <w:rPr>
          <w:rFonts w:cs="Arial"/>
          <w:b/>
        </w:rPr>
      </w:pPr>
    </w:p>
    <w:p w:rsidR="001E2079" w:rsidP="009E054E" w:rsidRDefault="001E2079" w14:paraId="15F45381" w14:textId="59343DA6">
      <w:pPr>
        <w:jc w:val="both"/>
        <w:rPr>
          <w:rFonts w:cs="Arial"/>
          <w:b/>
        </w:rPr>
      </w:pPr>
    </w:p>
    <w:p w:rsidR="001E2079" w:rsidP="009E054E" w:rsidRDefault="001E2079" w14:paraId="442DF593" w14:textId="3232F44D">
      <w:pPr>
        <w:jc w:val="both"/>
        <w:rPr>
          <w:rFonts w:cs="Arial"/>
          <w:b/>
        </w:rPr>
      </w:pPr>
    </w:p>
    <w:p w:rsidRPr="009E054E" w:rsidR="001E2079" w:rsidP="009E054E" w:rsidRDefault="001E2079" w14:paraId="67D2F707" w14:textId="77777777">
      <w:pPr>
        <w:jc w:val="both"/>
        <w:rPr>
          <w:rFonts w:cs="Arial"/>
          <w:b/>
        </w:rPr>
      </w:pPr>
    </w:p>
    <w:tbl>
      <w:tblPr>
        <w:tblpPr w:leftFromText="180" w:rightFromText="180" w:vertAnchor="text" w:horzAnchor="margin" w:tblpXSpec="center" w:tblpY="709"/>
        <w:tblW w:w="10768" w:type="dxa"/>
        <w:tblLayout w:type="fixed"/>
        <w:tblLook w:val="04A0" w:firstRow="1" w:lastRow="0" w:firstColumn="1" w:lastColumn="0" w:noHBand="0" w:noVBand="1"/>
      </w:tblPr>
      <w:tblGrid>
        <w:gridCol w:w="3692"/>
        <w:gridCol w:w="1570"/>
        <w:gridCol w:w="11"/>
        <w:gridCol w:w="1417"/>
        <w:gridCol w:w="12"/>
        <w:gridCol w:w="1385"/>
        <w:gridCol w:w="63"/>
        <w:gridCol w:w="923"/>
        <w:gridCol w:w="383"/>
        <w:gridCol w:w="12"/>
        <w:gridCol w:w="1300"/>
      </w:tblGrid>
      <w:tr w:rsidRPr="00614894" w:rsidR="00982BE2" w:rsidTr="00E34236" w14:paraId="6E805043" w14:textId="77777777">
        <w:trPr>
          <w:trHeight w:val="352"/>
        </w:trPr>
        <w:tc>
          <w:tcPr>
            <w:tcW w:w="9073" w:type="dxa"/>
            <w:gridSpan w:val="8"/>
            <w:tcBorders>
              <w:top w:val="single" w:color="auto" w:sz="4" w:space="0"/>
              <w:left w:val="single" w:color="auto" w:sz="4" w:space="0"/>
            </w:tcBorders>
            <w:shd w:val="clear" w:color="auto" w:fill="DBE5F1" w:themeFill="accent1" w:themeFillTint="33"/>
            <w:vAlign w:val="bottom"/>
          </w:tcPr>
          <w:p w:rsidRPr="00F06452" w:rsidR="00982BE2" w:rsidP="00982BE2" w:rsidRDefault="00982BE2" w14:paraId="25A2FFF3" w14:textId="3B05CECE">
            <w:pPr>
              <w:spacing w:after="0" w:line="240" w:lineRule="auto"/>
              <w:rPr>
                <w:rFonts w:eastAsia="Times New Roman" w:cs="Arial"/>
                <w:b/>
                <w:bCs/>
                <w:color w:val="000000"/>
                <w:sz w:val="20"/>
                <w:szCs w:val="20"/>
                <w:lang w:eastAsia="en-GB"/>
              </w:rPr>
            </w:pPr>
            <w:r w:rsidRPr="00F06452">
              <w:rPr>
                <w:rFonts w:eastAsia="Times New Roman" w:cs="Arial"/>
                <w:b/>
                <w:bCs/>
                <w:color w:val="000000"/>
                <w:sz w:val="20"/>
                <w:szCs w:val="20"/>
                <w:lang w:eastAsia="en-GB"/>
              </w:rPr>
              <w:lastRenderedPageBreak/>
              <w:t>Notes to the Expenditure and Fun</w:t>
            </w:r>
            <w:r w:rsidRPr="00F06452" w:rsidR="00984104">
              <w:rPr>
                <w:rFonts w:eastAsia="Times New Roman" w:cs="Arial"/>
                <w:b/>
                <w:bCs/>
                <w:color w:val="000000"/>
                <w:sz w:val="20"/>
                <w:szCs w:val="20"/>
                <w:lang w:eastAsia="en-GB"/>
              </w:rPr>
              <w:t>ding Analysis 202</w:t>
            </w:r>
            <w:r w:rsidRPr="00F06452" w:rsidR="002D75E5">
              <w:rPr>
                <w:rFonts w:eastAsia="Times New Roman" w:cs="Arial"/>
                <w:b/>
                <w:bCs/>
                <w:color w:val="000000"/>
                <w:sz w:val="20"/>
                <w:szCs w:val="20"/>
                <w:lang w:eastAsia="en-GB"/>
              </w:rPr>
              <w:t>2</w:t>
            </w:r>
            <w:r w:rsidRPr="00F06452" w:rsidR="00984104">
              <w:rPr>
                <w:rFonts w:eastAsia="Times New Roman" w:cs="Arial"/>
                <w:b/>
                <w:bCs/>
                <w:color w:val="000000"/>
                <w:sz w:val="20"/>
                <w:szCs w:val="20"/>
                <w:lang w:eastAsia="en-GB"/>
              </w:rPr>
              <w:t>/2</w:t>
            </w:r>
            <w:r w:rsidRPr="00F06452" w:rsidR="002D75E5">
              <w:rPr>
                <w:rFonts w:eastAsia="Times New Roman" w:cs="Arial"/>
                <w:b/>
                <w:bCs/>
                <w:color w:val="000000"/>
                <w:sz w:val="20"/>
                <w:szCs w:val="20"/>
                <w:lang w:eastAsia="en-GB"/>
              </w:rPr>
              <w:t>3</w:t>
            </w:r>
            <w:r w:rsidRPr="00F06452">
              <w:rPr>
                <w:rFonts w:eastAsia="Times New Roman" w:cs="Arial"/>
                <w:b/>
                <w:bCs/>
                <w:color w:val="000000"/>
                <w:sz w:val="20"/>
                <w:szCs w:val="20"/>
                <w:lang w:eastAsia="en-GB"/>
              </w:rPr>
              <w:t xml:space="preserve"> </w:t>
            </w:r>
          </w:p>
        </w:tc>
        <w:tc>
          <w:tcPr>
            <w:tcW w:w="1695" w:type="dxa"/>
            <w:gridSpan w:val="3"/>
            <w:tcBorders>
              <w:top w:val="single" w:color="auto" w:sz="4" w:space="0"/>
              <w:right w:val="single" w:color="auto" w:sz="4" w:space="0"/>
            </w:tcBorders>
            <w:shd w:val="clear" w:color="auto" w:fill="DBE5F1" w:themeFill="accent1" w:themeFillTint="33"/>
            <w:vAlign w:val="bottom"/>
          </w:tcPr>
          <w:p w:rsidRPr="00F06452" w:rsidR="00982BE2" w:rsidP="00982BE2" w:rsidRDefault="00982BE2" w14:paraId="7941DB20" w14:textId="77777777">
            <w:pPr>
              <w:spacing w:after="0" w:line="240" w:lineRule="auto"/>
              <w:rPr>
                <w:rFonts w:eastAsia="Times New Roman" w:cs="Arial"/>
                <w:b/>
                <w:bCs/>
                <w:color w:val="000000"/>
                <w:sz w:val="20"/>
                <w:szCs w:val="20"/>
                <w:lang w:eastAsia="en-GB"/>
              </w:rPr>
            </w:pPr>
          </w:p>
        </w:tc>
      </w:tr>
      <w:tr w:rsidRPr="00614894" w:rsidR="00982BE2" w:rsidTr="00E34236" w14:paraId="0713CE90" w14:textId="77777777">
        <w:tblPrEx>
          <w:tblCellMar>
            <w:left w:w="78" w:type="dxa"/>
            <w:right w:w="78" w:type="dxa"/>
          </w:tblCellMar>
        </w:tblPrEx>
        <w:trPr>
          <w:trHeight w:val="256"/>
        </w:trPr>
        <w:tc>
          <w:tcPr>
            <w:tcW w:w="10768" w:type="dxa"/>
            <w:gridSpan w:val="11"/>
            <w:tcBorders>
              <w:left w:val="single" w:color="auto" w:sz="2" w:space="0"/>
              <w:right w:val="single" w:color="auto" w:sz="2" w:space="0"/>
            </w:tcBorders>
            <w:shd w:val="clear" w:color="auto" w:fill="DBE5F1" w:themeFill="accent1" w:themeFillTint="33"/>
            <w:vAlign w:val="bottom"/>
          </w:tcPr>
          <w:p w:rsidRPr="00F06452" w:rsidR="00982BE2" w:rsidP="00982BE2" w:rsidRDefault="00982BE2" w14:paraId="4B93FB12" w14:textId="77777777">
            <w:pPr>
              <w:spacing w:after="0" w:line="240" w:lineRule="auto"/>
              <w:rPr>
                <w:rFonts w:eastAsia="Times New Roman" w:cs="Arial"/>
                <w:b/>
                <w:bCs/>
                <w:color w:val="000000"/>
                <w:sz w:val="20"/>
                <w:szCs w:val="20"/>
                <w:lang w:eastAsia="en-GB"/>
              </w:rPr>
            </w:pPr>
            <w:r w:rsidRPr="00F06452">
              <w:rPr>
                <w:rFonts w:eastAsia="Times New Roman" w:cs="Arial"/>
                <w:b/>
                <w:bCs/>
                <w:color w:val="000000"/>
                <w:sz w:val="20"/>
                <w:szCs w:val="20"/>
                <w:lang w:eastAsia="en-GB"/>
              </w:rPr>
              <w:t>Adjustments from General Fund to arrive at the Comprehensive Income and Expenditure Statement Amounts</w:t>
            </w:r>
          </w:p>
        </w:tc>
      </w:tr>
      <w:tr w:rsidRPr="00614894" w:rsidR="00982BE2" w:rsidTr="00E34236" w14:paraId="4A893A32" w14:textId="77777777">
        <w:tblPrEx>
          <w:tblCellMar>
            <w:left w:w="78" w:type="dxa"/>
            <w:right w:w="78" w:type="dxa"/>
          </w:tblCellMar>
        </w:tblPrEx>
        <w:trPr>
          <w:trHeight w:val="558"/>
        </w:trPr>
        <w:tc>
          <w:tcPr>
            <w:tcW w:w="3692" w:type="dxa"/>
            <w:tcBorders>
              <w:left w:val="single" w:color="auto" w:sz="2" w:space="0"/>
              <w:bottom w:val="single" w:color="auto" w:sz="2" w:space="0"/>
              <w:right w:val="nil"/>
            </w:tcBorders>
            <w:shd w:val="clear" w:color="auto" w:fill="DBE5F1" w:themeFill="accent1" w:themeFillTint="33"/>
            <w:vAlign w:val="bottom"/>
            <w:hideMark/>
          </w:tcPr>
          <w:p w:rsidRPr="00F06452" w:rsidR="00982BE2" w:rsidP="00982BE2" w:rsidRDefault="00982BE2" w14:paraId="1DE828CE" w14:textId="77777777">
            <w:pPr>
              <w:spacing w:after="0" w:line="240" w:lineRule="auto"/>
              <w:rPr>
                <w:rFonts w:eastAsia="Times New Roman" w:cs="Arial"/>
                <w:b/>
                <w:bCs/>
                <w:color w:val="000000"/>
                <w:sz w:val="20"/>
                <w:szCs w:val="20"/>
                <w:lang w:eastAsia="en-GB"/>
              </w:rPr>
            </w:pPr>
          </w:p>
        </w:tc>
        <w:tc>
          <w:tcPr>
            <w:tcW w:w="1570" w:type="dxa"/>
            <w:tcBorders>
              <w:left w:val="nil"/>
              <w:bottom w:val="single" w:color="auto" w:sz="2" w:space="0"/>
              <w:right w:val="nil"/>
            </w:tcBorders>
            <w:shd w:val="clear" w:color="auto" w:fill="DBE5F1" w:themeFill="accent1" w:themeFillTint="33"/>
            <w:vAlign w:val="bottom"/>
            <w:hideMark/>
          </w:tcPr>
          <w:p w:rsidRPr="00F06452" w:rsidR="00982BE2" w:rsidP="00982BE2" w:rsidRDefault="00EA42E0" w14:paraId="6E722D0B"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 xml:space="preserve"> Pension Interest</w:t>
            </w:r>
            <w:r w:rsidRPr="00F06452" w:rsidR="00982BE2">
              <w:rPr>
                <w:rFonts w:eastAsia="Times New Roman" w:cs="Arial"/>
                <w:b/>
                <w:bCs/>
                <w:color w:val="000000"/>
                <w:sz w:val="20"/>
                <w:szCs w:val="20"/>
                <w:lang w:eastAsia="en-GB"/>
              </w:rPr>
              <w:t xml:space="preserve"> Adjustment £’000</w:t>
            </w:r>
          </w:p>
        </w:tc>
        <w:tc>
          <w:tcPr>
            <w:tcW w:w="1428" w:type="dxa"/>
            <w:gridSpan w:val="2"/>
            <w:tcBorders>
              <w:left w:val="nil"/>
              <w:bottom w:val="single" w:color="auto" w:sz="2" w:space="0"/>
              <w:right w:val="nil"/>
            </w:tcBorders>
            <w:shd w:val="clear" w:color="auto" w:fill="DBE5F1" w:themeFill="accent1" w:themeFillTint="33"/>
            <w:vAlign w:val="bottom"/>
          </w:tcPr>
          <w:p w:rsidRPr="00F06452" w:rsidR="00982BE2" w:rsidP="00982BE2" w:rsidRDefault="00982BE2" w14:paraId="2D36E068"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Adjustments for Capital Purposes £’000</w:t>
            </w:r>
          </w:p>
        </w:tc>
        <w:tc>
          <w:tcPr>
            <w:tcW w:w="1460" w:type="dxa"/>
            <w:gridSpan w:val="3"/>
            <w:tcBorders>
              <w:left w:val="nil"/>
              <w:bottom w:val="single" w:color="auto" w:sz="2" w:space="0"/>
              <w:right w:val="nil"/>
            </w:tcBorders>
            <w:shd w:val="clear" w:color="auto" w:fill="DBE5F1" w:themeFill="accent1" w:themeFillTint="33"/>
            <w:vAlign w:val="bottom"/>
            <w:hideMark/>
          </w:tcPr>
          <w:p w:rsidRPr="00F06452" w:rsidR="00982BE2" w:rsidP="00982BE2" w:rsidRDefault="00982BE2" w14:paraId="2D4BAE5B"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Net</w:t>
            </w:r>
            <w:r w:rsidRPr="00F06452" w:rsidR="00EA42E0">
              <w:rPr>
                <w:rFonts w:eastAsia="Times New Roman" w:cs="Arial"/>
                <w:b/>
                <w:bCs/>
                <w:color w:val="000000"/>
                <w:sz w:val="20"/>
                <w:szCs w:val="20"/>
                <w:lang w:eastAsia="en-GB"/>
              </w:rPr>
              <w:t xml:space="preserve"> Change for Pensions Adjustment</w:t>
            </w:r>
          </w:p>
          <w:p w:rsidRPr="00F06452" w:rsidR="00982BE2" w:rsidP="00982BE2" w:rsidRDefault="00982BE2" w14:paraId="4B6C91DB"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£’000</w:t>
            </w:r>
          </w:p>
        </w:tc>
        <w:tc>
          <w:tcPr>
            <w:tcW w:w="1306" w:type="dxa"/>
            <w:gridSpan w:val="2"/>
            <w:tcBorders>
              <w:left w:val="nil"/>
              <w:bottom w:val="single" w:color="auto" w:sz="2" w:space="0"/>
              <w:right w:val="nil"/>
            </w:tcBorders>
            <w:shd w:val="clear" w:color="auto" w:fill="DBE5F1" w:themeFill="accent1" w:themeFillTint="33"/>
            <w:vAlign w:val="bottom"/>
            <w:hideMark/>
          </w:tcPr>
          <w:p w:rsidRPr="00F06452" w:rsidR="00982BE2" w:rsidP="00982BE2" w:rsidRDefault="00982BE2" w14:paraId="1F244C43"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Accrued Annual Leave</w:t>
            </w:r>
          </w:p>
          <w:p w:rsidRPr="00F06452" w:rsidR="00982BE2" w:rsidP="00982BE2" w:rsidRDefault="00982BE2" w14:paraId="4E8E67AD"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£’000</w:t>
            </w:r>
          </w:p>
        </w:tc>
        <w:tc>
          <w:tcPr>
            <w:tcW w:w="1312" w:type="dxa"/>
            <w:gridSpan w:val="2"/>
            <w:tcBorders>
              <w:left w:val="nil"/>
              <w:bottom w:val="single" w:color="auto" w:sz="2" w:space="0"/>
              <w:right w:val="single" w:color="auto" w:sz="2" w:space="0"/>
            </w:tcBorders>
            <w:shd w:val="clear" w:color="auto" w:fill="DBE5F1" w:themeFill="accent1" w:themeFillTint="33"/>
            <w:vAlign w:val="bottom"/>
            <w:hideMark/>
          </w:tcPr>
          <w:p w:rsidRPr="00F06452" w:rsidR="00982BE2" w:rsidP="00EA42E0" w:rsidRDefault="00EA42E0" w14:paraId="482C40AC" w14:textId="77777777">
            <w:pPr>
              <w:spacing w:after="0" w:line="240" w:lineRule="auto"/>
              <w:ind w:hanging="326"/>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Total Adjustment</w:t>
            </w:r>
          </w:p>
          <w:p w:rsidRPr="00F06452" w:rsidR="00982BE2" w:rsidP="00982BE2" w:rsidRDefault="00982BE2" w14:paraId="64B9E4BE"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£’000</w:t>
            </w:r>
          </w:p>
        </w:tc>
      </w:tr>
      <w:tr w:rsidRPr="00614894" w:rsidR="00982BE2" w:rsidTr="00EA42E0" w14:paraId="437AD6B2" w14:textId="77777777">
        <w:tblPrEx>
          <w:tblCellMar>
            <w:left w:w="78" w:type="dxa"/>
            <w:right w:w="78" w:type="dxa"/>
          </w:tblCellMar>
        </w:tblPrEx>
        <w:trPr>
          <w:trHeight w:val="186"/>
        </w:trPr>
        <w:tc>
          <w:tcPr>
            <w:tcW w:w="3692" w:type="dxa"/>
            <w:tcBorders>
              <w:top w:val="nil"/>
              <w:left w:val="single" w:color="auto" w:sz="2" w:space="0"/>
              <w:bottom w:val="nil"/>
              <w:right w:val="nil"/>
            </w:tcBorders>
            <w:shd w:val="clear" w:color="auto" w:fill="auto"/>
            <w:noWrap/>
            <w:vAlign w:val="bottom"/>
            <w:hideMark/>
          </w:tcPr>
          <w:p w:rsidRPr="00F06452" w:rsidR="00982BE2" w:rsidP="00982BE2" w:rsidRDefault="00F06452" w14:paraId="0D8A5C98" w14:textId="1D37B25A">
            <w:pPr>
              <w:spacing w:after="0" w:line="240" w:lineRule="auto"/>
              <w:rPr>
                <w:rFonts w:eastAsia="Times New Roman" w:cs="Arial"/>
                <w:sz w:val="20"/>
                <w:szCs w:val="20"/>
                <w:lang w:eastAsia="en-GB"/>
              </w:rPr>
            </w:pPr>
            <w:r w:rsidRPr="00F06452">
              <w:rPr>
                <w:rFonts w:eastAsia="Times New Roman" w:cs="Arial"/>
                <w:sz w:val="20"/>
                <w:szCs w:val="20"/>
                <w:lang w:eastAsia="en-GB"/>
              </w:rPr>
              <w:t>Core Budget</w:t>
            </w:r>
          </w:p>
        </w:tc>
        <w:tc>
          <w:tcPr>
            <w:tcW w:w="1570" w:type="dxa"/>
            <w:tcBorders>
              <w:top w:val="nil"/>
              <w:left w:val="nil"/>
              <w:bottom w:val="nil"/>
              <w:right w:val="nil"/>
            </w:tcBorders>
            <w:shd w:val="clear" w:color="auto" w:fill="auto"/>
            <w:noWrap/>
            <w:vAlign w:val="bottom"/>
            <w:hideMark/>
          </w:tcPr>
          <w:p w:rsidRPr="00F06452" w:rsidR="00982BE2" w:rsidP="00982BE2" w:rsidRDefault="00984104" w14:paraId="100EF130" w14:textId="52FEDC68">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w:t>
            </w:r>
            <w:r w:rsidRPr="00F06452" w:rsidR="00F06452">
              <w:rPr>
                <w:rFonts w:eastAsia="Times New Roman" w:cs="Arial"/>
                <w:color w:val="000000"/>
                <w:sz w:val="20"/>
                <w:szCs w:val="20"/>
                <w:lang w:eastAsia="en-GB"/>
              </w:rPr>
              <w:t>90</w:t>
            </w:r>
            <w:r w:rsidRPr="00F06452" w:rsidR="00982BE2">
              <w:rPr>
                <w:rFonts w:eastAsia="Times New Roman" w:cs="Arial"/>
                <w:color w:val="000000"/>
                <w:sz w:val="20"/>
                <w:szCs w:val="20"/>
                <w:lang w:eastAsia="en-GB"/>
              </w:rPr>
              <w:t>)</w:t>
            </w:r>
          </w:p>
        </w:tc>
        <w:tc>
          <w:tcPr>
            <w:tcW w:w="1428" w:type="dxa"/>
            <w:gridSpan w:val="2"/>
            <w:tcBorders>
              <w:top w:val="nil"/>
              <w:left w:val="nil"/>
              <w:bottom w:val="nil"/>
              <w:right w:val="nil"/>
            </w:tcBorders>
            <w:shd w:val="clear" w:color="auto" w:fill="auto"/>
            <w:vAlign w:val="bottom"/>
          </w:tcPr>
          <w:p w:rsidRPr="00F06452" w:rsidR="00982BE2" w:rsidP="00982BE2" w:rsidRDefault="00F06452" w14:paraId="28477A3B" w14:textId="21FE4582">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60" w:type="dxa"/>
            <w:gridSpan w:val="3"/>
            <w:tcBorders>
              <w:top w:val="nil"/>
              <w:left w:val="nil"/>
              <w:bottom w:val="nil"/>
              <w:right w:val="nil"/>
            </w:tcBorders>
            <w:shd w:val="clear" w:color="auto" w:fill="auto"/>
            <w:noWrap/>
            <w:vAlign w:val="bottom"/>
          </w:tcPr>
          <w:p w:rsidRPr="00F06452" w:rsidR="00982BE2" w:rsidP="00982BE2" w:rsidRDefault="00F06452" w14:paraId="59290153" w14:textId="3AA30B8E">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390</w:t>
            </w:r>
          </w:p>
        </w:tc>
        <w:tc>
          <w:tcPr>
            <w:tcW w:w="1306" w:type="dxa"/>
            <w:gridSpan w:val="2"/>
            <w:tcBorders>
              <w:top w:val="nil"/>
              <w:left w:val="nil"/>
              <w:bottom w:val="nil"/>
              <w:right w:val="nil"/>
            </w:tcBorders>
            <w:shd w:val="clear" w:color="auto" w:fill="auto"/>
            <w:noWrap/>
            <w:vAlign w:val="bottom"/>
            <w:hideMark/>
          </w:tcPr>
          <w:p w:rsidRPr="00F06452" w:rsidR="00982BE2" w:rsidP="00982BE2" w:rsidRDefault="00F06452" w14:paraId="1524A978" w14:textId="24105858">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2</w:t>
            </w:r>
          </w:p>
        </w:tc>
        <w:tc>
          <w:tcPr>
            <w:tcW w:w="1312" w:type="dxa"/>
            <w:gridSpan w:val="2"/>
            <w:tcBorders>
              <w:top w:val="nil"/>
              <w:left w:val="nil"/>
              <w:bottom w:val="nil"/>
              <w:right w:val="single" w:color="auto" w:sz="2" w:space="0"/>
            </w:tcBorders>
            <w:shd w:val="clear" w:color="auto" w:fill="auto"/>
            <w:noWrap/>
            <w:vAlign w:val="bottom"/>
          </w:tcPr>
          <w:p w:rsidRPr="00F06452" w:rsidR="00982BE2" w:rsidP="00F06452" w:rsidRDefault="00984104" w14:paraId="3A860BAE" w14:textId="530B7325">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 xml:space="preserve">         </w:t>
            </w:r>
            <w:r w:rsidRPr="00F06452" w:rsidR="00412E47">
              <w:rPr>
                <w:rFonts w:eastAsia="Times New Roman" w:cs="Arial"/>
                <w:b/>
                <w:color w:val="000000"/>
                <w:sz w:val="20"/>
                <w:szCs w:val="20"/>
                <w:lang w:eastAsia="en-GB"/>
              </w:rPr>
              <w:t xml:space="preserve"> </w:t>
            </w:r>
            <w:r w:rsidRPr="00F06452">
              <w:rPr>
                <w:rFonts w:eastAsia="Times New Roman" w:cs="Arial"/>
                <w:b/>
                <w:color w:val="000000"/>
                <w:sz w:val="20"/>
                <w:szCs w:val="20"/>
                <w:lang w:eastAsia="en-GB"/>
              </w:rPr>
              <w:t xml:space="preserve">     </w:t>
            </w:r>
            <w:r w:rsidRPr="00F06452" w:rsidR="00412E47">
              <w:rPr>
                <w:rFonts w:eastAsia="Times New Roman" w:cs="Arial"/>
                <w:b/>
                <w:color w:val="000000"/>
                <w:sz w:val="20"/>
                <w:szCs w:val="20"/>
                <w:lang w:eastAsia="en-GB"/>
              </w:rPr>
              <w:t xml:space="preserve">   </w:t>
            </w:r>
            <w:r w:rsidRPr="00F06452" w:rsidR="00F06452">
              <w:rPr>
                <w:rFonts w:eastAsia="Times New Roman" w:cs="Arial"/>
                <w:b/>
                <w:color w:val="000000"/>
                <w:sz w:val="20"/>
                <w:szCs w:val="20"/>
                <w:lang w:eastAsia="en-GB"/>
              </w:rPr>
              <w:t xml:space="preserve">    302</w:t>
            </w:r>
          </w:p>
        </w:tc>
      </w:tr>
      <w:tr w:rsidRPr="00614894" w:rsidR="00982BE2" w:rsidTr="00EA42E0" w14:paraId="5CEA0A63" w14:textId="77777777">
        <w:tblPrEx>
          <w:tblCellMar>
            <w:left w:w="78" w:type="dxa"/>
            <w:right w:w="78" w:type="dxa"/>
          </w:tblCellMar>
        </w:tblPrEx>
        <w:trPr>
          <w:trHeight w:val="186"/>
        </w:trPr>
        <w:tc>
          <w:tcPr>
            <w:tcW w:w="3692" w:type="dxa"/>
            <w:tcBorders>
              <w:top w:val="nil"/>
              <w:left w:val="single" w:color="auto" w:sz="2" w:space="0"/>
              <w:bottom w:val="nil"/>
              <w:right w:val="nil"/>
            </w:tcBorders>
            <w:shd w:val="clear" w:color="auto" w:fill="auto"/>
            <w:noWrap/>
            <w:vAlign w:val="bottom"/>
            <w:hideMark/>
          </w:tcPr>
          <w:p w:rsidRPr="00F06452" w:rsidR="00982BE2" w:rsidP="00982BE2" w:rsidRDefault="00F06452" w14:paraId="5A8B4540" w14:textId="6FCFABB1">
            <w:pPr>
              <w:spacing w:after="0" w:line="240" w:lineRule="auto"/>
              <w:rPr>
                <w:rFonts w:eastAsia="Times New Roman" w:cs="Arial"/>
                <w:sz w:val="20"/>
                <w:szCs w:val="20"/>
                <w:lang w:eastAsia="en-GB"/>
              </w:rPr>
            </w:pPr>
            <w:r w:rsidRPr="00F06452">
              <w:rPr>
                <w:rFonts w:eastAsia="Times New Roman" w:cs="Arial"/>
                <w:sz w:val="20"/>
                <w:szCs w:val="20"/>
                <w:lang w:eastAsia="en-GB"/>
              </w:rPr>
              <w:t>Regional Adoption Service Grant</w:t>
            </w:r>
          </w:p>
        </w:tc>
        <w:tc>
          <w:tcPr>
            <w:tcW w:w="1570" w:type="dxa"/>
            <w:tcBorders>
              <w:top w:val="nil"/>
              <w:left w:val="nil"/>
              <w:bottom w:val="nil"/>
              <w:right w:val="nil"/>
            </w:tcBorders>
            <w:shd w:val="clear" w:color="auto" w:fill="auto"/>
            <w:noWrap/>
            <w:vAlign w:val="bottom"/>
            <w:hideMark/>
          </w:tcPr>
          <w:p w:rsidRPr="00F06452" w:rsidR="00982BE2" w:rsidP="00982BE2" w:rsidRDefault="00F06452" w14:paraId="2BEC993E" w14:textId="2722A042">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28" w:type="dxa"/>
            <w:gridSpan w:val="2"/>
            <w:tcBorders>
              <w:top w:val="nil"/>
              <w:left w:val="nil"/>
              <w:bottom w:val="nil"/>
              <w:right w:val="nil"/>
            </w:tcBorders>
            <w:shd w:val="clear" w:color="auto" w:fill="auto"/>
            <w:vAlign w:val="bottom"/>
          </w:tcPr>
          <w:p w:rsidRPr="00F06452" w:rsidR="00982BE2" w:rsidP="00982BE2" w:rsidRDefault="00F06452" w14:paraId="2EBFB611" w14:textId="6E7CB21C">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60" w:type="dxa"/>
            <w:gridSpan w:val="3"/>
            <w:tcBorders>
              <w:top w:val="nil"/>
              <w:left w:val="nil"/>
              <w:bottom w:val="nil"/>
              <w:right w:val="nil"/>
            </w:tcBorders>
            <w:shd w:val="clear" w:color="auto" w:fill="auto"/>
            <w:noWrap/>
            <w:vAlign w:val="bottom"/>
          </w:tcPr>
          <w:p w:rsidRPr="00F06452" w:rsidR="00982BE2" w:rsidP="00982BE2" w:rsidRDefault="00F06452" w14:paraId="0BB87C27" w14:textId="19ADF0EB">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06" w:type="dxa"/>
            <w:gridSpan w:val="2"/>
            <w:tcBorders>
              <w:top w:val="nil"/>
              <w:left w:val="nil"/>
              <w:bottom w:val="nil"/>
              <w:right w:val="nil"/>
            </w:tcBorders>
            <w:shd w:val="clear" w:color="auto" w:fill="auto"/>
            <w:noWrap/>
            <w:vAlign w:val="bottom"/>
            <w:hideMark/>
          </w:tcPr>
          <w:p w:rsidRPr="00F06452" w:rsidR="00982BE2" w:rsidP="00982BE2" w:rsidRDefault="00F06452" w14:paraId="3F7F8CB4" w14:textId="402079D1">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12" w:type="dxa"/>
            <w:gridSpan w:val="2"/>
            <w:tcBorders>
              <w:top w:val="nil"/>
              <w:left w:val="nil"/>
              <w:bottom w:val="nil"/>
              <w:right w:val="single" w:color="auto" w:sz="2" w:space="0"/>
            </w:tcBorders>
            <w:shd w:val="clear" w:color="auto" w:fill="auto"/>
            <w:noWrap/>
            <w:vAlign w:val="bottom"/>
          </w:tcPr>
          <w:p w:rsidRPr="00F06452" w:rsidR="00982BE2" w:rsidP="00982BE2" w:rsidRDefault="00F06452" w14:paraId="1B45B97F" w14:textId="239F630A">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0</w:t>
            </w:r>
          </w:p>
        </w:tc>
      </w:tr>
      <w:tr w:rsidRPr="00614894" w:rsidR="00982BE2" w:rsidTr="00EA42E0" w14:paraId="7AF1BAD4" w14:textId="77777777">
        <w:tblPrEx>
          <w:tblCellMar>
            <w:left w:w="78" w:type="dxa"/>
            <w:right w:w="78" w:type="dxa"/>
          </w:tblCellMar>
        </w:tblPrEx>
        <w:trPr>
          <w:trHeight w:val="213"/>
        </w:trPr>
        <w:tc>
          <w:tcPr>
            <w:tcW w:w="3692" w:type="dxa"/>
            <w:tcBorders>
              <w:top w:val="nil"/>
              <w:left w:val="single" w:color="auto" w:sz="2" w:space="0"/>
              <w:bottom w:val="nil"/>
              <w:right w:val="nil"/>
            </w:tcBorders>
            <w:shd w:val="clear" w:color="auto" w:fill="auto"/>
            <w:noWrap/>
            <w:vAlign w:val="bottom"/>
            <w:hideMark/>
          </w:tcPr>
          <w:p w:rsidRPr="00F06452" w:rsidR="00982BE2" w:rsidP="00982BE2" w:rsidRDefault="00F06452" w14:paraId="199D5C39" w14:textId="710B8BCF">
            <w:pPr>
              <w:spacing w:after="0" w:line="240" w:lineRule="auto"/>
              <w:rPr>
                <w:rFonts w:eastAsia="Times New Roman" w:cs="Arial"/>
                <w:sz w:val="20"/>
                <w:szCs w:val="20"/>
                <w:lang w:eastAsia="en-GB"/>
              </w:rPr>
            </w:pPr>
            <w:r w:rsidRPr="00F06452">
              <w:rPr>
                <w:rFonts w:eastAsia="Times New Roman" w:cs="Arial"/>
                <w:sz w:val="20"/>
                <w:szCs w:val="20"/>
                <w:lang w:eastAsia="en-GB"/>
              </w:rPr>
              <w:t>Utilisation of Previous Years Underspend</w:t>
            </w:r>
          </w:p>
        </w:tc>
        <w:tc>
          <w:tcPr>
            <w:tcW w:w="1570" w:type="dxa"/>
            <w:tcBorders>
              <w:top w:val="nil"/>
              <w:left w:val="nil"/>
              <w:bottom w:val="nil"/>
              <w:right w:val="nil"/>
            </w:tcBorders>
            <w:shd w:val="clear" w:color="auto" w:fill="auto"/>
            <w:noWrap/>
            <w:vAlign w:val="bottom"/>
            <w:hideMark/>
          </w:tcPr>
          <w:p w:rsidRPr="00F06452" w:rsidR="00982BE2" w:rsidP="00982BE2" w:rsidRDefault="00F06452" w14:paraId="44E7AB88" w14:textId="3DD63173">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28" w:type="dxa"/>
            <w:gridSpan w:val="2"/>
            <w:tcBorders>
              <w:top w:val="nil"/>
              <w:left w:val="nil"/>
              <w:bottom w:val="nil"/>
              <w:right w:val="nil"/>
            </w:tcBorders>
            <w:shd w:val="clear" w:color="auto" w:fill="auto"/>
            <w:vAlign w:val="bottom"/>
          </w:tcPr>
          <w:p w:rsidRPr="00F06452" w:rsidR="00982BE2" w:rsidP="00982BE2" w:rsidRDefault="00F06452" w14:paraId="06AC5C6C" w14:textId="7A232B3F">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60" w:type="dxa"/>
            <w:gridSpan w:val="3"/>
            <w:tcBorders>
              <w:top w:val="nil"/>
              <w:left w:val="nil"/>
              <w:bottom w:val="nil"/>
              <w:right w:val="nil"/>
            </w:tcBorders>
            <w:shd w:val="clear" w:color="auto" w:fill="auto"/>
            <w:noWrap/>
            <w:vAlign w:val="bottom"/>
          </w:tcPr>
          <w:p w:rsidRPr="00F06452" w:rsidR="00982BE2" w:rsidP="00984104" w:rsidRDefault="00984104" w14:paraId="1D6250CF" w14:textId="352E7893">
            <w:pPr>
              <w:spacing w:after="0" w:line="240" w:lineRule="auto"/>
              <w:jc w:val="center"/>
              <w:rPr>
                <w:rFonts w:eastAsia="Times New Roman" w:cs="Arial"/>
                <w:color w:val="000000"/>
                <w:sz w:val="20"/>
                <w:szCs w:val="20"/>
                <w:lang w:eastAsia="en-GB"/>
              </w:rPr>
            </w:pPr>
            <w:r w:rsidRPr="00F06452">
              <w:rPr>
                <w:rFonts w:eastAsia="Times New Roman" w:cs="Arial"/>
                <w:color w:val="000000"/>
                <w:sz w:val="20"/>
                <w:szCs w:val="20"/>
                <w:lang w:eastAsia="en-GB"/>
              </w:rPr>
              <w:t xml:space="preserve">     </w:t>
            </w:r>
            <w:r w:rsidRPr="00F06452" w:rsidR="00412E47">
              <w:rPr>
                <w:rFonts w:eastAsia="Times New Roman" w:cs="Arial"/>
                <w:color w:val="000000"/>
                <w:sz w:val="20"/>
                <w:szCs w:val="20"/>
                <w:lang w:eastAsia="en-GB"/>
              </w:rPr>
              <w:t xml:space="preserve">   </w:t>
            </w:r>
            <w:r w:rsidRPr="00F06452">
              <w:rPr>
                <w:rFonts w:eastAsia="Times New Roman" w:cs="Arial"/>
                <w:color w:val="000000"/>
                <w:sz w:val="20"/>
                <w:szCs w:val="20"/>
                <w:lang w:eastAsia="en-GB"/>
              </w:rPr>
              <w:t xml:space="preserve">            </w:t>
            </w:r>
            <w:r w:rsidRPr="00F06452" w:rsidR="00F06452">
              <w:rPr>
                <w:rFonts w:eastAsia="Times New Roman" w:cs="Arial"/>
                <w:color w:val="000000"/>
                <w:sz w:val="20"/>
                <w:szCs w:val="20"/>
                <w:lang w:eastAsia="en-GB"/>
              </w:rPr>
              <w:t>0</w:t>
            </w:r>
          </w:p>
        </w:tc>
        <w:tc>
          <w:tcPr>
            <w:tcW w:w="1306" w:type="dxa"/>
            <w:gridSpan w:val="2"/>
            <w:tcBorders>
              <w:top w:val="nil"/>
              <w:left w:val="nil"/>
              <w:bottom w:val="nil"/>
              <w:right w:val="nil"/>
            </w:tcBorders>
            <w:shd w:val="clear" w:color="auto" w:fill="auto"/>
            <w:noWrap/>
            <w:vAlign w:val="bottom"/>
            <w:hideMark/>
          </w:tcPr>
          <w:p w:rsidRPr="00F06452" w:rsidR="00982BE2" w:rsidP="00982BE2" w:rsidRDefault="00F06452" w14:paraId="5FC2EA2B" w14:textId="392594C3">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r w:rsidRPr="00F06452" w:rsidR="00982BE2">
              <w:rPr>
                <w:rFonts w:eastAsia="Times New Roman" w:cs="Arial"/>
                <w:color w:val="000000"/>
                <w:sz w:val="20"/>
                <w:szCs w:val="20"/>
                <w:lang w:eastAsia="en-GB"/>
              </w:rPr>
              <w:t xml:space="preserve">   </w:t>
            </w:r>
          </w:p>
        </w:tc>
        <w:tc>
          <w:tcPr>
            <w:tcW w:w="1312" w:type="dxa"/>
            <w:gridSpan w:val="2"/>
            <w:tcBorders>
              <w:top w:val="nil"/>
              <w:left w:val="nil"/>
              <w:bottom w:val="nil"/>
              <w:right w:val="single" w:color="auto" w:sz="2" w:space="0"/>
            </w:tcBorders>
            <w:shd w:val="clear" w:color="auto" w:fill="auto"/>
            <w:noWrap/>
            <w:vAlign w:val="bottom"/>
            <w:hideMark/>
          </w:tcPr>
          <w:p w:rsidRPr="00F06452" w:rsidR="00982BE2" w:rsidP="00982BE2" w:rsidRDefault="00982BE2" w14:paraId="539E4CB6" w14:textId="3E2BE20D">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 xml:space="preserve">                           </w:t>
            </w:r>
            <w:r w:rsidRPr="00F06452" w:rsidR="00412E47">
              <w:rPr>
                <w:rFonts w:eastAsia="Times New Roman" w:cs="Arial"/>
                <w:b/>
                <w:color w:val="000000"/>
                <w:sz w:val="20"/>
                <w:szCs w:val="20"/>
                <w:lang w:eastAsia="en-GB"/>
              </w:rPr>
              <w:t xml:space="preserve">   </w:t>
            </w:r>
            <w:r w:rsidRPr="00F06452" w:rsidR="00F06452">
              <w:rPr>
                <w:rFonts w:eastAsia="Times New Roman" w:cs="Arial"/>
                <w:b/>
                <w:color w:val="000000"/>
                <w:sz w:val="20"/>
                <w:szCs w:val="20"/>
                <w:lang w:eastAsia="en-GB"/>
              </w:rPr>
              <w:t>0</w:t>
            </w:r>
          </w:p>
        </w:tc>
      </w:tr>
      <w:tr w:rsidRPr="00614894" w:rsidR="00982BE2" w:rsidTr="00E34236" w14:paraId="272E8A26" w14:textId="77777777">
        <w:tblPrEx>
          <w:tblCellMar>
            <w:left w:w="78" w:type="dxa"/>
            <w:right w:w="78" w:type="dxa"/>
          </w:tblCellMar>
        </w:tblPrEx>
        <w:trPr>
          <w:trHeight w:val="186"/>
        </w:trPr>
        <w:tc>
          <w:tcPr>
            <w:tcW w:w="3692" w:type="dxa"/>
            <w:tcBorders>
              <w:top w:val="single" w:color="auto" w:sz="2" w:space="0"/>
              <w:left w:val="single" w:color="auto" w:sz="2" w:space="0"/>
              <w:bottom w:val="single" w:color="auto" w:sz="2" w:space="0"/>
              <w:right w:val="nil"/>
            </w:tcBorders>
            <w:shd w:val="clear" w:color="auto" w:fill="DBE5F1" w:themeFill="accent1" w:themeFillTint="33"/>
            <w:noWrap/>
            <w:vAlign w:val="bottom"/>
            <w:hideMark/>
          </w:tcPr>
          <w:p w:rsidRPr="00F06452" w:rsidR="00982BE2" w:rsidP="00982BE2" w:rsidRDefault="00982BE2" w14:paraId="0C7D12D3" w14:textId="77777777">
            <w:pPr>
              <w:spacing w:after="0" w:line="240" w:lineRule="auto"/>
              <w:rPr>
                <w:rFonts w:eastAsia="Times New Roman" w:cs="Arial"/>
                <w:b/>
                <w:bCs/>
                <w:color w:val="000000"/>
                <w:sz w:val="20"/>
                <w:szCs w:val="20"/>
                <w:lang w:eastAsia="en-GB"/>
              </w:rPr>
            </w:pPr>
            <w:r w:rsidRPr="00F06452">
              <w:rPr>
                <w:rFonts w:eastAsia="Times New Roman" w:cs="Arial"/>
                <w:b/>
                <w:bCs/>
                <w:color w:val="000000"/>
                <w:sz w:val="20"/>
                <w:szCs w:val="20"/>
                <w:lang w:eastAsia="en-GB"/>
              </w:rPr>
              <w:t>Net Cost of Services</w:t>
            </w:r>
          </w:p>
        </w:tc>
        <w:tc>
          <w:tcPr>
            <w:tcW w:w="1570" w:type="dxa"/>
            <w:tcBorders>
              <w:top w:val="single" w:color="auto" w:sz="2" w:space="0"/>
              <w:left w:val="nil"/>
              <w:bottom w:val="single" w:color="auto" w:sz="2" w:space="0"/>
              <w:right w:val="nil"/>
            </w:tcBorders>
            <w:shd w:val="clear" w:color="auto" w:fill="DBE5F1" w:themeFill="accent1" w:themeFillTint="33"/>
            <w:noWrap/>
            <w:vAlign w:val="bottom"/>
          </w:tcPr>
          <w:p w:rsidRPr="00F06452" w:rsidR="00982BE2" w:rsidP="00982BE2" w:rsidRDefault="00F06452" w14:paraId="3547DADB" w14:textId="37A08F1F">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(90</w:t>
            </w:r>
            <w:r w:rsidRPr="00F06452" w:rsidR="00982BE2">
              <w:rPr>
                <w:rFonts w:eastAsia="Times New Roman" w:cs="Arial"/>
                <w:b/>
                <w:bCs/>
                <w:color w:val="000000"/>
                <w:sz w:val="20"/>
                <w:szCs w:val="20"/>
                <w:lang w:eastAsia="en-GB"/>
              </w:rPr>
              <w:t>)</w:t>
            </w:r>
          </w:p>
        </w:tc>
        <w:tc>
          <w:tcPr>
            <w:tcW w:w="1428" w:type="dxa"/>
            <w:gridSpan w:val="2"/>
            <w:tcBorders>
              <w:top w:val="single" w:color="auto" w:sz="2" w:space="0"/>
              <w:left w:val="nil"/>
              <w:bottom w:val="single" w:color="auto" w:sz="2" w:space="0"/>
              <w:right w:val="nil"/>
            </w:tcBorders>
            <w:shd w:val="clear" w:color="auto" w:fill="DBE5F1" w:themeFill="accent1" w:themeFillTint="33"/>
            <w:vAlign w:val="bottom"/>
          </w:tcPr>
          <w:p w:rsidRPr="00F06452" w:rsidR="00982BE2" w:rsidP="00982BE2" w:rsidRDefault="00F06452" w14:paraId="20A3D1DC" w14:textId="6FEC2C7F">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0</w:t>
            </w:r>
          </w:p>
        </w:tc>
        <w:tc>
          <w:tcPr>
            <w:tcW w:w="1460" w:type="dxa"/>
            <w:gridSpan w:val="3"/>
            <w:tcBorders>
              <w:top w:val="single" w:color="auto" w:sz="2" w:space="0"/>
              <w:left w:val="nil"/>
              <w:bottom w:val="single" w:color="auto" w:sz="2" w:space="0"/>
              <w:right w:val="nil"/>
            </w:tcBorders>
            <w:shd w:val="clear" w:color="auto" w:fill="DBE5F1" w:themeFill="accent1" w:themeFillTint="33"/>
            <w:noWrap/>
            <w:vAlign w:val="bottom"/>
          </w:tcPr>
          <w:p w:rsidRPr="00F06452" w:rsidR="00982BE2" w:rsidP="00982BE2" w:rsidRDefault="00F06452" w14:paraId="47B6B7A4" w14:textId="7C8F1932">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390</w:t>
            </w:r>
          </w:p>
        </w:tc>
        <w:tc>
          <w:tcPr>
            <w:tcW w:w="1306" w:type="dxa"/>
            <w:gridSpan w:val="2"/>
            <w:tcBorders>
              <w:top w:val="single" w:color="auto" w:sz="2" w:space="0"/>
              <w:left w:val="nil"/>
              <w:bottom w:val="single" w:color="auto" w:sz="2" w:space="0"/>
              <w:right w:val="nil"/>
            </w:tcBorders>
            <w:shd w:val="clear" w:color="auto" w:fill="DBE5F1" w:themeFill="accent1" w:themeFillTint="33"/>
            <w:noWrap/>
            <w:vAlign w:val="bottom"/>
          </w:tcPr>
          <w:p w:rsidRPr="00F06452" w:rsidR="00982BE2" w:rsidP="00982BE2" w:rsidRDefault="00F06452" w14:paraId="47AFFCCC" w14:textId="147AD5A0">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2</w:t>
            </w:r>
          </w:p>
        </w:tc>
        <w:tc>
          <w:tcPr>
            <w:tcW w:w="1312" w:type="dxa"/>
            <w:gridSpan w:val="2"/>
            <w:tcBorders>
              <w:top w:val="single" w:color="auto" w:sz="2" w:space="0"/>
              <w:left w:val="nil"/>
              <w:bottom w:val="single" w:color="auto" w:sz="2" w:space="0"/>
              <w:right w:val="single" w:color="auto" w:sz="2" w:space="0"/>
            </w:tcBorders>
            <w:shd w:val="clear" w:color="auto" w:fill="DBE5F1" w:themeFill="accent1" w:themeFillTint="33"/>
            <w:noWrap/>
            <w:vAlign w:val="bottom"/>
          </w:tcPr>
          <w:p w:rsidRPr="00F06452" w:rsidR="00982BE2" w:rsidP="00982BE2" w:rsidRDefault="00F06452" w14:paraId="4581FF5E" w14:textId="7B2AAB42">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302</w:t>
            </w:r>
          </w:p>
        </w:tc>
      </w:tr>
      <w:tr w:rsidRPr="00614894" w:rsidR="00982BE2" w:rsidTr="00EA42E0" w14:paraId="48AB0420" w14:textId="77777777">
        <w:tblPrEx>
          <w:tblCellMar>
            <w:left w:w="78" w:type="dxa"/>
            <w:right w:w="78" w:type="dxa"/>
          </w:tblCellMar>
        </w:tblPrEx>
        <w:trPr>
          <w:trHeight w:val="14"/>
        </w:trPr>
        <w:tc>
          <w:tcPr>
            <w:tcW w:w="3692" w:type="dxa"/>
            <w:tcBorders>
              <w:top w:val="nil"/>
              <w:left w:val="single" w:color="auto" w:sz="2" w:space="0"/>
              <w:bottom w:val="nil"/>
              <w:right w:val="nil"/>
            </w:tcBorders>
            <w:shd w:val="clear" w:color="auto" w:fill="auto"/>
            <w:noWrap/>
            <w:vAlign w:val="bottom"/>
          </w:tcPr>
          <w:p w:rsidRPr="00F06452" w:rsidR="00982BE2" w:rsidP="00982BE2" w:rsidRDefault="00982BE2" w14:paraId="3F7694D8" w14:textId="7EBB1E45">
            <w:pPr>
              <w:spacing w:after="0" w:line="240" w:lineRule="auto"/>
              <w:rPr>
                <w:rFonts w:eastAsia="Times New Roman" w:cs="Arial"/>
                <w:sz w:val="20"/>
                <w:szCs w:val="20"/>
                <w:lang w:eastAsia="en-GB"/>
              </w:rPr>
            </w:pPr>
            <w:r w:rsidRPr="00F06452">
              <w:rPr>
                <w:rFonts w:eastAsia="Times New Roman" w:cs="Arial"/>
                <w:sz w:val="20"/>
                <w:szCs w:val="20"/>
                <w:lang w:eastAsia="en-GB"/>
              </w:rPr>
              <w:t>Contributions from L</w:t>
            </w:r>
            <w:r w:rsidRPr="00F06452" w:rsidR="00F06452">
              <w:rPr>
                <w:rFonts w:eastAsia="Times New Roman" w:cs="Arial"/>
                <w:sz w:val="20"/>
                <w:szCs w:val="20"/>
                <w:lang w:eastAsia="en-GB"/>
              </w:rPr>
              <w:t>a</w:t>
            </w:r>
            <w:r w:rsidRPr="00F06452">
              <w:rPr>
                <w:rFonts w:eastAsia="Times New Roman" w:cs="Arial"/>
                <w:sz w:val="20"/>
                <w:szCs w:val="20"/>
                <w:lang w:eastAsia="en-GB"/>
              </w:rPr>
              <w:t>s</w:t>
            </w:r>
          </w:p>
        </w:tc>
        <w:tc>
          <w:tcPr>
            <w:tcW w:w="1581" w:type="dxa"/>
            <w:gridSpan w:val="2"/>
            <w:tcBorders>
              <w:top w:val="nil"/>
              <w:left w:val="nil"/>
              <w:bottom w:val="nil"/>
              <w:right w:val="nil"/>
            </w:tcBorders>
            <w:shd w:val="clear" w:color="auto" w:fill="auto"/>
            <w:noWrap/>
            <w:vAlign w:val="bottom"/>
          </w:tcPr>
          <w:p w:rsidRPr="00F06452" w:rsidR="00982BE2" w:rsidP="00F06452" w:rsidRDefault="00982BE2" w14:paraId="4338EF6C" w14:textId="31F43E6C">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 xml:space="preserve">                     </w:t>
            </w:r>
            <w:r w:rsidRPr="00F06452" w:rsidR="00F06452">
              <w:rPr>
                <w:rFonts w:eastAsia="Times New Roman" w:cs="Arial"/>
                <w:color w:val="000000"/>
                <w:sz w:val="20"/>
                <w:szCs w:val="20"/>
                <w:lang w:eastAsia="en-GB"/>
              </w:rPr>
              <w:t>0</w:t>
            </w:r>
          </w:p>
        </w:tc>
        <w:tc>
          <w:tcPr>
            <w:tcW w:w="1429" w:type="dxa"/>
            <w:gridSpan w:val="2"/>
            <w:tcBorders>
              <w:top w:val="nil"/>
              <w:left w:val="nil"/>
              <w:bottom w:val="nil"/>
              <w:right w:val="nil"/>
            </w:tcBorders>
            <w:shd w:val="clear" w:color="auto" w:fill="auto"/>
            <w:vAlign w:val="bottom"/>
          </w:tcPr>
          <w:p w:rsidRPr="00F06452" w:rsidR="00982BE2" w:rsidP="00982BE2" w:rsidRDefault="00F06452" w14:paraId="7A45CA9D" w14:textId="24624A6F">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5" w:type="dxa"/>
            <w:tcBorders>
              <w:top w:val="nil"/>
              <w:left w:val="nil"/>
              <w:bottom w:val="nil"/>
              <w:right w:val="nil"/>
            </w:tcBorders>
            <w:shd w:val="clear" w:color="auto" w:fill="auto"/>
            <w:noWrap/>
            <w:vAlign w:val="bottom"/>
          </w:tcPr>
          <w:p w:rsidRPr="00F06452" w:rsidR="00982BE2" w:rsidP="00982BE2" w:rsidRDefault="00F06452" w14:paraId="627AD4B5" w14:textId="2AB7BD2F">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1" w:type="dxa"/>
            <w:gridSpan w:val="4"/>
            <w:tcBorders>
              <w:top w:val="nil"/>
              <w:left w:val="nil"/>
              <w:bottom w:val="nil"/>
              <w:right w:val="nil"/>
            </w:tcBorders>
            <w:shd w:val="clear" w:color="auto" w:fill="auto"/>
            <w:noWrap/>
            <w:vAlign w:val="bottom"/>
          </w:tcPr>
          <w:p w:rsidRPr="00F06452" w:rsidR="00982BE2" w:rsidP="00982BE2" w:rsidRDefault="00F06452" w14:paraId="1D3EFE58" w14:textId="17E04943">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00" w:type="dxa"/>
            <w:tcBorders>
              <w:top w:val="nil"/>
              <w:left w:val="nil"/>
              <w:bottom w:val="nil"/>
              <w:right w:val="single" w:color="auto" w:sz="2" w:space="0"/>
            </w:tcBorders>
            <w:shd w:val="clear" w:color="auto" w:fill="auto"/>
            <w:noWrap/>
            <w:vAlign w:val="bottom"/>
          </w:tcPr>
          <w:p w:rsidRPr="00F06452" w:rsidR="00982BE2" w:rsidP="00982BE2" w:rsidRDefault="00F06452" w14:paraId="14B0409A" w14:textId="2004EBE2">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0</w:t>
            </w:r>
          </w:p>
        </w:tc>
      </w:tr>
      <w:tr w:rsidRPr="00614894" w:rsidR="00982BE2" w:rsidTr="00EA42E0" w14:paraId="20D6CE8B" w14:textId="77777777">
        <w:tblPrEx>
          <w:tblCellMar>
            <w:left w:w="78" w:type="dxa"/>
            <w:right w:w="78" w:type="dxa"/>
          </w:tblCellMar>
        </w:tblPrEx>
        <w:trPr>
          <w:trHeight w:val="14"/>
        </w:trPr>
        <w:tc>
          <w:tcPr>
            <w:tcW w:w="3692" w:type="dxa"/>
            <w:tcBorders>
              <w:top w:val="nil"/>
              <w:left w:val="single" w:color="auto" w:sz="2" w:space="0"/>
              <w:bottom w:val="nil"/>
              <w:right w:val="nil"/>
            </w:tcBorders>
            <w:shd w:val="clear" w:color="auto" w:fill="auto"/>
            <w:vAlign w:val="bottom"/>
          </w:tcPr>
          <w:p w:rsidRPr="00F06452" w:rsidR="00982BE2" w:rsidP="00982BE2" w:rsidRDefault="00982BE2" w14:paraId="63CA1198" w14:textId="77777777">
            <w:pPr>
              <w:spacing w:after="0" w:line="240" w:lineRule="auto"/>
              <w:rPr>
                <w:rFonts w:eastAsia="Times New Roman" w:cs="Arial"/>
                <w:color w:val="000000"/>
                <w:sz w:val="20"/>
                <w:szCs w:val="20"/>
                <w:lang w:eastAsia="en-GB"/>
              </w:rPr>
            </w:pPr>
            <w:r w:rsidRPr="00F06452">
              <w:rPr>
                <w:rFonts w:eastAsia="Times New Roman" w:cs="Arial"/>
                <w:color w:val="000000"/>
                <w:sz w:val="20"/>
                <w:szCs w:val="20"/>
                <w:lang w:eastAsia="en-GB"/>
              </w:rPr>
              <w:t>Interest Receivable</w:t>
            </w:r>
          </w:p>
        </w:tc>
        <w:tc>
          <w:tcPr>
            <w:tcW w:w="1581" w:type="dxa"/>
            <w:gridSpan w:val="2"/>
            <w:tcBorders>
              <w:top w:val="nil"/>
              <w:left w:val="nil"/>
              <w:bottom w:val="nil"/>
              <w:right w:val="nil"/>
            </w:tcBorders>
            <w:shd w:val="clear" w:color="auto" w:fill="auto"/>
            <w:noWrap/>
            <w:vAlign w:val="bottom"/>
          </w:tcPr>
          <w:p w:rsidRPr="00F06452" w:rsidR="00982BE2" w:rsidP="00F06452" w:rsidRDefault="00982BE2" w14:paraId="5A11E97B" w14:textId="07FBDE01">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 xml:space="preserve">                     </w:t>
            </w:r>
            <w:r w:rsidRPr="00F06452" w:rsidR="00F06452">
              <w:rPr>
                <w:rFonts w:eastAsia="Times New Roman" w:cs="Arial"/>
                <w:color w:val="000000"/>
                <w:sz w:val="20"/>
                <w:szCs w:val="20"/>
                <w:lang w:eastAsia="en-GB"/>
              </w:rPr>
              <w:t>0</w:t>
            </w:r>
          </w:p>
        </w:tc>
        <w:tc>
          <w:tcPr>
            <w:tcW w:w="1429" w:type="dxa"/>
            <w:gridSpan w:val="2"/>
            <w:tcBorders>
              <w:top w:val="nil"/>
              <w:left w:val="nil"/>
              <w:bottom w:val="nil"/>
              <w:right w:val="nil"/>
            </w:tcBorders>
            <w:shd w:val="clear" w:color="auto" w:fill="auto"/>
            <w:vAlign w:val="bottom"/>
          </w:tcPr>
          <w:p w:rsidRPr="00F06452" w:rsidR="00982BE2" w:rsidP="00982BE2" w:rsidRDefault="00F06452" w14:paraId="7C36F7C9" w14:textId="75D0FA8B">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5" w:type="dxa"/>
            <w:tcBorders>
              <w:top w:val="nil"/>
              <w:left w:val="nil"/>
              <w:bottom w:val="nil"/>
              <w:right w:val="nil"/>
            </w:tcBorders>
            <w:shd w:val="clear" w:color="auto" w:fill="auto"/>
            <w:noWrap/>
            <w:vAlign w:val="bottom"/>
          </w:tcPr>
          <w:p w:rsidRPr="00F06452" w:rsidR="00982BE2" w:rsidP="00982BE2" w:rsidRDefault="00F06452" w14:paraId="63CCCDA2" w14:textId="4BF03E7B">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1" w:type="dxa"/>
            <w:gridSpan w:val="4"/>
            <w:tcBorders>
              <w:top w:val="nil"/>
              <w:left w:val="nil"/>
              <w:bottom w:val="nil"/>
              <w:right w:val="nil"/>
            </w:tcBorders>
            <w:shd w:val="clear" w:color="auto" w:fill="auto"/>
            <w:noWrap/>
            <w:vAlign w:val="bottom"/>
          </w:tcPr>
          <w:p w:rsidRPr="00F06452" w:rsidR="00982BE2" w:rsidP="00982BE2" w:rsidRDefault="00F06452" w14:paraId="42F9A42E" w14:textId="57A65298">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r w:rsidRPr="00F06452" w:rsidR="00982BE2">
              <w:rPr>
                <w:rFonts w:eastAsia="Times New Roman" w:cs="Arial"/>
                <w:color w:val="000000"/>
                <w:sz w:val="20"/>
                <w:szCs w:val="20"/>
                <w:lang w:eastAsia="en-GB"/>
              </w:rPr>
              <w:t xml:space="preserve">  </w:t>
            </w:r>
          </w:p>
        </w:tc>
        <w:tc>
          <w:tcPr>
            <w:tcW w:w="1300" w:type="dxa"/>
            <w:tcBorders>
              <w:top w:val="nil"/>
              <w:left w:val="nil"/>
              <w:bottom w:val="nil"/>
              <w:right w:val="single" w:color="auto" w:sz="2" w:space="0"/>
            </w:tcBorders>
            <w:shd w:val="clear" w:color="auto" w:fill="auto"/>
            <w:noWrap/>
            <w:vAlign w:val="bottom"/>
          </w:tcPr>
          <w:p w:rsidRPr="00F06452" w:rsidR="00982BE2" w:rsidP="00982BE2" w:rsidRDefault="00F06452" w14:paraId="7E1C5ADD" w14:textId="0DB31158">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0</w:t>
            </w:r>
          </w:p>
        </w:tc>
      </w:tr>
      <w:tr w:rsidRPr="00614894" w:rsidR="00982BE2" w:rsidTr="00EA42E0" w14:paraId="141CF8F8" w14:textId="77777777">
        <w:tblPrEx>
          <w:tblCellMar>
            <w:left w:w="78" w:type="dxa"/>
            <w:right w:w="78" w:type="dxa"/>
          </w:tblCellMar>
        </w:tblPrEx>
        <w:trPr>
          <w:trHeight w:val="14"/>
        </w:trPr>
        <w:tc>
          <w:tcPr>
            <w:tcW w:w="3692" w:type="dxa"/>
            <w:tcBorders>
              <w:top w:val="nil"/>
              <w:left w:val="single" w:color="auto" w:sz="2" w:space="0"/>
              <w:bottom w:val="single" w:color="auto" w:sz="2" w:space="0"/>
              <w:right w:val="nil"/>
            </w:tcBorders>
            <w:shd w:val="clear" w:color="auto" w:fill="auto"/>
            <w:vAlign w:val="bottom"/>
          </w:tcPr>
          <w:p w:rsidRPr="00F06452" w:rsidR="00982BE2" w:rsidP="00982BE2" w:rsidRDefault="00982BE2" w14:paraId="6BBE6084" w14:textId="77777777">
            <w:pPr>
              <w:spacing w:after="0" w:line="240" w:lineRule="auto"/>
              <w:rPr>
                <w:rFonts w:eastAsia="Times New Roman" w:cs="Arial"/>
                <w:color w:val="000000"/>
                <w:sz w:val="20"/>
                <w:szCs w:val="20"/>
                <w:lang w:eastAsia="en-GB"/>
              </w:rPr>
            </w:pPr>
            <w:r w:rsidRPr="00F06452">
              <w:rPr>
                <w:rFonts w:eastAsia="Times New Roman" w:cs="Arial"/>
                <w:color w:val="000000"/>
                <w:sz w:val="20"/>
                <w:szCs w:val="20"/>
                <w:lang w:eastAsia="en-GB"/>
              </w:rPr>
              <w:t>Pensions Interest Payable</w:t>
            </w:r>
          </w:p>
        </w:tc>
        <w:tc>
          <w:tcPr>
            <w:tcW w:w="1581" w:type="dxa"/>
            <w:gridSpan w:val="2"/>
            <w:tcBorders>
              <w:top w:val="nil"/>
              <w:left w:val="nil"/>
              <w:bottom w:val="single" w:color="auto" w:sz="2" w:space="0"/>
              <w:right w:val="nil"/>
            </w:tcBorders>
            <w:shd w:val="clear" w:color="auto" w:fill="auto"/>
            <w:noWrap/>
            <w:vAlign w:val="bottom"/>
          </w:tcPr>
          <w:p w:rsidRPr="00F06452" w:rsidR="00982BE2" w:rsidP="00982BE2" w:rsidRDefault="00982BE2" w14:paraId="0189A6BC" w14:textId="12382724">
            <w:pPr>
              <w:spacing w:after="0" w:line="240" w:lineRule="auto"/>
              <w:jc w:val="center"/>
              <w:rPr>
                <w:rFonts w:eastAsia="Times New Roman" w:cs="Arial"/>
                <w:color w:val="000000"/>
                <w:sz w:val="20"/>
                <w:szCs w:val="20"/>
                <w:lang w:eastAsia="en-GB"/>
              </w:rPr>
            </w:pPr>
            <w:r w:rsidRPr="00F06452">
              <w:rPr>
                <w:rFonts w:eastAsia="Times New Roman" w:cs="Arial"/>
                <w:color w:val="000000"/>
                <w:sz w:val="20"/>
                <w:szCs w:val="20"/>
                <w:lang w:eastAsia="en-GB"/>
              </w:rPr>
              <w:t xml:space="preserve">          </w:t>
            </w:r>
            <w:r w:rsidRPr="00F06452" w:rsidR="00F06452">
              <w:rPr>
                <w:rFonts w:eastAsia="Times New Roman" w:cs="Arial"/>
                <w:color w:val="000000"/>
                <w:sz w:val="20"/>
                <w:szCs w:val="20"/>
                <w:lang w:eastAsia="en-GB"/>
              </w:rPr>
              <w:t xml:space="preserve">           90</w:t>
            </w:r>
            <w:r w:rsidRPr="00F06452">
              <w:rPr>
                <w:rFonts w:eastAsia="Times New Roman" w:cs="Arial"/>
                <w:color w:val="000000"/>
                <w:sz w:val="20"/>
                <w:szCs w:val="20"/>
                <w:lang w:eastAsia="en-GB"/>
              </w:rPr>
              <w:t xml:space="preserve">                                  </w:t>
            </w:r>
          </w:p>
        </w:tc>
        <w:tc>
          <w:tcPr>
            <w:tcW w:w="1429" w:type="dxa"/>
            <w:gridSpan w:val="2"/>
            <w:tcBorders>
              <w:top w:val="nil"/>
              <w:left w:val="nil"/>
              <w:bottom w:val="single" w:color="auto" w:sz="2" w:space="0"/>
              <w:right w:val="nil"/>
            </w:tcBorders>
            <w:shd w:val="clear" w:color="auto" w:fill="auto"/>
            <w:vAlign w:val="bottom"/>
          </w:tcPr>
          <w:p w:rsidRPr="00F06452" w:rsidR="00982BE2" w:rsidP="00982BE2" w:rsidRDefault="00F06452" w14:paraId="18CE3AAA" w14:textId="7F092F04">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5" w:type="dxa"/>
            <w:tcBorders>
              <w:top w:val="nil"/>
              <w:left w:val="nil"/>
              <w:bottom w:val="single" w:color="auto" w:sz="2" w:space="0"/>
              <w:right w:val="nil"/>
            </w:tcBorders>
            <w:shd w:val="clear" w:color="auto" w:fill="auto"/>
            <w:noWrap/>
            <w:vAlign w:val="bottom"/>
          </w:tcPr>
          <w:p w:rsidRPr="00F06452" w:rsidR="00982BE2" w:rsidP="00412E47" w:rsidRDefault="00F06452" w14:paraId="3AAD405C" w14:textId="0CE601A3">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1" w:type="dxa"/>
            <w:gridSpan w:val="4"/>
            <w:tcBorders>
              <w:top w:val="nil"/>
              <w:left w:val="nil"/>
              <w:bottom w:val="single" w:color="auto" w:sz="2" w:space="0"/>
              <w:right w:val="nil"/>
            </w:tcBorders>
            <w:shd w:val="clear" w:color="auto" w:fill="auto"/>
            <w:noWrap/>
            <w:vAlign w:val="bottom"/>
          </w:tcPr>
          <w:p w:rsidRPr="00F06452" w:rsidR="00982BE2" w:rsidP="00982BE2" w:rsidRDefault="00F06452" w14:paraId="238ADC08" w14:textId="2B0AC634">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00" w:type="dxa"/>
            <w:tcBorders>
              <w:top w:val="nil"/>
              <w:left w:val="nil"/>
              <w:bottom w:val="single" w:color="auto" w:sz="2" w:space="0"/>
              <w:right w:val="single" w:color="auto" w:sz="2" w:space="0"/>
            </w:tcBorders>
            <w:shd w:val="clear" w:color="auto" w:fill="auto"/>
            <w:noWrap/>
            <w:vAlign w:val="bottom"/>
          </w:tcPr>
          <w:p w:rsidRPr="00F06452" w:rsidR="00982BE2" w:rsidP="00982BE2" w:rsidRDefault="00F06452" w14:paraId="2127EF88" w14:textId="126AB27A">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90</w:t>
            </w:r>
          </w:p>
        </w:tc>
      </w:tr>
      <w:tr w:rsidRPr="00614894" w:rsidR="00982BE2" w:rsidTr="00E34236" w14:paraId="571A5D4D" w14:textId="77777777">
        <w:tblPrEx>
          <w:tblCellMar>
            <w:left w:w="78" w:type="dxa"/>
            <w:right w:w="78" w:type="dxa"/>
          </w:tblCellMar>
        </w:tblPrEx>
        <w:trPr>
          <w:trHeight w:val="983"/>
        </w:trPr>
        <w:tc>
          <w:tcPr>
            <w:tcW w:w="3692" w:type="dxa"/>
            <w:tcBorders>
              <w:top w:val="single" w:color="auto" w:sz="2" w:space="0"/>
              <w:left w:val="single" w:color="auto" w:sz="2" w:space="0"/>
              <w:bottom w:val="single" w:color="auto" w:sz="2" w:space="0"/>
              <w:right w:val="nil"/>
            </w:tcBorders>
            <w:shd w:val="clear" w:color="auto" w:fill="DBE5F1" w:themeFill="accent1" w:themeFillTint="33"/>
            <w:vAlign w:val="bottom"/>
            <w:hideMark/>
          </w:tcPr>
          <w:p w:rsidRPr="00F06452" w:rsidR="00982BE2" w:rsidP="00982BE2" w:rsidRDefault="00982BE2" w14:paraId="3687FD4A" w14:textId="77777777">
            <w:pPr>
              <w:spacing w:after="0" w:line="240" w:lineRule="auto"/>
              <w:rPr>
                <w:rFonts w:eastAsia="Times New Roman" w:cs="Arial"/>
                <w:b/>
                <w:bCs/>
                <w:color w:val="000000"/>
                <w:sz w:val="20"/>
                <w:szCs w:val="20"/>
                <w:lang w:eastAsia="en-GB"/>
              </w:rPr>
            </w:pPr>
            <w:r w:rsidRPr="00F06452">
              <w:rPr>
                <w:rFonts w:eastAsia="Times New Roman" w:cs="Arial"/>
                <w:b/>
                <w:bCs/>
                <w:color w:val="000000"/>
                <w:sz w:val="20"/>
                <w:szCs w:val="20"/>
                <w:lang w:eastAsia="en-GB"/>
              </w:rPr>
              <w:t>Difference between the General Fund surplus or deficit and Comprehensive Income and Expenditure Statement Surplus or deficit</w:t>
            </w:r>
          </w:p>
        </w:tc>
        <w:tc>
          <w:tcPr>
            <w:tcW w:w="1570" w:type="dxa"/>
            <w:tcBorders>
              <w:top w:val="single" w:color="auto" w:sz="2" w:space="0"/>
              <w:left w:val="nil"/>
              <w:bottom w:val="single" w:color="auto" w:sz="2" w:space="0"/>
              <w:right w:val="nil"/>
            </w:tcBorders>
            <w:shd w:val="clear" w:color="auto" w:fill="DBE5F1" w:themeFill="accent1" w:themeFillTint="33"/>
            <w:vAlign w:val="center"/>
          </w:tcPr>
          <w:p w:rsidRPr="00F06452" w:rsidR="00982BE2" w:rsidP="00982BE2" w:rsidRDefault="00982BE2" w14:paraId="1A0CC665" w14:textId="1A9035BF">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 xml:space="preserve"> </w:t>
            </w:r>
            <w:r w:rsidRPr="00F06452" w:rsidR="00F06452">
              <w:rPr>
                <w:rFonts w:eastAsia="Times New Roman" w:cs="Arial"/>
                <w:b/>
                <w:color w:val="000000"/>
                <w:sz w:val="20"/>
                <w:szCs w:val="20"/>
                <w:lang w:eastAsia="en-GB"/>
              </w:rPr>
              <w:t>0</w:t>
            </w:r>
          </w:p>
        </w:tc>
        <w:tc>
          <w:tcPr>
            <w:tcW w:w="1428" w:type="dxa"/>
            <w:gridSpan w:val="2"/>
            <w:tcBorders>
              <w:top w:val="single" w:color="auto" w:sz="2" w:space="0"/>
              <w:left w:val="nil"/>
              <w:bottom w:val="single" w:color="auto" w:sz="2" w:space="0"/>
              <w:right w:val="nil"/>
            </w:tcBorders>
            <w:shd w:val="clear" w:color="auto" w:fill="DBE5F1" w:themeFill="accent1" w:themeFillTint="33"/>
            <w:vAlign w:val="center"/>
          </w:tcPr>
          <w:p w:rsidRPr="00F06452" w:rsidR="00982BE2" w:rsidP="00982BE2" w:rsidRDefault="00F06452" w14:paraId="7723C13E" w14:textId="79E8093F">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0</w:t>
            </w:r>
          </w:p>
        </w:tc>
        <w:tc>
          <w:tcPr>
            <w:tcW w:w="1460" w:type="dxa"/>
            <w:gridSpan w:val="3"/>
            <w:tcBorders>
              <w:top w:val="single" w:color="auto" w:sz="2" w:space="0"/>
              <w:left w:val="nil"/>
              <w:bottom w:val="single" w:color="auto" w:sz="2" w:space="0"/>
              <w:right w:val="nil"/>
            </w:tcBorders>
            <w:shd w:val="clear" w:color="auto" w:fill="DBE5F1" w:themeFill="accent1" w:themeFillTint="33"/>
            <w:vAlign w:val="center"/>
          </w:tcPr>
          <w:p w:rsidRPr="00F06452" w:rsidR="00982BE2" w:rsidP="00982BE2" w:rsidRDefault="00F06452" w14:paraId="31B95C56" w14:textId="7F714293">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390</w:t>
            </w:r>
          </w:p>
        </w:tc>
        <w:tc>
          <w:tcPr>
            <w:tcW w:w="1306" w:type="dxa"/>
            <w:gridSpan w:val="2"/>
            <w:tcBorders>
              <w:top w:val="single" w:color="auto" w:sz="2" w:space="0"/>
              <w:left w:val="nil"/>
              <w:bottom w:val="single" w:color="auto" w:sz="2" w:space="0"/>
              <w:right w:val="nil"/>
            </w:tcBorders>
            <w:shd w:val="clear" w:color="auto" w:fill="DBE5F1" w:themeFill="accent1" w:themeFillTint="33"/>
            <w:vAlign w:val="center"/>
          </w:tcPr>
          <w:p w:rsidRPr="00F06452" w:rsidR="00982BE2" w:rsidP="00982BE2" w:rsidRDefault="00F06452" w14:paraId="2F182FFA" w14:textId="13A72EF1">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2</w:t>
            </w:r>
          </w:p>
        </w:tc>
        <w:tc>
          <w:tcPr>
            <w:tcW w:w="1312" w:type="dxa"/>
            <w:gridSpan w:val="2"/>
            <w:tcBorders>
              <w:top w:val="single" w:color="auto" w:sz="2" w:space="0"/>
              <w:left w:val="nil"/>
              <w:bottom w:val="single" w:color="auto" w:sz="2" w:space="0"/>
              <w:right w:val="single" w:color="auto" w:sz="2" w:space="0"/>
            </w:tcBorders>
            <w:shd w:val="clear" w:color="auto" w:fill="DBE5F1" w:themeFill="accent1" w:themeFillTint="33"/>
            <w:vAlign w:val="center"/>
          </w:tcPr>
          <w:p w:rsidRPr="00F06452" w:rsidR="00982BE2" w:rsidP="00982BE2" w:rsidRDefault="00F06452" w14:paraId="4DF55067" w14:textId="1204648C">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392</w:t>
            </w:r>
          </w:p>
        </w:tc>
      </w:tr>
    </w:tbl>
    <w:p w:rsidRPr="0069312C" w:rsidR="00412E47" w:rsidP="00984104" w:rsidRDefault="00C14D72" w14:paraId="41598ADC" w14:textId="597DB07E">
      <w:pPr>
        <w:pStyle w:val="Heading2"/>
      </w:pPr>
      <w:r w:rsidRPr="00F06452">
        <w:t>Note to the Expenditure and Funding Analysis</w:t>
      </w:r>
    </w:p>
    <w:p w:rsidR="00461335" w:rsidP="006A328B" w:rsidRDefault="00461335" w14:paraId="0E1D04D9" w14:textId="45E8A83E">
      <w:pPr>
        <w:rPr>
          <w:rFonts w:cs="Arial"/>
          <w:highlight w:val="yellow"/>
        </w:rPr>
      </w:pPr>
    </w:p>
    <w:tbl>
      <w:tblPr>
        <w:tblpPr w:leftFromText="180" w:rightFromText="180" w:vertAnchor="text" w:horzAnchor="margin" w:tblpXSpec="center" w:tblpY="709"/>
        <w:tblW w:w="10768" w:type="dxa"/>
        <w:tblLayout w:type="fixed"/>
        <w:tblLook w:val="04A0" w:firstRow="1" w:lastRow="0" w:firstColumn="1" w:lastColumn="0" w:noHBand="0" w:noVBand="1"/>
      </w:tblPr>
      <w:tblGrid>
        <w:gridCol w:w="3692"/>
        <w:gridCol w:w="1570"/>
        <w:gridCol w:w="11"/>
        <w:gridCol w:w="1417"/>
        <w:gridCol w:w="12"/>
        <w:gridCol w:w="1385"/>
        <w:gridCol w:w="63"/>
        <w:gridCol w:w="923"/>
        <w:gridCol w:w="383"/>
        <w:gridCol w:w="12"/>
        <w:gridCol w:w="1300"/>
      </w:tblGrid>
      <w:tr w:rsidRPr="00614894" w:rsidR="0069312C" w:rsidTr="00C65763" w14:paraId="2CE693A1" w14:textId="77777777">
        <w:trPr>
          <w:trHeight w:val="352"/>
        </w:trPr>
        <w:tc>
          <w:tcPr>
            <w:tcW w:w="9073" w:type="dxa"/>
            <w:gridSpan w:val="8"/>
            <w:tcBorders>
              <w:top w:val="single" w:color="auto" w:sz="4" w:space="0"/>
              <w:left w:val="single" w:color="auto" w:sz="4" w:space="0"/>
            </w:tcBorders>
            <w:shd w:val="clear" w:color="auto" w:fill="DBE5F1" w:themeFill="accent1" w:themeFillTint="33"/>
            <w:vAlign w:val="bottom"/>
          </w:tcPr>
          <w:p w:rsidRPr="00F06452" w:rsidR="0069312C" w:rsidP="00C65763" w:rsidRDefault="0069312C" w14:paraId="202EB945" w14:textId="6DF0A1CD">
            <w:pPr>
              <w:spacing w:after="0" w:line="240" w:lineRule="auto"/>
              <w:rPr>
                <w:rFonts w:eastAsia="Times New Roman" w:cs="Arial"/>
                <w:b/>
                <w:bCs/>
                <w:color w:val="000000"/>
                <w:sz w:val="20"/>
                <w:szCs w:val="20"/>
                <w:lang w:eastAsia="en-GB"/>
              </w:rPr>
            </w:pPr>
            <w:r w:rsidRPr="00F06452">
              <w:rPr>
                <w:rFonts w:eastAsia="Times New Roman" w:cs="Arial"/>
                <w:b/>
                <w:bCs/>
                <w:color w:val="000000"/>
                <w:sz w:val="20"/>
                <w:szCs w:val="20"/>
                <w:lang w:eastAsia="en-GB"/>
              </w:rPr>
              <w:t>Notes to the Expenditure and Funding Analysis 202</w:t>
            </w:r>
            <w:r>
              <w:rPr>
                <w:rFonts w:eastAsia="Times New Roman" w:cs="Arial"/>
                <w:b/>
                <w:bCs/>
                <w:color w:val="000000"/>
                <w:sz w:val="20"/>
                <w:szCs w:val="20"/>
                <w:lang w:eastAsia="en-GB"/>
              </w:rPr>
              <w:t>1</w:t>
            </w:r>
            <w:r w:rsidRPr="00F06452">
              <w:rPr>
                <w:rFonts w:eastAsia="Times New Roman" w:cs="Arial"/>
                <w:b/>
                <w:bCs/>
                <w:color w:val="000000"/>
                <w:sz w:val="20"/>
                <w:szCs w:val="20"/>
                <w:lang w:eastAsia="en-GB"/>
              </w:rPr>
              <w:t>/2</w:t>
            </w:r>
            <w:r>
              <w:rPr>
                <w:rFonts w:eastAsia="Times New Roman" w:cs="Arial"/>
                <w:b/>
                <w:bCs/>
                <w:color w:val="000000"/>
                <w:sz w:val="20"/>
                <w:szCs w:val="20"/>
                <w:lang w:eastAsia="en-GB"/>
              </w:rPr>
              <w:t>2</w:t>
            </w:r>
            <w:r w:rsidRPr="00F06452">
              <w:rPr>
                <w:rFonts w:eastAsia="Times New Roman" w:cs="Arial"/>
                <w:b/>
                <w:bCs/>
                <w:color w:val="000000"/>
                <w:sz w:val="20"/>
                <w:szCs w:val="20"/>
                <w:lang w:eastAsia="en-GB"/>
              </w:rPr>
              <w:t xml:space="preserve"> </w:t>
            </w:r>
          </w:p>
        </w:tc>
        <w:tc>
          <w:tcPr>
            <w:tcW w:w="1695" w:type="dxa"/>
            <w:gridSpan w:val="3"/>
            <w:tcBorders>
              <w:top w:val="single" w:color="auto" w:sz="4" w:space="0"/>
              <w:right w:val="single" w:color="auto" w:sz="4" w:space="0"/>
            </w:tcBorders>
            <w:shd w:val="clear" w:color="auto" w:fill="DBE5F1" w:themeFill="accent1" w:themeFillTint="33"/>
            <w:vAlign w:val="bottom"/>
          </w:tcPr>
          <w:p w:rsidRPr="00F06452" w:rsidR="0069312C" w:rsidP="00C65763" w:rsidRDefault="0069312C" w14:paraId="3B865E90" w14:textId="77777777">
            <w:pPr>
              <w:spacing w:after="0" w:line="240" w:lineRule="auto"/>
              <w:rPr>
                <w:rFonts w:eastAsia="Times New Roman" w:cs="Arial"/>
                <w:b/>
                <w:bCs/>
                <w:color w:val="000000"/>
                <w:sz w:val="20"/>
                <w:szCs w:val="20"/>
                <w:lang w:eastAsia="en-GB"/>
              </w:rPr>
            </w:pPr>
          </w:p>
        </w:tc>
      </w:tr>
      <w:tr w:rsidRPr="00614894" w:rsidR="0069312C" w:rsidTr="00C65763" w14:paraId="1A6BC543" w14:textId="77777777">
        <w:tblPrEx>
          <w:tblCellMar>
            <w:left w:w="78" w:type="dxa"/>
            <w:right w:w="78" w:type="dxa"/>
          </w:tblCellMar>
        </w:tblPrEx>
        <w:trPr>
          <w:trHeight w:val="256"/>
        </w:trPr>
        <w:tc>
          <w:tcPr>
            <w:tcW w:w="10768" w:type="dxa"/>
            <w:gridSpan w:val="11"/>
            <w:tcBorders>
              <w:left w:val="single" w:color="auto" w:sz="2" w:space="0"/>
              <w:right w:val="single" w:color="auto" w:sz="2" w:space="0"/>
            </w:tcBorders>
            <w:shd w:val="clear" w:color="auto" w:fill="DBE5F1" w:themeFill="accent1" w:themeFillTint="33"/>
            <w:vAlign w:val="bottom"/>
          </w:tcPr>
          <w:p w:rsidRPr="00F06452" w:rsidR="0069312C" w:rsidP="00C65763" w:rsidRDefault="0069312C" w14:paraId="24BA4EBF" w14:textId="77777777">
            <w:pPr>
              <w:spacing w:after="0" w:line="240" w:lineRule="auto"/>
              <w:rPr>
                <w:rFonts w:eastAsia="Times New Roman" w:cs="Arial"/>
                <w:b/>
                <w:bCs/>
                <w:color w:val="000000"/>
                <w:sz w:val="20"/>
                <w:szCs w:val="20"/>
                <w:lang w:eastAsia="en-GB"/>
              </w:rPr>
            </w:pPr>
            <w:r w:rsidRPr="00F06452">
              <w:rPr>
                <w:rFonts w:eastAsia="Times New Roman" w:cs="Arial"/>
                <w:b/>
                <w:bCs/>
                <w:color w:val="000000"/>
                <w:sz w:val="20"/>
                <w:szCs w:val="20"/>
                <w:lang w:eastAsia="en-GB"/>
              </w:rPr>
              <w:t>Adjustments from General Fund to arrive at the Comprehensive Income and Expenditure Statement Amounts</w:t>
            </w:r>
          </w:p>
        </w:tc>
      </w:tr>
      <w:tr w:rsidRPr="00614894" w:rsidR="0069312C" w:rsidTr="00C65763" w14:paraId="2B5219E3" w14:textId="77777777">
        <w:tblPrEx>
          <w:tblCellMar>
            <w:left w:w="78" w:type="dxa"/>
            <w:right w:w="78" w:type="dxa"/>
          </w:tblCellMar>
        </w:tblPrEx>
        <w:trPr>
          <w:trHeight w:val="558"/>
        </w:trPr>
        <w:tc>
          <w:tcPr>
            <w:tcW w:w="3692" w:type="dxa"/>
            <w:tcBorders>
              <w:left w:val="single" w:color="auto" w:sz="2" w:space="0"/>
              <w:bottom w:val="single" w:color="auto" w:sz="2" w:space="0"/>
              <w:right w:val="nil"/>
            </w:tcBorders>
            <w:shd w:val="clear" w:color="auto" w:fill="DBE5F1" w:themeFill="accent1" w:themeFillTint="33"/>
            <w:vAlign w:val="bottom"/>
            <w:hideMark/>
          </w:tcPr>
          <w:p w:rsidRPr="00F06452" w:rsidR="0069312C" w:rsidP="00C65763" w:rsidRDefault="0069312C" w14:paraId="337B66F2" w14:textId="77777777">
            <w:pPr>
              <w:spacing w:after="0" w:line="240" w:lineRule="auto"/>
              <w:rPr>
                <w:rFonts w:eastAsia="Times New Roman" w:cs="Arial"/>
                <w:b/>
                <w:bCs/>
                <w:color w:val="000000"/>
                <w:sz w:val="20"/>
                <w:szCs w:val="20"/>
                <w:lang w:eastAsia="en-GB"/>
              </w:rPr>
            </w:pPr>
          </w:p>
        </w:tc>
        <w:tc>
          <w:tcPr>
            <w:tcW w:w="1570" w:type="dxa"/>
            <w:tcBorders>
              <w:left w:val="nil"/>
              <w:bottom w:val="single" w:color="auto" w:sz="2" w:space="0"/>
              <w:right w:val="nil"/>
            </w:tcBorders>
            <w:shd w:val="clear" w:color="auto" w:fill="DBE5F1" w:themeFill="accent1" w:themeFillTint="33"/>
            <w:vAlign w:val="bottom"/>
            <w:hideMark/>
          </w:tcPr>
          <w:p w:rsidRPr="00F06452" w:rsidR="0069312C" w:rsidP="00C65763" w:rsidRDefault="0069312C" w14:paraId="20290FF5"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 xml:space="preserve"> Pension Interest Adjustment £’000</w:t>
            </w:r>
          </w:p>
        </w:tc>
        <w:tc>
          <w:tcPr>
            <w:tcW w:w="1428" w:type="dxa"/>
            <w:gridSpan w:val="2"/>
            <w:tcBorders>
              <w:left w:val="nil"/>
              <w:bottom w:val="single" w:color="auto" w:sz="2" w:space="0"/>
              <w:right w:val="nil"/>
            </w:tcBorders>
            <w:shd w:val="clear" w:color="auto" w:fill="DBE5F1" w:themeFill="accent1" w:themeFillTint="33"/>
            <w:vAlign w:val="bottom"/>
          </w:tcPr>
          <w:p w:rsidRPr="00F06452" w:rsidR="0069312C" w:rsidP="00C65763" w:rsidRDefault="0069312C" w14:paraId="6255ECC3"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Adjustments for Capital Purposes £’000</w:t>
            </w:r>
          </w:p>
        </w:tc>
        <w:tc>
          <w:tcPr>
            <w:tcW w:w="1460" w:type="dxa"/>
            <w:gridSpan w:val="3"/>
            <w:tcBorders>
              <w:left w:val="nil"/>
              <w:bottom w:val="single" w:color="auto" w:sz="2" w:space="0"/>
              <w:right w:val="nil"/>
            </w:tcBorders>
            <w:shd w:val="clear" w:color="auto" w:fill="DBE5F1" w:themeFill="accent1" w:themeFillTint="33"/>
            <w:vAlign w:val="bottom"/>
            <w:hideMark/>
          </w:tcPr>
          <w:p w:rsidRPr="00F06452" w:rsidR="0069312C" w:rsidP="00C65763" w:rsidRDefault="0069312C" w14:paraId="1568EEFA"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Net Change for Pensions Adjustment</w:t>
            </w:r>
          </w:p>
          <w:p w:rsidRPr="00F06452" w:rsidR="0069312C" w:rsidP="00C65763" w:rsidRDefault="0069312C" w14:paraId="75A4A324"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£’000</w:t>
            </w:r>
          </w:p>
        </w:tc>
        <w:tc>
          <w:tcPr>
            <w:tcW w:w="1306" w:type="dxa"/>
            <w:gridSpan w:val="2"/>
            <w:tcBorders>
              <w:left w:val="nil"/>
              <w:bottom w:val="single" w:color="auto" w:sz="2" w:space="0"/>
              <w:right w:val="nil"/>
            </w:tcBorders>
            <w:shd w:val="clear" w:color="auto" w:fill="DBE5F1" w:themeFill="accent1" w:themeFillTint="33"/>
            <w:vAlign w:val="bottom"/>
            <w:hideMark/>
          </w:tcPr>
          <w:p w:rsidRPr="00F06452" w:rsidR="0069312C" w:rsidP="00C65763" w:rsidRDefault="0069312C" w14:paraId="4813905E"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Accrued Annual Leave</w:t>
            </w:r>
          </w:p>
          <w:p w:rsidRPr="00F06452" w:rsidR="0069312C" w:rsidP="00C65763" w:rsidRDefault="0069312C" w14:paraId="31963C64"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£’000</w:t>
            </w:r>
          </w:p>
        </w:tc>
        <w:tc>
          <w:tcPr>
            <w:tcW w:w="1312" w:type="dxa"/>
            <w:gridSpan w:val="2"/>
            <w:tcBorders>
              <w:left w:val="nil"/>
              <w:bottom w:val="single" w:color="auto" w:sz="2" w:space="0"/>
              <w:right w:val="single" w:color="auto" w:sz="2" w:space="0"/>
            </w:tcBorders>
            <w:shd w:val="clear" w:color="auto" w:fill="DBE5F1" w:themeFill="accent1" w:themeFillTint="33"/>
            <w:vAlign w:val="bottom"/>
            <w:hideMark/>
          </w:tcPr>
          <w:p w:rsidRPr="00F06452" w:rsidR="0069312C" w:rsidP="00C65763" w:rsidRDefault="0069312C" w14:paraId="6B97A4CA" w14:textId="77777777">
            <w:pPr>
              <w:spacing w:after="0" w:line="240" w:lineRule="auto"/>
              <w:ind w:hanging="326"/>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Total Adjustment</w:t>
            </w:r>
          </w:p>
          <w:p w:rsidRPr="00F06452" w:rsidR="0069312C" w:rsidP="00C65763" w:rsidRDefault="0069312C" w14:paraId="3399B8C5" w14:textId="77777777">
            <w:pPr>
              <w:spacing w:after="0" w:line="240" w:lineRule="auto"/>
              <w:jc w:val="center"/>
              <w:rPr>
                <w:rFonts w:eastAsia="Times New Roman" w:cs="Arial"/>
                <w:b/>
                <w:bCs/>
                <w:color w:val="000000"/>
                <w:sz w:val="20"/>
                <w:szCs w:val="20"/>
                <w:lang w:eastAsia="en-GB"/>
              </w:rPr>
            </w:pPr>
            <w:r w:rsidRPr="00F06452">
              <w:rPr>
                <w:rFonts w:eastAsia="Times New Roman" w:cs="Arial"/>
                <w:b/>
                <w:bCs/>
                <w:color w:val="000000"/>
                <w:sz w:val="20"/>
                <w:szCs w:val="20"/>
                <w:lang w:eastAsia="en-GB"/>
              </w:rPr>
              <w:t>£’000</w:t>
            </w:r>
          </w:p>
        </w:tc>
      </w:tr>
      <w:tr w:rsidRPr="00614894" w:rsidR="0069312C" w:rsidTr="00C65763" w14:paraId="1CA7AD50" w14:textId="77777777">
        <w:tblPrEx>
          <w:tblCellMar>
            <w:left w:w="78" w:type="dxa"/>
            <w:right w:w="78" w:type="dxa"/>
          </w:tblCellMar>
        </w:tblPrEx>
        <w:trPr>
          <w:trHeight w:val="186"/>
        </w:trPr>
        <w:tc>
          <w:tcPr>
            <w:tcW w:w="3692" w:type="dxa"/>
            <w:tcBorders>
              <w:top w:val="nil"/>
              <w:left w:val="single" w:color="auto" w:sz="2" w:space="0"/>
              <w:bottom w:val="nil"/>
              <w:right w:val="nil"/>
            </w:tcBorders>
            <w:shd w:val="clear" w:color="auto" w:fill="auto"/>
            <w:noWrap/>
            <w:vAlign w:val="bottom"/>
            <w:hideMark/>
          </w:tcPr>
          <w:p w:rsidRPr="00F06452" w:rsidR="0069312C" w:rsidP="00C65763" w:rsidRDefault="0069312C" w14:paraId="07B7D569" w14:textId="77777777">
            <w:pPr>
              <w:spacing w:after="0" w:line="240" w:lineRule="auto"/>
              <w:rPr>
                <w:rFonts w:eastAsia="Times New Roman" w:cs="Arial"/>
                <w:sz w:val="20"/>
                <w:szCs w:val="20"/>
                <w:lang w:eastAsia="en-GB"/>
              </w:rPr>
            </w:pPr>
            <w:r w:rsidRPr="00F06452">
              <w:rPr>
                <w:rFonts w:eastAsia="Times New Roman" w:cs="Arial"/>
                <w:sz w:val="20"/>
                <w:szCs w:val="20"/>
                <w:lang w:eastAsia="en-GB"/>
              </w:rPr>
              <w:t>Core Budget</w:t>
            </w:r>
          </w:p>
        </w:tc>
        <w:tc>
          <w:tcPr>
            <w:tcW w:w="1570" w:type="dxa"/>
            <w:tcBorders>
              <w:top w:val="nil"/>
              <w:left w:val="nil"/>
              <w:bottom w:val="nil"/>
              <w:right w:val="nil"/>
            </w:tcBorders>
            <w:shd w:val="clear" w:color="auto" w:fill="auto"/>
            <w:noWrap/>
            <w:vAlign w:val="bottom"/>
            <w:hideMark/>
          </w:tcPr>
          <w:p w:rsidRPr="00F06452" w:rsidR="0069312C" w:rsidP="00C65763" w:rsidRDefault="0069312C" w14:paraId="3282DC9C"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(90)</w:t>
            </w:r>
          </w:p>
        </w:tc>
        <w:tc>
          <w:tcPr>
            <w:tcW w:w="1428" w:type="dxa"/>
            <w:gridSpan w:val="2"/>
            <w:tcBorders>
              <w:top w:val="nil"/>
              <w:left w:val="nil"/>
              <w:bottom w:val="nil"/>
              <w:right w:val="nil"/>
            </w:tcBorders>
            <w:shd w:val="clear" w:color="auto" w:fill="auto"/>
            <w:vAlign w:val="bottom"/>
          </w:tcPr>
          <w:p w:rsidRPr="00F06452" w:rsidR="0069312C" w:rsidP="00C65763" w:rsidRDefault="0069312C" w14:paraId="615620BD"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60" w:type="dxa"/>
            <w:gridSpan w:val="3"/>
            <w:tcBorders>
              <w:top w:val="nil"/>
              <w:left w:val="nil"/>
              <w:bottom w:val="nil"/>
              <w:right w:val="nil"/>
            </w:tcBorders>
            <w:shd w:val="clear" w:color="auto" w:fill="auto"/>
            <w:noWrap/>
            <w:vAlign w:val="bottom"/>
          </w:tcPr>
          <w:p w:rsidRPr="00F06452" w:rsidR="0069312C" w:rsidP="00C65763" w:rsidRDefault="0069312C" w14:paraId="4032EB38" w14:textId="42C6AA70">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460</w:t>
            </w:r>
          </w:p>
        </w:tc>
        <w:tc>
          <w:tcPr>
            <w:tcW w:w="1306" w:type="dxa"/>
            <w:gridSpan w:val="2"/>
            <w:tcBorders>
              <w:top w:val="nil"/>
              <w:left w:val="nil"/>
              <w:bottom w:val="nil"/>
              <w:right w:val="nil"/>
            </w:tcBorders>
            <w:shd w:val="clear" w:color="auto" w:fill="auto"/>
            <w:noWrap/>
            <w:vAlign w:val="bottom"/>
            <w:hideMark/>
          </w:tcPr>
          <w:p w:rsidRPr="00F06452" w:rsidR="0069312C" w:rsidP="00C65763" w:rsidRDefault="0069312C" w14:paraId="7C76A725" w14:textId="0ECB13E0">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(23)</w:t>
            </w:r>
          </w:p>
        </w:tc>
        <w:tc>
          <w:tcPr>
            <w:tcW w:w="1312" w:type="dxa"/>
            <w:gridSpan w:val="2"/>
            <w:tcBorders>
              <w:top w:val="nil"/>
              <w:left w:val="nil"/>
              <w:bottom w:val="nil"/>
              <w:right w:val="single" w:color="auto" w:sz="2" w:space="0"/>
            </w:tcBorders>
            <w:shd w:val="clear" w:color="auto" w:fill="auto"/>
            <w:noWrap/>
            <w:vAlign w:val="bottom"/>
          </w:tcPr>
          <w:p w:rsidRPr="00F06452" w:rsidR="0069312C" w:rsidP="00C65763" w:rsidRDefault="0069312C" w14:paraId="6EF7348B" w14:textId="4B90294A">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 xml:space="preserve">                      3</w:t>
            </w:r>
            <w:r>
              <w:rPr>
                <w:rFonts w:eastAsia="Times New Roman" w:cs="Arial"/>
                <w:b/>
                <w:color w:val="000000"/>
                <w:sz w:val="20"/>
                <w:szCs w:val="20"/>
                <w:lang w:eastAsia="en-GB"/>
              </w:rPr>
              <w:t>47</w:t>
            </w:r>
          </w:p>
        </w:tc>
      </w:tr>
      <w:tr w:rsidRPr="00614894" w:rsidR="0069312C" w:rsidTr="00C65763" w14:paraId="6743F522" w14:textId="77777777">
        <w:tblPrEx>
          <w:tblCellMar>
            <w:left w:w="78" w:type="dxa"/>
            <w:right w:w="78" w:type="dxa"/>
          </w:tblCellMar>
        </w:tblPrEx>
        <w:trPr>
          <w:trHeight w:val="186"/>
        </w:trPr>
        <w:tc>
          <w:tcPr>
            <w:tcW w:w="3692" w:type="dxa"/>
            <w:tcBorders>
              <w:top w:val="nil"/>
              <w:left w:val="single" w:color="auto" w:sz="2" w:space="0"/>
              <w:bottom w:val="nil"/>
              <w:right w:val="nil"/>
            </w:tcBorders>
            <w:shd w:val="clear" w:color="auto" w:fill="auto"/>
            <w:noWrap/>
            <w:vAlign w:val="bottom"/>
            <w:hideMark/>
          </w:tcPr>
          <w:p w:rsidRPr="00F06452" w:rsidR="0069312C" w:rsidP="00C65763" w:rsidRDefault="0069312C" w14:paraId="67B0906E" w14:textId="77777777">
            <w:pPr>
              <w:spacing w:after="0" w:line="240" w:lineRule="auto"/>
              <w:rPr>
                <w:rFonts w:eastAsia="Times New Roman" w:cs="Arial"/>
                <w:sz w:val="20"/>
                <w:szCs w:val="20"/>
                <w:lang w:eastAsia="en-GB"/>
              </w:rPr>
            </w:pPr>
            <w:r w:rsidRPr="00F06452">
              <w:rPr>
                <w:rFonts w:eastAsia="Times New Roman" w:cs="Arial"/>
                <w:sz w:val="20"/>
                <w:szCs w:val="20"/>
                <w:lang w:eastAsia="en-GB"/>
              </w:rPr>
              <w:t>Regional Adoption Service Grant</w:t>
            </w:r>
          </w:p>
        </w:tc>
        <w:tc>
          <w:tcPr>
            <w:tcW w:w="1570" w:type="dxa"/>
            <w:tcBorders>
              <w:top w:val="nil"/>
              <w:left w:val="nil"/>
              <w:bottom w:val="nil"/>
              <w:right w:val="nil"/>
            </w:tcBorders>
            <w:shd w:val="clear" w:color="auto" w:fill="auto"/>
            <w:noWrap/>
            <w:vAlign w:val="bottom"/>
            <w:hideMark/>
          </w:tcPr>
          <w:p w:rsidRPr="00F06452" w:rsidR="0069312C" w:rsidP="00C65763" w:rsidRDefault="0069312C" w14:paraId="7BA1B8E7"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28" w:type="dxa"/>
            <w:gridSpan w:val="2"/>
            <w:tcBorders>
              <w:top w:val="nil"/>
              <w:left w:val="nil"/>
              <w:bottom w:val="nil"/>
              <w:right w:val="nil"/>
            </w:tcBorders>
            <w:shd w:val="clear" w:color="auto" w:fill="auto"/>
            <w:vAlign w:val="bottom"/>
          </w:tcPr>
          <w:p w:rsidRPr="00F06452" w:rsidR="0069312C" w:rsidP="00C65763" w:rsidRDefault="0069312C" w14:paraId="063F7A2C"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60" w:type="dxa"/>
            <w:gridSpan w:val="3"/>
            <w:tcBorders>
              <w:top w:val="nil"/>
              <w:left w:val="nil"/>
              <w:bottom w:val="nil"/>
              <w:right w:val="nil"/>
            </w:tcBorders>
            <w:shd w:val="clear" w:color="auto" w:fill="auto"/>
            <w:noWrap/>
            <w:vAlign w:val="bottom"/>
          </w:tcPr>
          <w:p w:rsidRPr="00F06452" w:rsidR="0069312C" w:rsidP="00C65763" w:rsidRDefault="0069312C" w14:paraId="4C3E8E06"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06" w:type="dxa"/>
            <w:gridSpan w:val="2"/>
            <w:tcBorders>
              <w:top w:val="nil"/>
              <w:left w:val="nil"/>
              <w:bottom w:val="nil"/>
              <w:right w:val="nil"/>
            </w:tcBorders>
            <w:shd w:val="clear" w:color="auto" w:fill="auto"/>
            <w:noWrap/>
            <w:vAlign w:val="bottom"/>
            <w:hideMark/>
          </w:tcPr>
          <w:p w:rsidRPr="00F06452" w:rsidR="0069312C" w:rsidP="00C65763" w:rsidRDefault="0069312C" w14:paraId="16DB642F"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12" w:type="dxa"/>
            <w:gridSpan w:val="2"/>
            <w:tcBorders>
              <w:top w:val="nil"/>
              <w:left w:val="nil"/>
              <w:bottom w:val="nil"/>
              <w:right w:val="single" w:color="auto" w:sz="2" w:space="0"/>
            </w:tcBorders>
            <w:shd w:val="clear" w:color="auto" w:fill="auto"/>
            <w:noWrap/>
            <w:vAlign w:val="bottom"/>
          </w:tcPr>
          <w:p w:rsidRPr="00F06452" w:rsidR="0069312C" w:rsidP="00C65763" w:rsidRDefault="0069312C" w14:paraId="799F170B" w14:textId="77777777">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0</w:t>
            </w:r>
          </w:p>
        </w:tc>
      </w:tr>
      <w:tr w:rsidRPr="00614894" w:rsidR="0069312C" w:rsidTr="00C65763" w14:paraId="54B0C347" w14:textId="77777777">
        <w:tblPrEx>
          <w:tblCellMar>
            <w:left w:w="78" w:type="dxa"/>
            <w:right w:w="78" w:type="dxa"/>
          </w:tblCellMar>
        </w:tblPrEx>
        <w:trPr>
          <w:trHeight w:val="213"/>
        </w:trPr>
        <w:tc>
          <w:tcPr>
            <w:tcW w:w="3692" w:type="dxa"/>
            <w:tcBorders>
              <w:top w:val="nil"/>
              <w:left w:val="single" w:color="auto" w:sz="2" w:space="0"/>
              <w:bottom w:val="nil"/>
              <w:right w:val="nil"/>
            </w:tcBorders>
            <w:shd w:val="clear" w:color="auto" w:fill="auto"/>
            <w:noWrap/>
            <w:vAlign w:val="bottom"/>
            <w:hideMark/>
          </w:tcPr>
          <w:p w:rsidRPr="00F06452" w:rsidR="0069312C" w:rsidP="00C65763" w:rsidRDefault="0069312C" w14:paraId="3520082C" w14:textId="77777777">
            <w:pPr>
              <w:spacing w:after="0" w:line="240" w:lineRule="auto"/>
              <w:rPr>
                <w:rFonts w:eastAsia="Times New Roman" w:cs="Arial"/>
                <w:sz w:val="20"/>
                <w:szCs w:val="20"/>
                <w:lang w:eastAsia="en-GB"/>
              </w:rPr>
            </w:pPr>
            <w:r w:rsidRPr="00F06452">
              <w:rPr>
                <w:rFonts w:eastAsia="Times New Roman" w:cs="Arial"/>
                <w:sz w:val="20"/>
                <w:szCs w:val="20"/>
                <w:lang w:eastAsia="en-GB"/>
              </w:rPr>
              <w:t>Utilisation of Previous Years Underspend</w:t>
            </w:r>
          </w:p>
        </w:tc>
        <w:tc>
          <w:tcPr>
            <w:tcW w:w="1570" w:type="dxa"/>
            <w:tcBorders>
              <w:top w:val="nil"/>
              <w:left w:val="nil"/>
              <w:bottom w:val="nil"/>
              <w:right w:val="nil"/>
            </w:tcBorders>
            <w:shd w:val="clear" w:color="auto" w:fill="auto"/>
            <w:noWrap/>
            <w:vAlign w:val="bottom"/>
            <w:hideMark/>
          </w:tcPr>
          <w:p w:rsidRPr="00F06452" w:rsidR="0069312C" w:rsidP="00C65763" w:rsidRDefault="0069312C" w14:paraId="28E64C43"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28" w:type="dxa"/>
            <w:gridSpan w:val="2"/>
            <w:tcBorders>
              <w:top w:val="nil"/>
              <w:left w:val="nil"/>
              <w:bottom w:val="nil"/>
              <w:right w:val="nil"/>
            </w:tcBorders>
            <w:shd w:val="clear" w:color="auto" w:fill="auto"/>
            <w:vAlign w:val="bottom"/>
          </w:tcPr>
          <w:p w:rsidRPr="00F06452" w:rsidR="0069312C" w:rsidP="00C65763" w:rsidRDefault="0069312C" w14:paraId="26087CBC"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460" w:type="dxa"/>
            <w:gridSpan w:val="3"/>
            <w:tcBorders>
              <w:top w:val="nil"/>
              <w:left w:val="nil"/>
              <w:bottom w:val="nil"/>
              <w:right w:val="nil"/>
            </w:tcBorders>
            <w:shd w:val="clear" w:color="auto" w:fill="auto"/>
            <w:noWrap/>
            <w:vAlign w:val="bottom"/>
          </w:tcPr>
          <w:p w:rsidRPr="00F06452" w:rsidR="0069312C" w:rsidP="00C65763" w:rsidRDefault="0069312C" w14:paraId="2EA5FC55" w14:textId="77777777">
            <w:pPr>
              <w:spacing w:after="0" w:line="240" w:lineRule="auto"/>
              <w:jc w:val="center"/>
              <w:rPr>
                <w:rFonts w:eastAsia="Times New Roman" w:cs="Arial"/>
                <w:color w:val="000000"/>
                <w:sz w:val="20"/>
                <w:szCs w:val="20"/>
                <w:lang w:eastAsia="en-GB"/>
              </w:rPr>
            </w:pPr>
            <w:r w:rsidRPr="00F06452">
              <w:rPr>
                <w:rFonts w:eastAsia="Times New Roman" w:cs="Arial"/>
                <w:color w:val="000000"/>
                <w:sz w:val="20"/>
                <w:szCs w:val="20"/>
                <w:lang w:eastAsia="en-GB"/>
              </w:rPr>
              <w:t xml:space="preserve">                    0</w:t>
            </w:r>
          </w:p>
        </w:tc>
        <w:tc>
          <w:tcPr>
            <w:tcW w:w="1306" w:type="dxa"/>
            <w:gridSpan w:val="2"/>
            <w:tcBorders>
              <w:top w:val="nil"/>
              <w:left w:val="nil"/>
              <w:bottom w:val="nil"/>
              <w:right w:val="nil"/>
            </w:tcBorders>
            <w:shd w:val="clear" w:color="auto" w:fill="auto"/>
            <w:noWrap/>
            <w:vAlign w:val="bottom"/>
            <w:hideMark/>
          </w:tcPr>
          <w:p w:rsidRPr="00F06452" w:rsidR="0069312C" w:rsidP="00C65763" w:rsidRDefault="0069312C" w14:paraId="30CE2006"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 xml:space="preserve">0   </w:t>
            </w:r>
          </w:p>
        </w:tc>
        <w:tc>
          <w:tcPr>
            <w:tcW w:w="1312" w:type="dxa"/>
            <w:gridSpan w:val="2"/>
            <w:tcBorders>
              <w:top w:val="nil"/>
              <w:left w:val="nil"/>
              <w:bottom w:val="nil"/>
              <w:right w:val="single" w:color="auto" w:sz="2" w:space="0"/>
            </w:tcBorders>
            <w:shd w:val="clear" w:color="auto" w:fill="auto"/>
            <w:noWrap/>
            <w:vAlign w:val="bottom"/>
            <w:hideMark/>
          </w:tcPr>
          <w:p w:rsidRPr="00F06452" w:rsidR="0069312C" w:rsidP="00C65763" w:rsidRDefault="0069312C" w14:paraId="6EAF432B" w14:textId="77777777">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 xml:space="preserve">                              0</w:t>
            </w:r>
          </w:p>
        </w:tc>
      </w:tr>
      <w:tr w:rsidRPr="00614894" w:rsidR="0069312C" w:rsidTr="00C65763" w14:paraId="490941A7" w14:textId="77777777">
        <w:tblPrEx>
          <w:tblCellMar>
            <w:left w:w="78" w:type="dxa"/>
            <w:right w:w="78" w:type="dxa"/>
          </w:tblCellMar>
        </w:tblPrEx>
        <w:trPr>
          <w:trHeight w:val="186"/>
        </w:trPr>
        <w:tc>
          <w:tcPr>
            <w:tcW w:w="3692" w:type="dxa"/>
            <w:tcBorders>
              <w:top w:val="single" w:color="auto" w:sz="2" w:space="0"/>
              <w:left w:val="single" w:color="auto" w:sz="2" w:space="0"/>
              <w:bottom w:val="single" w:color="auto" w:sz="2" w:space="0"/>
              <w:right w:val="nil"/>
            </w:tcBorders>
            <w:shd w:val="clear" w:color="auto" w:fill="DBE5F1" w:themeFill="accent1" w:themeFillTint="33"/>
            <w:noWrap/>
            <w:vAlign w:val="bottom"/>
            <w:hideMark/>
          </w:tcPr>
          <w:p w:rsidRPr="00F06452" w:rsidR="0069312C" w:rsidP="00C65763" w:rsidRDefault="0069312C" w14:paraId="1C4061F9" w14:textId="77777777">
            <w:pPr>
              <w:spacing w:after="0" w:line="240" w:lineRule="auto"/>
              <w:rPr>
                <w:rFonts w:eastAsia="Times New Roman" w:cs="Arial"/>
                <w:b/>
                <w:bCs/>
                <w:color w:val="000000"/>
                <w:sz w:val="20"/>
                <w:szCs w:val="20"/>
                <w:lang w:eastAsia="en-GB"/>
              </w:rPr>
            </w:pPr>
            <w:r w:rsidRPr="00F06452">
              <w:rPr>
                <w:rFonts w:eastAsia="Times New Roman" w:cs="Arial"/>
                <w:b/>
                <w:bCs/>
                <w:color w:val="000000"/>
                <w:sz w:val="20"/>
                <w:szCs w:val="20"/>
                <w:lang w:eastAsia="en-GB"/>
              </w:rPr>
              <w:t>Net Cost of Services</w:t>
            </w:r>
          </w:p>
        </w:tc>
        <w:tc>
          <w:tcPr>
            <w:tcW w:w="1570" w:type="dxa"/>
            <w:tcBorders>
              <w:top w:val="single" w:color="auto" w:sz="2" w:space="0"/>
              <w:left w:val="nil"/>
              <w:bottom w:val="single" w:color="auto" w:sz="2" w:space="0"/>
              <w:right w:val="nil"/>
            </w:tcBorders>
            <w:shd w:val="clear" w:color="auto" w:fill="DBE5F1" w:themeFill="accent1" w:themeFillTint="33"/>
            <w:noWrap/>
            <w:vAlign w:val="bottom"/>
          </w:tcPr>
          <w:p w:rsidRPr="00F06452" w:rsidR="0069312C" w:rsidP="00C65763" w:rsidRDefault="0069312C" w14:paraId="6CFB4580" w14:textId="77777777">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(90)</w:t>
            </w:r>
          </w:p>
        </w:tc>
        <w:tc>
          <w:tcPr>
            <w:tcW w:w="1428" w:type="dxa"/>
            <w:gridSpan w:val="2"/>
            <w:tcBorders>
              <w:top w:val="single" w:color="auto" w:sz="2" w:space="0"/>
              <w:left w:val="nil"/>
              <w:bottom w:val="single" w:color="auto" w:sz="2" w:space="0"/>
              <w:right w:val="nil"/>
            </w:tcBorders>
            <w:shd w:val="clear" w:color="auto" w:fill="DBE5F1" w:themeFill="accent1" w:themeFillTint="33"/>
            <w:vAlign w:val="bottom"/>
          </w:tcPr>
          <w:p w:rsidRPr="00F06452" w:rsidR="0069312C" w:rsidP="00C65763" w:rsidRDefault="0069312C" w14:paraId="7EA63A9B" w14:textId="77777777">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0</w:t>
            </w:r>
          </w:p>
        </w:tc>
        <w:tc>
          <w:tcPr>
            <w:tcW w:w="1460" w:type="dxa"/>
            <w:gridSpan w:val="3"/>
            <w:tcBorders>
              <w:top w:val="single" w:color="auto" w:sz="2" w:space="0"/>
              <w:left w:val="nil"/>
              <w:bottom w:val="single" w:color="auto" w:sz="2" w:space="0"/>
              <w:right w:val="nil"/>
            </w:tcBorders>
            <w:shd w:val="clear" w:color="auto" w:fill="DBE5F1" w:themeFill="accent1" w:themeFillTint="33"/>
            <w:noWrap/>
            <w:vAlign w:val="bottom"/>
          </w:tcPr>
          <w:p w:rsidRPr="00F06452" w:rsidR="0069312C" w:rsidP="00C65763" w:rsidRDefault="0069312C" w14:paraId="4A2336EE" w14:textId="60AF644E">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460</w:t>
            </w:r>
          </w:p>
        </w:tc>
        <w:tc>
          <w:tcPr>
            <w:tcW w:w="1306" w:type="dxa"/>
            <w:gridSpan w:val="2"/>
            <w:tcBorders>
              <w:top w:val="single" w:color="auto" w:sz="2" w:space="0"/>
              <w:left w:val="nil"/>
              <w:bottom w:val="single" w:color="auto" w:sz="2" w:space="0"/>
              <w:right w:val="nil"/>
            </w:tcBorders>
            <w:shd w:val="clear" w:color="auto" w:fill="DBE5F1" w:themeFill="accent1" w:themeFillTint="33"/>
            <w:noWrap/>
            <w:vAlign w:val="bottom"/>
          </w:tcPr>
          <w:p w:rsidRPr="00F06452" w:rsidR="0069312C" w:rsidP="00C65763" w:rsidRDefault="0069312C" w14:paraId="43FF3495" w14:textId="1F6C3F4C">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F06452">
              <w:rPr>
                <w:rFonts w:eastAsia="Times New Roman" w:cs="Arial"/>
                <w:b/>
                <w:bCs/>
                <w:color w:val="000000"/>
                <w:sz w:val="20"/>
                <w:szCs w:val="20"/>
                <w:lang w:eastAsia="en-GB"/>
              </w:rPr>
              <w:t>2</w:t>
            </w:r>
            <w:r>
              <w:rPr>
                <w:rFonts w:eastAsia="Times New Roman" w:cs="Arial"/>
                <w:b/>
                <w:bCs/>
                <w:color w:val="000000"/>
                <w:sz w:val="20"/>
                <w:szCs w:val="20"/>
                <w:lang w:eastAsia="en-GB"/>
              </w:rPr>
              <w:t>3)</w:t>
            </w:r>
          </w:p>
        </w:tc>
        <w:tc>
          <w:tcPr>
            <w:tcW w:w="1312" w:type="dxa"/>
            <w:gridSpan w:val="2"/>
            <w:tcBorders>
              <w:top w:val="single" w:color="auto" w:sz="2" w:space="0"/>
              <w:left w:val="nil"/>
              <w:bottom w:val="single" w:color="auto" w:sz="2" w:space="0"/>
              <w:right w:val="single" w:color="auto" w:sz="2" w:space="0"/>
            </w:tcBorders>
            <w:shd w:val="clear" w:color="auto" w:fill="DBE5F1" w:themeFill="accent1" w:themeFillTint="33"/>
            <w:noWrap/>
            <w:vAlign w:val="bottom"/>
          </w:tcPr>
          <w:p w:rsidRPr="00F06452" w:rsidR="0069312C" w:rsidP="00C65763" w:rsidRDefault="0069312C" w14:paraId="30911617" w14:textId="67532F3F">
            <w:pPr>
              <w:spacing w:after="0" w:line="240" w:lineRule="auto"/>
              <w:jc w:val="right"/>
              <w:rPr>
                <w:rFonts w:eastAsia="Times New Roman" w:cs="Arial"/>
                <w:b/>
                <w:bCs/>
                <w:color w:val="000000"/>
                <w:sz w:val="20"/>
                <w:szCs w:val="20"/>
                <w:lang w:eastAsia="en-GB"/>
              </w:rPr>
            </w:pPr>
            <w:r w:rsidRPr="00F06452">
              <w:rPr>
                <w:rFonts w:eastAsia="Times New Roman" w:cs="Arial"/>
                <w:b/>
                <w:bCs/>
                <w:color w:val="000000"/>
                <w:sz w:val="20"/>
                <w:szCs w:val="20"/>
                <w:lang w:eastAsia="en-GB"/>
              </w:rPr>
              <w:t>3</w:t>
            </w:r>
            <w:r>
              <w:rPr>
                <w:rFonts w:eastAsia="Times New Roman" w:cs="Arial"/>
                <w:b/>
                <w:bCs/>
                <w:color w:val="000000"/>
                <w:sz w:val="20"/>
                <w:szCs w:val="20"/>
                <w:lang w:eastAsia="en-GB"/>
              </w:rPr>
              <w:t>47</w:t>
            </w:r>
          </w:p>
        </w:tc>
      </w:tr>
      <w:tr w:rsidRPr="00614894" w:rsidR="0069312C" w:rsidTr="00C65763" w14:paraId="5821DE86" w14:textId="77777777">
        <w:tblPrEx>
          <w:tblCellMar>
            <w:left w:w="78" w:type="dxa"/>
            <w:right w:w="78" w:type="dxa"/>
          </w:tblCellMar>
        </w:tblPrEx>
        <w:trPr>
          <w:trHeight w:val="14"/>
        </w:trPr>
        <w:tc>
          <w:tcPr>
            <w:tcW w:w="3692" w:type="dxa"/>
            <w:tcBorders>
              <w:top w:val="nil"/>
              <w:left w:val="single" w:color="auto" w:sz="2" w:space="0"/>
              <w:bottom w:val="nil"/>
              <w:right w:val="nil"/>
            </w:tcBorders>
            <w:shd w:val="clear" w:color="auto" w:fill="auto"/>
            <w:noWrap/>
            <w:vAlign w:val="bottom"/>
          </w:tcPr>
          <w:p w:rsidRPr="00F06452" w:rsidR="0069312C" w:rsidP="00C65763" w:rsidRDefault="0069312C" w14:paraId="03288095" w14:textId="77777777">
            <w:pPr>
              <w:spacing w:after="0" w:line="240" w:lineRule="auto"/>
              <w:rPr>
                <w:rFonts w:eastAsia="Times New Roman" w:cs="Arial"/>
                <w:sz w:val="20"/>
                <w:szCs w:val="20"/>
                <w:lang w:eastAsia="en-GB"/>
              </w:rPr>
            </w:pPr>
            <w:r w:rsidRPr="00F06452">
              <w:rPr>
                <w:rFonts w:eastAsia="Times New Roman" w:cs="Arial"/>
                <w:sz w:val="20"/>
                <w:szCs w:val="20"/>
                <w:lang w:eastAsia="en-GB"/>
              </w:rPr>
              <w:t>Contributions from Las</w:t>
            </w:r>
          </w:p>
        </w:tc>
        <w:tc>
          <w:tcPr>
            <w:tcW w:w="1581" w:type="dxa"/>
            <w:gridSpan w:val="2"/>
            <w:tcBorders>
              <w:top w:val="nil"/>
              <w:left w:val="nil"/>
              <w:bottom w:val="nil"/>
              <w:right w:val="nil"/>
            </w:tcBorders>
            <w:shd w:val="clear" w:color="auto" w:fill="auto"/>
            <w:noWrap/>
            <w:vAlign w:val="bottom"/>
          </w:tcPr>
          <w:p w:rsidRPr="00F06452" w:rsidR="0069312C" w:rsidP="00C65763" w:rsidRDefault="0069312C" w14:paraId="43D99099"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 xml:space="preserve">                     0</w:t>
            </w:r>
          </w:p>
        </w:tc>
        <w:tc>
          <w:tcPr>
            <w:tcW w:w="1429" w:type="dxa"/>
            <w:gridSpan w:val="2"/>
            <w:tcBorders>
              <w:top w:val="nil"/>
              <w:left w:val="nil"/>
              <w:bottom w:val="nil"/>
              <w:right w:val="nil"/>
            </w:tcBorders>
            <w:shd w:val="clear" w:color="auto" w:fill="auto"/>
            <w:vAlign w:val="bottom"/>
          </w:tcPr>
          <w:p w:rsidRPr="00F06452" w:rsidR="0069312C" w:rsidP="00C65763" w:rsidRDefault="0069312C" w14:paraId="0C8D0778"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5" w:type="dxa"/>
            <w:tcBorders>
              <w:top w:val="nil"/>
              <w:left w:val="nil"/>
              <w:bottom w:val="nil"/>
              <w:right w:val="nil"/>
            </w:tcBorders>
            <w:shd w:val="clear" w:color="auto" w:fill="auto"/>
            <w:noWrap/>
            <w:vAlign w:val="bottom"/>
          </w:tcPr>
          <w:p w:rsidRPr="00F06452" w:rsidR="0069312C" w:rsidP="00C65763" w:rsidRDefault="0069312C" w14:paraId="19642E75"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1" w:type="dxa"/>
            <w:gridSpan w:val="4"/>
            <w:tcBorders>
              <w:top w:val="nil"/>
              <w:left w:val="nil"/>
              <w:bottom w:val="nil"/>
              <w:right w:val="nil"/>
            </w:tcBorders>
            <w:shd w:val="clear" w:color="auto" w:fill="auto"/>
            <w:noWrap/>
            <w:vAlign w:val="bottom"/>
          </w:tcPr>
          <w:p w:rsidRPr="00F06452" w:rsidR="0069312C" w:rsidP="00C65763" w:rsidRDefault="0069312C" w14:paraId="33570A42"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00" w:type="dxa"/>
            <w:tcBorders>
              <w:top w:val="nil"/>
              <w:left w:val="nil"/>
              <w:bottom w:val="nil"/>
              <w:right w:val="single" w:color="auto" w:sz="2" w:space="0"/>
            </w:tcBorders>
            <w:shd w:val="clear" w:color="auto" w:fill="auto"/>
            <w:noWrap/>
            <w:vAlign w:val="bottom"/>
          </w:tcPr>
          <w:p w:rsidRPr="00F06452" w:rsidR="0069312C" w:rsidP="00C65763" w:rsidRDefault="0069312C" w14:paraId="2D3151F5" w14:textId="77777777">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0</w:t>
            </w:r>
          </w:p>
        </w:tc>
      </w:tr>
      <w:tr w:rsidRPr="00614894" w:rsidR="0069312C" w:rsidTr="00C65763" w14:paraId="06774E45" w14:textId="77777777">
        <w:tblPrEx>
          <w:tblCellMar>
            <w:left w:w="78" w:type="dxa"/>
            <w:right w:w="78" w:type="dxa"/>
          </w:tblCellMar>
        </w:tblPrEx>
        <w:trPr>
          <w:trHeight w:val="14"/>
        </w:trPr>
        <w:tc>
          <w:tcPr>
            <w:tcW w:w="3692" w:type="dxa"/>
            <w:tcBorders>
              <w:top w:val="nil"/>
              <w:left w:val="single" w:color="auto" w:sz="2" w:space="0"/>
              <w:bottom w:val="nil"/>
              <w:right w:val="nil"/>
            </w:tcBorders>
            <w:shd w:val="clear" w:color="auto" w:fill="auto"/>
            <w:vAlign w:val="bottom"/>
          </w:tcPr>
          <w:p w:rsidRPr="00F06452" w:rsidR="0069312C" w:rsidP="00C65763" w:rsidRDefault="0069312C" w14:paraId="26628F33" w14:textId="77777777">
            <w:pPr>
              <w:spacing w:after="0" w:line="240" w:lineRule="auto"/>
              <w:rPr>
                <w:rFonts w:eastAsia="Times New Roman" w:cs="Arial"/>
                <w:color w:val="000000"/>
                <w:sz w:val="20"/>
                <w:szCs w:val="20"/>
                <w:lang w:eastAsia="en-GB"/>
              </w:rPr>
            </w:pPr>
            <w:r w:rsidRPr="00F06452">
              <w:rPr>
                <w:rFonts w:eastAsia="Times New Roman" w:cs="Arial"/>
                <w:color w:val="000000"/>
                <w:sz w:val="20"/>
                <w:szCs w:val="20"/>
                <w:lang w:eastAsia="en-GB"/>
              </w:rPr>
              <w:t>Interest Receivable</w:t>
            </w:r>
          </w:p>
        </w:tc>
        <w:tc>
          <w:tcPr>
            <w:tcW w:w="1581" w:type="dxa"/>
            <w:gridSpan w:val="2"/>
            <w:tcBorders>
              <w:top w:val="nil"/>
              <w:left w:val="nil"/>
              <w:bottom w:val="nil"/>
              <w:right w:val="nil"/>
            </w:tcBorders>
            <w:shd w:val="clear" w:color="auto" w:fill="auto"/>
            <w:noWrap/>
            <w:vAlign w:val="bottom"/>
          </w:tcPr>
          <w:p w:rsidRPr="00F06452" w:rsidR="0069312C" w:rsidP="00C65763" w:rsidRDefault="0069312C" w14:paraId="2E1C6D2C"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 xml:space="preserve">                     0</w:t>
            </w:r>
          </w:p>
        </w:tc>
        <w:tc>
          <w:tcPr>
            <w:tcW w:w="1429" w:type="dxa"/>
            <w:gridSpan w:val="2"/>
            <w:tcBorders>
              <w:top w:val="nil"/>
              <w:left w:val="nil"/>
              <w:bottom w:val="nil"/>
              <w:right w:val="nil"/>
            </w:tcBorders>
            <w:shd w:val="clear" w:color="auto" w:fill="auto"/>
            <w:vAlign w:val="bottom"/>
          </w:tcPr>
          <w:p w:rsidRPr="00F06452" w:rsidR="0069312C" w:rsidP="00C65763" w:rsidRDefault="0069312C" w14:paraId="1394FC11"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5" w:type="dxa"/>
            <w:tcBorders>
              <w:top w:val="nil"/>
              <w:left w:val="nil"/>
              <w:bottom w:val="nil"/>
              <w:right w:val="nil"/>
            </w:tcBorders>
            <w:shd w:val="clear" w:color="auto" w:fill="auto"/>
            <w:noWrap/>
            <w:vAlign w:val="bottom"/>
          </w:tcPr>
          <w:p w:rsidRPr="00F06452" w:rsidR="0069312C" w:rsidP="00C65763" w:rsidRDefault="0069312C" w14:paraId="5596CBCD"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1" w:type="dxa"/>
            <w:gridSpan w:val="4"/>
            <w:tcBorders>
              <w:top w:val="nil"/>
              <w:left w:val="nil"/>
              <w:bottom w:val="nil"/>
              <w:right w:val="nil"/>
            </w:tcBorders>
            <w:shd w:val="clear" w:color="auto" w:fill="auto"/>
            <w:noWrap/>
            <w:vAlign w:val="bottom"/>
          </w:tcPr>
          <w:p w:rsidRPr="00F06452" w:rsidR="0069312C" w:rsidP="00C65763" w:rsidRDefault="0069312C" w14:paraId="15155716"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 xml:space="preserve">0  </w:t>
            </w:r>
          </w:p>
        </w:tc>
        <w:tc>
          <w:tcPr>
            <w:tcW w:w="1300" w:type="dxa"/>
            <w:tcBorders>
              <w:top w:val="nil"/>
              <w:left w:val="nil"/>
              <w:bottom w:val="nil"/>
              <w:right w:val="single" w:color="auto" w:sz="2" w:space="0"/>
            </w:tcBorders>
            <w:shd w:val="clear" w:color="auto" w:fill="auto"/>
            <w:noWrap/>
            <w:vAlign w:val="bottom"/>
          </w:tcPr>
          <w:p w:rsidRPr="00F06452" w:rsidR="0069312C" w:rsidP="00C65763" w:rsidRDefault="0069312C" w14:paraId="6EBA91C6" w14:textId="77777777">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0</w:t>
            </w:r>
          </w:p>
        </w:tc>
      </w:tr>
      <w:tr w:rsidRPr="00614894" w:rsidR="0069312C" w:rsidTr="00C65763" w14:paraId="2B8489A8" w14:textId="77777777">
        <w:tblPrEx>
          <w:tblCellMar>
            <w:left w:w="78" w:type="dxa"/>
            <w:right w:w="78" w:type="dxa"/>
          </w:tblCellMar>
        </w:tblPrEx>
        <w:trPr>
          <w:trHeight w:val="14"/>
        </w:trPr>
        <w:tc>
          <w:tcPr>
            <w:tcW w:w="3692" w:type="dxa"/>
            <w:tcBorders>
              <w:top w:val="nil"/>
              <w:left w:val="single" w:color="auto" w:sz="2" w:space="0"/>
              <w:bottom w:val="single" w:color="auto" w:sz="2" w:space="0"/>
              <w:right w:val="nil"/>
            </w:tcBorders>
            <w:shd w:val="clear" w:color="auto" w:fill="auto"/>
            <w:vAlign w:val="bottom"/>
          </w:tcPr>
          <w:p w:rsidRPr="00F06452" w:rsidR="0069312C" w:rsidP="00C65763" w:rsidRDefault="0069312C" w14:paraId="2A0271ED" w14:textId="77777777">
            <w:pPr>
              <w:spacing w:after="0" w:line="240" w:lineRule="auto"/>
              <w:rPr>
                <w:rFonts w:eastAsia="Times New Roman" w:cs="Arial"/>
                <w:color w:val="000000"/>
                <w:sz w:val="20"/>
                <w:szCs w:val="20"/>
                <w:lang w:eastAsia="en-GB"/>
              </w:rPr>
            </w:pPr>
            <w:r w:rsidRPr="00F06452">
              <w:rPr>
                <w:rFonts w:eastAsia="Times New Roman" w:cs="Arial"/>
                <w:color w:val="000000"/>
                <w:sz w:val="20"/>
                <w:szCs w:val="20"/>
                <w:lang w:eastAsia="en-GB"/>
              </w:rPr>
              <w:t>Pensions Interest Payable</w:t>
            </w:r>
          </w:p>
        </w:tc>
        <w:tc>
          <w:tcPr>
            <w:tcW w:w="1581" w:type="dxa"/>
            <w:gridSpan w:val="2"/>
            <w:tcBorders>
              <w:top w:val="nil"/>
              <w:left w:val="nil"/>
              <w:bottom w:val="single" w:color="auto" w:sz="2" w:space="0"/>
              <w:right w:val="nil"/>
            </w:tcBorders>
            <w:shd w:val="clear" w:color="auto" w:fill="auto"/>
            <w:noWrap/>
            <w:vAlign w:val="bottom"/>
          </w:tcPr>
          <w:p w:rsidRPr="00F06452" w:rsidR="0069312C" w:rsidP="00C65763" w:rsidRDefault="0069312C" w14:paraId="3AD9682A" w14:textId="77777777">
            <w:pPr>
              <w:spacing w:after="0" w:line="240" w:lineRule="auto"/>
              <w:jc w:val="center"/>
              <w:rPr>
                <w:rFonts w:eastAsia="Times New Roman" w:cs="Arial"/>
                <w:color w:val="000000"/>
                <w:sz w:val="20"/>
                <w:szCs w:val="20"/>
                <w:lang w:eastAsia="en-GB"/>
              </w:rPr>
            </w:pPr>
            <w:r w:rsidRPr="00F06452">
              <w:rPr>
                <w:rFonts w:eastAsia="Times New Roman" w:cs="Arial"/>
                <w:color w:val="000000"/>
                <w:sz w:val="20"/>
                <w:szCs w:val="20"/>
                <w:lang w:eastAsia="en-GB"/>
              </w:rPr>
              <w:t xml:space="preserve">                     90                                  </w:t>
            </w:r>
          </w:p>
        </w:tc>
        <w:tc>
          <w:tcPr>
            <w:tcW w:w="1429" w:type="dxa"/>
            <w:gridSpan w:val="2"/>
            <w:tcBorders>
              <w:top w:val="nil"/>
              <w:left w:val="nil"/>
              <w:bottom w:val="single" w:color="auto" w:sz="2" w:space="0"/>
              <w:right w:val="nil"/>
            </w:tcBorders>
            <w:shd w:val="clear" w:color="auto" w:fill="auto"/>
            <w:vAlign w:val="bottom"/>
          </w:tcPr>
          <w:p w:rsidRPr="00F06452" w:rsidR="0069312C" w:rsidP="00C65763" w:rsidRDefault="0069312C" w14:paraId="417DEFA5"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5" w:type="dxa"/>
            <w:tcBorders>
              <w:top w:val="nil"/>
              <w:left w:val="nil"/>
              <w:bottom w:val="single" w:color="auto" w:sz="2" w:space="0"/>
              <w:right w:val="nil"/>
            </w:tcBorders>
            <w:shd w:val="clear" w:color="auto" w:fill="auto"/>
            <w:noWrap/>
            <w:vAlign w:val="bottom"/>
          </w:tcPr>
          <w:p w:rsidRPr="00F06452" w:rsidR="0069312C" w:rsidP="00C65763" w:rsidRDefault="0069312C" w14:paraId="175F655C"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81" w:type="dxa"/>
            <w:gridSpan w:val="4"/>
            <w:tcBorders>
              <w:top w:val="nil"/>
              <w:left w:val="nil"/>
              <w:bottom w:val="single" w:color="auto" w:sz="2" w:space="0"/>
              <w:right w:val="nil"/>
            </w:tcBorders>
            <w:shd w:val="clear" w:color="auto" w:fill="auto"/>
            <w:noWrap/>
            <w:vAlign w:val="bottom"/>
          </w:tcPr>
          <w:p w:rsidRPr="00F06452" w:rsidR="0069312C" w:rsidP="00C65763" w:rsidRDefault="0069312C" w14:paraId="41C03AC9" w14:textId="77777777">
            <w:pPr>
              <w:spacing w:after="0" w:line="240" w:lineRule="auto"/>
              <w:jc w:val="right"/>
              <w:rPr>
                <w:rFonts w:eastAsia="Times New Roman" w:cs="Arial"/>
                <w:color w:val="000000"/>
                <w:sz w:val="20"/>
                <w:szCs w:val="20"/>
                <w:lang w:eastAsia="en-GB"/>
              </w:rPr>
            </w:pPr>
            <w:r w:rsidRPr="00F06452">
              <w:rPr>
                <w:rFonts w:eastAsia="Times New Roman" w:cs="Arial"/>
                <w:color w:val="000000"/>
                <w:sz w:val="20"/>
                <w:szCs w:val="20"/>
                <w:lang w:eastAsia="en-GB"/>
              </w:rPr>
              <w:t>0</w:t>
            </w:r>
          </w:p>
        </w:tc>
        <w:tc>
          <w:tcPr>
            <w:tcW w:w="1300" w:type="dxa"/>
            <w:tcBorders>
              <w:top w:val="nil"/>
              <w:left w:val="nil"/>
              <w:bottom w:val="single" w:color="auto" w:sz="2" w:space="0"/>
              <w:right w:val="single" w:color="auto" w:sz="2" w:space="0"/>
            </w:tcBorders>
            <w:shd w:val="clear" w:color="auto" w:fill="auto"/>
            <w:noWrap/>
            <w:vAlign w:val="bottom"/>
          </w:tcPr>
          <w:p w:rsidRPr="00F06452" w:rsidR="0069312C" w:rsidP="00C65763" w:rsidRDefault="0069312C" w14:paraId="069C0BFC" w14:textId="77777777">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90</w:t>
            </w:r>
          </w:p>
        </w:tc>
      </w:tr>
      <w:tr w:rsidRPr="00614894" w:rsidR="0069312C" w:rsidTr="00C65763" w14:paraId="1744AFC1" w14:textId="77777777">
        <w:tblPrEx>
          <w:tblCellMar>
            <w:left w:w="78" w:type="dxa"/>
            <w:right w:w="78" w:type="dxa"/>
          </w:tblCellMar>
        </w:tblPrEx>
        <w:trPr>
          <w:trHeight w:val="983"/>
        </w:trPr>
        <w:tc>
          <w:tcPr>
            <w:tcW w:w="3692" w:type="dxa"/>
            <w:tcBorders>
              <w:top w:val="single" w:color="auto" w:sz="2" w:space="0"/>
              <w:left w:val="single" w:color="auto" w:sz="2" w:space="0"/>
              <w:bottom w:val="single" w:color="auto" w:sz="2" w:space="0"/>
              <w:right w:val="nil"/>
            </w:tcBorders>
            <w:shd w:val="clear" w:color="auto" w:fill="DBE5F1" w:themeFill="accent1" w:themeFillTint="33"/>
            <w:vAlign w:val="bottom"/>
            <w:hideMark/>
          </w:tcPr>
          <w:p w:rsidRPr="00F06452" w:rsidR="0069312C" w:rsidP="00C65763" w:rsidRDefault="0069312C" w14:paraId="16A1B3F9" w14:textId="77777777">
            <w:pPr>
              <w:spacing w:after="0" w:line="240" w:lineRule="auto"/>
              <w:rPr>
                <w:rFonts w:eastAsia="Times New Roman" w:cs="Arial"/>
                <w:b/>
                <w:bCs/>
                <w:color w:val="000000"/>
                <w:sz w:val="20"/>
                <w:szCs w:val="20"/>
                <w:lang w:eastAsia="en-GB"/>
              </w:rPr>
            </w:pPr>
            <w:r w:rsidRPr="00F06452">
              <w:rPr>
                <w:rFonts w:eastAsia="Times New Roman" w:cs="Arial"/>
                <w:b/>
                <w:bCs/>
                <w:color w:val="000000"/>
                <w:sz w:val="20"/>
                <w:szCs w:val="20"/>
                <w:lang w:eastAsia="en-GB"/>
              </w:rPr>
              <w:t>Difference between the General Fund surplus or deficit and Comprehensive Income and Expenditure Statement Surplus or deficit</w:t>
            </w:r>
          </w:p>
        </w:tc>
        <w:tc>
          <w:tcPr>
            <w:tcW w:w="1570" w:type="dxa"/>
            <w:tcBorders>
              <w:top w:val="single" w:color="auto" w:sz="2" w:space="0"/>
              <w:left w:val="nil"/>
              <w:bottom w:val="single" w:color="auto" w:sz="2" w:space="0"/>
              <w:right w:val="nil"/>
            </w:tcBorders>
            <w:shd w:val="clear" w:color="auto" w:fill="DBE5F1" w:themeFill="accent1" w:themeFillTint="33"/>
            <w:vAlign w:val="center"/>
          </w:tcPr>
          <w:p w:rsidRPr="00F06452" w:rsidR="0069312C" w:rsidP="00C65763" w:rsidRDefault="0069312C" w14:paraId="548204F0" w14:textId="77777777">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 xml:space="preserve"> 0</w:t>
            </w:r>
          </w:p>
        </w:tc>
        <w:tc>
          <w:tcPr>
            <w:tcW w:w="1428" w:type="dxa"/>
            <w:gridSpan w:val="2"/>
            <w:tcBorders>
              <w:top w:val="single" w:color="auto" w:sz="2" w:space="0"/>
              <w:left w:val="nil"/>
              <w:bottom w:val="single" w:color="auto" w:sz="2" w:space="0"/>
              <w:right w:val="nil"/>
            </w:tcBorders>
            <w:shd w:val="clear" w:color="auto" w:fill="DBE5F1" w:themeFill="accent1" w:themeFillTint="33"/>
            <w:vAlign w:val="center"/>
          </w:tcPr>
          <w:p w:rsidRPr="00F06452" w:rsidR="0069312C" w:rsidP="00C65763" w:rsidRDefault="0069312C" w14:paraId="1B044ED8" w14:textId="77777777">
            <w:pPr>
              <w:spacing w:after="0" w:line="240" w:lineRule="auto"/>
              <w:jc w:val="right"/>
              <w:rPr>
                <w:rFonts w:eastAsia="Times New Roman" w:cs="Arial"/>
                <w:b/>
                <w:color w:val="000000"/>
                <w:sz w:val="20"/>
                <w:szCs w:val="20"/>
                <w:lang w:eastAsia="en-GB"/>
              </w:rPr>
            </w:pPr>
            <w:r w:rsidRPr="00F06452">
              <w:rPr>
                <w:rFonts w:eastAsia="Times New Roman" w:cs="Arial"/>
                <w:b/>
                <w:color w:val="000000"/>
                <w:sz w:val="20"/>
                <w:szCs w:val="20"/>
                <w:lang w:eastAsia="en-GB"/>
              </w:rPr>
              <w:t>0</w:t>
            </w:r>
          </w:p>
        </w:tc>
        <w:tc>
          <w:tcPr>
            <w:tcW w:w="1460" w:type="dxa"/>
            <w:gridSpan w:val="3"/>
            <w:tcBorders>
              <w:top w:val="single" w:color="auto" w:sz="2" w:space="0"/>
              <w:left w:val="nil"/>
              <w:bottom w:val="single" w:color="auto" w:sz="2" w:space="0"/>
              <w:right w:val="nil"/>
            </w:tcBorders>
            <w:shd w:val="clear" w:color="auto" w:fill="DBE5F1" w:themeFill="accent1" w:themeFillTint="33"/>
            <w:vAlign w:val="center"/>
          </w:tcPr>
          <w:p w:rsidRPr="00F06452" w:rsidR="0069312C" w:rsidP="00C65763" w:rsidRDefault="0069312C" w14:paraId="0F517E47" w14:textId="4D624C45">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460</w:t>
            </w:r>
          </w:p>
        </w:tc>
        <w:tc>
          <w:tcPr>
            <w:tcW w:w="1306" w:type="dxa"/>
            <w:gridSpan w:val="2"/>
            <w:tcBorders>
              <w:top w:val="single" w:color="auto" w:sz="2" w:space="0"/>
              <w:left w:val="nil"/>
              <w:bottom w:val="single" w:color="auto" w:sz="2" w:space="0"/>
              <w:right w:val="nil"/>
            </w:tcBorders>
            <w:shd w:val="clear" w:color="auto" w:fill="DBE5F1" w:themeFill="accent1" w:themeFillTint="33"/>
            <w:vAlign w:val="center"/>
          </w:tcPr>
          <w:p w:rsidRPr="00F06452" w:rsidR="0069312C" w:rsidP="00C65763" w:rsidRDefault="0069312C" w14:paraId="44661A0C" w14:textId="7B28C440">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F06452">
              <w:rPr>
                <w:rFonts w:eastAsia="Times New Roman" w:cs="Arial"/>
                <w:b/>
                <w:bCs/>
                <w:color w:val="000000"/>
                <w:sz w:val="20"/>
                <w:szCs w:val="20"/>
                <w:lang w:eastAsia="en-GB"/>
              </w:rPr>
              <w:t>2</w:t>
            </w:r>
            <w:r>
              <w:rPr>
                <w:rFonts w:eastAsia="Times New Roman" w:cs="Arial"/>
                <w:b/>
                <w:bCs/>
                <w:color w:val="000000"/>
                <w:sz w:val="20"/>
                <w:szCs w:val="20"/>
                <w:lang w:eastAsia="en-GB"/>
              </w:rPr>
              <w:t>3)</w:t>
            </w:r>
          </w:p>
        </w:tc>
        <w:tc>
          <w:tcPr>
            <w:tcW w:w="1312" w:type="dxa"/>
            <w:gridSpan w:val="2"/>
            <w:tcBorders>
              <w:top w:val="single" w:color="auto" w:sz="2" w:space="0"/>
              <w:left w:val="nil"/>
              <w:bottom w:val="single" w:color="auto" w:sz="2" w:space="0"/>
              <w:right w:val="single" w:color="auto" w:sz="2" w:space="0"/>
            </w:tcBorders>
            <w:shd w:val="clear" w:color="auto" w:fill="DBE5F1" w:themeFill="accent1" w:themeFillTint="33"/>
            <w:vAlign w:val="center"/>
          </w:tcPr>
          <w:p w:rsidRPr="00F06452" w:rsidR="0069312C" w:rsidP="00C65763" w:rsidRDefault="0069312C" w14:paraId="1C02174D" w14:textId="3E2DCB06">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437</w:t>
            </w:r>
          </w:p>
        </w:tc>
      </w:tr>
    </w:tbl>
    <w:p w:rsidRPr="006A328B" w:rsidR="0069312C" w:rsidP="006A328B" w:rsidRDefault="0069312C" w14:paraId="33C8248B" w14:textId="77777777">
      <w:pPr>
        <w:rPr>
          <w:rFonts w:cs="Arial"/>
          <w:highlight w:val="yellow"/>
        </w:rPr>
      </w:pPr>
    </w:p>
    <w:p w:rsidR="0069312C" w:rsidP="007B543D" w:rsidRDefault="0069312C" w14:paraId="0B5D8B42" w14:textId="628A59E8">
      <w:pPr>
        <w:spacing w:after="0"/>
        <w:ind w:left="1276"/>
        <w:rPr>
          <w:rFonts w:cs="Arial"/>
          <w:b/>
        </w:rPr>
      </w:pPr>
    </w:p>
    <w:p w:rsidRPr="00BD5721" w:rsidR="00461335" w:rsidP="007B543D" w:rsidRDefault="00461335" w14:paraId="0A4FBFCB" w14:textId="0D36D387">
      <w:pPr>
        <w:spacing w:after="0"/>
        <w:ind w:left="1276"/>
        <w:rPr>
          <w:rFonts w:cs="Arial"/>
          <w:b/>
        </w:rPr>
      </w:pPr>
      <w:r w:rsidRPr="00BD5721">
        <w:rPr>
          <w:rFonts w:cs="Arial"/>
          <w:b/>
        </w:rPr>
        <w:t>Net Change for the Pensions Adjustments</w:t>
      </w:r>
    </w:p>
    <w:p w:rsidRPr="00BD5721" w:rsidR="00461335" w:rsidP="007B543D" w:rsidRDefault="00461335" w14:paraId="307D82BF" w14:textId="77777777">
      <w:pPr>
        <w:spacing w:after="0"/>
        <w:ind w:left="1276"/>
        <w:rPr>
          <w:rFonts w:cs="Arial"/>
        </w:rPr>
      </w:pPr>
      <w:r w:rsidRPr="00BD5721">
        <w:rPr>
          <w:rFonts w:cs="Arial"/>
        </w:rPr>
        <w:t>This adjustment relates to the removal of pension contributions and the addition of IAS19 Employee Benefits</w:t>
      </w:r>
      <w:r w:rsidRPr="00BD5721" w:rsidR="004C317F">
        <w:rPr>
          <w:rFonts w:cs="Arial"/>
        </w:rPr>
        <w:t xml:space="preserve"> pension related expenditure and income which means:</w:t>
      </w:r>
    </w:p>
    <w:p w:rsidRPr="00BD5721" w:rsidR="004C317F" w:rsidP="00C44E1F" w:rsidRDefault="004C317F" w14:paraId="5A0DB579" w14:textId="77777777">
      <w:pPr>
        <w:pStyle w:val="ListParagraph"/>
        <w:numPr>
          <w:ilvl w:val="0"/>
          <w:numId w:val="4"/>
        </w:numPr>
        <w:rPr>
          <w:rFonts w:cs="Arial"/>
        </w:rPr>
      </w:pPr>
      <w:r w:rsidRPr="00BD5721">
        <w:rPr>
          <w:rFonts w:cs="Arial"/>
        </w:rPr>
        <w:t>The replacement of the employer pension contributions with current service costs and past service costs.</w:t>
      </w:r>
    </w:p>
    <w:p w:rsidRPr="006109A0" w:rsidR="00422AE8" w:rsidP="00C44E1F" w:rsidRDefault="004C317F" w14:paraId="5AF7C5DC" w14:textId="77777777">
      <w:pPr>
        <w:pStyle w:val="ListParagraph"/>
        <w:numPr>
          <w:ilvl w:val="0"/>
          <w:numId w:val="4"/>
        </w:numPr>
        <w:rPr>
          <w:rFonts w:cs="Arial"/>
          <w:b/>
        </w:rPr>
      </w:pPr>
      <w:r w:rsidRPr="00BD5721">
        <w:rPr>
          <w:rFonts w:cs="Arial"/>
        </w:rPr>
        <w:lastRenderedPageBreak/>
        <w:t>The net interest on the defined benefit lia</w:t>
      </w:r>
      <w:r w:rsidRPr="00BD5721" w:rsidR="006B4FF0">
        <w:rPr>
          <w:rFonts w:cs="Arial"/>
        </w:rPr>
        <w:t xml:space="preserve">bility is charged to the Other </w:t>
      </w:r>
      <w:r w:rsidRPr="006109A0" w:rsidR="006B4FF0">
        <w:rPr>
          <w:rFonts w:cs="Arial"/>
        </w:rPr>
        <w:t>I</w:t>
      </w:r>
      <w:r w:rsidRPr="006109A0">
        <w:rPr>
          <w:rFonts w:cs="Arial"/>
        </w:rPr>
        <w:t>ncome and Expenditure line.</w:t>
      </w:r>
    </w:p>
    <w:p w:rsidRPr="006109A0" w:rsidR="00534CEB" w:rsidP="00534CEB" w:rsidRDefault="00534CEB" w14:paraId="203671D1" w14:textId="77777777">
      <w:pPr>
        <w:rPr>
          <w:b/>
        </w:rPr>
      </w:pPr>
      <w:r w:rsidRPr="006109A0">
        <w:rPr>
          <w:b/>
        </w:rPr>
        <w:t xml:space="preserve">                      Accrued Annual Leave</w:t>
      </w:r>
    </w:p>
    <w:p w:rsidRPr="006109A0" w:rsidR="009A4223" w:rsidP="00C44E1F" w:rsidRDefault="006B4FF0" w14:paraId="63B93444" w14:textId="06BA8007">
      <w:pPr>
        <w:pStyle w:val="ListParagraph"/>
        <w:numPr>
          <w:ilvl w:val="0"/>
          <w:numId w:val="4"/>
        </w:numPr>
        <w:rPr>
          <w:rFonts w:cs="Arial"/>
        </w:rPr>
      </w:pPr>
      <w:r w:rsidRPr="006109A0">
        <w:rPr>
          <w:rFonts w:cs="Arial"/>
        </w:rPr>
        <w:t>Adjustments are made for accrued staff annual leave.</w:t>
      </w:r>
      <w:r w:rsidRPr="006109A0" w:rsidR="006E0909">
        <w:rPr>
          <w:rFonts w:cs="Arial"/>
        </w:rPr>
        <w:t xml:space="preserve">  There was </w:t>
      </w:r>
      <w:r w:rsidRPr="006109A0" w:rsidR="006109A0">
        <w:rPr>
          <w:rFonts w:cs="Arial"/>
        </w:rPr>
        <w:t>a £2k</w:t>
      </w:r>
      <w:r w:rsidRPr="006109A0" w:rsidR="006E0909">
        <w:rPr>
          <w:rFonts w:cs="Arial"/>
        </w:rPr>
        <w:t xml:space="preserve"> variation to the overall calculated accrued annual leave balance value between 202</w:t>
      </w:r>
      <w:r w:rsidRPr="006109A0" w:rsidR="006109A0">
        <w:rPr>
          <w:rFonts w:cs="Arial"/>
        </w:rPr>
        <w:t>1</w:t>
      </w:r>
      <w:r w:rsidRPr="006109A0" w:rsidR="006E0909">
        <w:rPr>
          <w:rFonts w:cs="Arial"/>
        </w:rPr>
        <w:t>/</w:t>
      </w:r>
      <w:r w:rsidRPr="006109A0" w:rsidR="006109A0">
        <w:rPr>
          <w:rFonts w:cs="Arial"/>
        </w:rPr>
        <w:t>22</w:t>
      </w:r>
      <w:r w:rsidRPr="006109A0" w:rsidR="006E0909">
        <w:rPr>
          <w:rFonts w:cs="Arial"/>
        </w:rPr>
        <w:t xml:space="preserve"> and 20</w:t>
      </w:r>
      <w:r w:rsidRPr="006109A0" w:rsidR="006109A0">
        <w:rPr>
          <w:rFonts w:cs="Arial"/>
        </w:rPr>
        <w:t>22</w:t>
      </w:r>
      <w:r w:rsidRPr="006109A0" w:rsidR="006E0909">
        <w:rPr>
          <w:rFonts w:cs="Arial"/>
        </w:rPr>
        <w:t>/2</w:t>
      </w:r>
      <w:r w:rsidRPr="006109A0" w:rsidR="006109A0">
        <w:rPr>
          <w:rFonts w:cs="Arial"/>
        </w:rPr>
        <w:t>3.</w:t>
      </w:r>
    </w:p>
    <w:p w:rsidRPr="00614894" w:rsidR="00603229" w:rsidP="00603229" w:rsidRDefault="00603229" w14:paraId="531710A2" w14:textId="77777777">
      <w:pPr>
        <w:rPr>
          <w:rFonts w:cs="Arial"/>
          <w:highlight w:val="yellow"/>
        </w:rPr>
      </w:pPr>
    </w:p>
    <w:p w:rsidRPr="00614894" w:rsidR="00467BBE" w:rsidP="00603229" w:rsidRDefault="00467BBE" w14:paraId="5D300892" w14:textId="3C8F4978">
      <w:pPr>
        <w:rPr>
          <w:rFonts w:cs="Arial"/>
          <w:highlight w:val="yellow"/>
        </w:rPr>
        <w:sectPr w:rsidRPr="00614894" w:rsidR="00467BBE" w:rsidSect="006702D0">
          <w:pgSz w:w="11906" w:h="16838" w:code="9"/>
          <w:pgMar w:top="1440" w:right="1440" w:bottom="1440" w:left="1440" w:header="680" w:footer="680" w:gutter="0"/>
          <w:cols w:space="708"/>
          <w:titlePg/>
          <w:docGrid w:linePitch="360"/>
        </w:sectPr>
      </w:pPr>
    </w:p>
    <w:tbl>
      <w:tblPr>
        <w:tblpPr w:leftFromText="180" w:rightFromText="180" w:vertAnchor="page" w:tblpX="-147" w:tblpY="2547"/>
        <w:tblW w:w="13320" w:type="dxa"/>
        <w:tblLook w:val="04A0" w:firstRow="1" w:lastRow="0" w:firstColumn="1" w:lastColumn="0" w:noHBand="0" w:noVBand="1"/>
      </w:tblPr>
      <w:tblGrid>
        <w:gridCol w:w="4248"/>
        <w:gridCol w:w="1275"/>
        <w:gridCol w:w="1276"/>
        <w:gridCol w:w="1559"/>
        <w:gridCol w:w="1134"/>
        <w:gridCol w:w="1134"/>
        <w:gridCol w:w="1134"/>
        <w:gridCol w:w="1560"/>
      </w:tblGrid>
      <w:tr w:rsidRPr="00614894" w:rsidR="00050355" w:rsidTr="00050355" w14:paraId="741A4B25" w14:textId="77777777">
        <w:trPr>
          <w:trHeight w:val="290"/>
        </w:trPr>
        <w:tc>
          <w:tcPr>
            <w:tcW w:w="4248" w:type="dxa"/>
            <w:tcBorders>
              <w:top w:val="single" w:color="auto" w:sz="4" w:space="0"/>
              <w:left w:val="single" w:color="auto" w:sz="4" w:space="0"/>
              <w:bottom w:val="nil"/>
              <w:right w:val="nil"/>
            </w:tcBorders>
            <w:shd w:val="clear" w:color="auto" w:fill="DBE5F1" w:themeFill="accent1" w:themeFillTint="33"/>
            <w:noWrap/>
            <w:vAlign w:val="bottom"/>
            <w:hideMark/>
          </w:tcPr>
          <w:p w:rsidRPr="00050355" w:rsidR="00050355" w:rsidP="00566C9E" w:rsidRDefault="00050355" w14:paraId="16C5C413" w14:textId="7982E534">
            <w:pPr>
              <w:spacing w:after="0" w:line="240" w:lineRule="auto"/>
              <w:rPr>
                <w:rFonts w:eastAsia="Times New Roman" w:cs="Arial"/>
                <w:b/>
                <w:color w:val="000000"/>
                <w:lang w:eastAsia="en-GB"/>
              </w:rPr>
            </w:pPr>
            <w:r w:rsidRPr="00050355">
              <w:rPr>
                <w:rFonts w:eastAsia="Times New Roman" w:cs="Arial"/>
                <w:color w:val="000000"/>
                <w:lang w:eastAsia="en-GB"/>
              </w:rPr>
              <w:lastRenderedPageBreak/>
              <w:t> </w:t>
            </w:r>
            <w:r w:rsidRPr="00050355">
              <w:rPr>
                <w:rFonts w:eastAsia="Times New Roman" w:cs="Arial"/>
                <w:b/>
                <w:color w:val="000000"/>
                <w:lang w:eastAsia="en-GB"/>
              </w:rPr>
              <w:t>2022/23</w:t>
            </w:r>
          </w:p>
        </w:tc>
        <w:tc>
          <w:tcPr>
            <w:tcW w:w="1275" w:type="dxa"/>
            <w:tcBorders>
              <w:top w:val="single" w:color="auto" w:sz="4" w:space="0"/>
              <w:left w:val="nil"/>
              <w:bottom w:val="nil"/>
              <w:right w:val="nil"/>
            </w:tcBorders>
            <w:shd w:val="clear" w:color="auto" w:fill="DBE5F1" w:themeFill="accent1" w:themeFillTint="33"/>
            <w:noWrap/>
            <w:vAlign w:val="center"/>
            <w:hideMark/>
          </w:tcPr>
          <w:p w:rsidRPr="00050355" w:rsidR="00050355" w:rsidP="00566C9E" w:rsidRDefault="00050355" w14:paraId="3BFFCA1F"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Employee</w:t>
            </w:r>
          </w:p>
        </w:tc>
        <w:tc>
          <w:tcPr>
            <w:tcW w:w="1276" w:type="dxa"/>
            <w:tcBorders>
              <w:top w:val="single" w:color="auto" w:sz="4" w:space="0"/>
              <w:left w:val="nil"/>
              <w:bottom w:val="nil"/>
              <w:right w:val="nil"/>
            </w:tcBorders>
            <w:shd w:val="clear" w:color="auto" w:fill="DBE5F1" w:themeFill="accent1" w:themeFillTint="33"/>
            <w:noWrap/>
            <w:vAlign w:val="center"/>
            <w:hideMark/>
          </w:tcPr>
          <w:p w:rsidRPr="00050355" w:rsidR="00050355" w:rsidP="00566C9E" w:rsidRDefault="00050355" w14:paraId="5EF9CA19"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Other</w:t>
            </w:r>
          </w:p>
        </w:tc>
        <w:tc>
          <w:tcPr>
            <w:tcW w:w="1559" w:type="dxa"/>
            <w:tcBorders>
              <w:top w:val="single" w:color="auto" w:sz="4" w:space="0"/>
              <w:left w:val="nil"/>
              <w:bottom w:val="nil"/>
              <w:right w:val="nil"/>
            </w:tcBorders>
            <w:shd w:val="clear" w:color="auto" w:fill="DBE5F1" w:themeFill="accent1" w:themeFillTint="33"/>
            <w:noWrap/>
            <w:vAlign w:val="center"/>
            <w:hideMark/>
          </w:tcPr>
          <w:p w:rsidRPr="00050355" w:rsidR="00050355" w:rsidP="00566C9E" w:rsidRDefault="00050355" w14:paraId="192B7FDB"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 xml:space="preserve">Gross </w:t>
            </w:r>
          </w:p>
        </w:tc>
        <w:tc>
          <w:tcPr>
            <w:tcW w:w="1134" w:type="dxa"/>
            <w:tcBorders>
              <w:top w:val="single" w:color="auto" w:sz="4" w:space="0"/>
              <w:left w:val="nil"/>
              <w:bottom w:val="nil"/>
              <w:right w:val="nil"/>
            </w:tcBorders>
            <w:shd w:val="clear" w:color="auto" w:fill="DBE5F1" w:themeFill="accent1" w:themeFillTint="33"/>
            <w:noWrap/>
            <w:vAlign w:val="center"/>
            <w:hideMark/>
          </w:tcPr>
          <w:p w:rsidRPr="00050355" w:rsidR="00050355" w:rsidP="00566C9E" w:rsidRDefault="00050355" w14:paraId="34D4C2DC"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 xml:space="preserve">Grant </w:t>
            </w:r>
          </w:p>
        </w:tc>
        <w:tc>
          <w:tcPr>
            <w:tcW w:w="1134" w:type="dxa"/>
            <w:tcBorders>
              <w:top w:val="single" w:color="auto" w:sz="4" w:space="0"/>
              <w:left w:val="nil"/>
              <w:bottom w:val="nil"/>
              <w:right w:val="nil"/>
            </w:tcBorders>
            <w:shd w:val="clear" w:color="auto" w:fill="DBE5F1" w:themeFill="accent1" w:themeFillTint="33"/>
            <w:noWrap/>
            <w:vAlign w:val="center"/>
            <w:hideMark/>
          </w:tcPr>
          <w:p w:rsidRPr="00050355" w:rsidR="00050355" w:rsidP="00566C9E" w:rsidRDefault="00050355" w14:paraId="614444A4"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Fees &amp;</w:t>
            </w:r>
          </w:p>
        </w:tc>
        <w:tc>
          <w:tcPr>
            <w:tcW w:w="1134" w:type="dxa"/>
            <w:tcBorders>
              <w:top w:val="single" w:color="auto" w:sz="4" w:space="0"/>
              <w:left w:val="nil"/>
              <w:bottom w:val="nil"/>
              <w:right w:val="nil"/>
            </w:tcBorders>
            <w:shd w:val="clear" w:color="auto" w:fill="DBE5F1" w:themeFill="accent1" w:themeFillTint="33"/>
            <w:noWrap/>
            <w:vAlign w:val="center"/>
            <w:hideMark/>
          </w:tcPr>
          <w:p w:rsidRPr="00050355" w:rsidR="00050355" w:rsidP="00566C9E" w:rsidRDefault="00050355" w14:paraId="130A35CD"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Gross</w:t>
            </w:r>
          </w:p>
        </w:tc>
        <w:tc>
          <w:tcPr>
            <w:tcW w:w="1560" w:type="dxa"/>
            <w:tcBorders>
              <w:top w:val="single" w:color="auto" w:sz="4" w:space="0"/>
              <w:left w:val="nil"/>
              <w:bottom w:val="nil"/>
              <w:right w:val="single" w:color="auto" w:sz="4" w:space="0"/>
            </w:tcBorders>
            <w:shd w:val="clear" w:color="auto" w:fill="DBE5F1" w:themeFill="accent1" w:themeFillTint="33"/>
            <w:noWrap/>
            <w:vAlign w:val="center"/>
            <w:hideMark/>
          </w:tcPr>
          <w:p w:rsidRPr="00050355" w:rsidR="00050355" w:rsidP="00566C9E" w:rsidRDefault="00050355" w14:paraId="09BEB45F"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Net</w:t>
            </w:r>
          </w:p>
        </w:tc>
      </w:tr>
      <w:tr w:rsidRPr="00614894" w:rsidR="00050355" w:rsidTr="00050355" w14:paraId="20B5DDE2" w14:textId="77777777">
        <w:trPr>
          <w:trHeight w:val="290"/>
        </w:trPr>
        <w:tc>
          <w:tcPr>
            <w:tcW w:w="4248" w:type="dxa"/>
            <w:tcBorders>
              <w:top w:val="nil"/>
              <w:left w:val="single" w:color="auto" w:sz="4" w:space="0"/>
              <w:bottom w:val="nil"/>
              <w:right w:val="nil"/>
            </w:tcBorders>
            <w:shd w:val="clear" w:color="auto" w:fill="DBE5F1" w:themeFill="accent1" w:themeFillTint="33"/>
            <w:noWrap/>
            <w:vAlign w:val="bottom"/>
            <w:hideMark/>
          </w:tcPr>
          <w:p w:rsidRPr="00050355" w:rsidR="00050355" w:rsidP="00566C9E" w:rsidRDefault="00050355" w14:paraId="2FC1B1D8" w14:textId="77777777">
            <w:pPr>
              <w:spacing w:after="0" w:line="240" w:lineRule="auto"/>
              <w:rPr>
                <w:rFonts w:eastAsia="Times New Roman" w:cs="Arial"/>
                <w:color w:val="000000"/>
                <w:lang w:eastAsia="en-GB"/>
              </w:rPr>
            </w:pPr>
            <w:r w:rsidRPr="00050355">
              <w:rPr>
                <w:rFonts w:eastAsia="Times New Roman" w:cs="Arial"/>
                <w:color w:val="000000"/>
                <w:lang w:eastAsia="en-GB"/>
              </w:rPr>
              <w:t> </w:t>
            </w:r>
          </w:p>
        </w:tc>
        <w:tc>
          <w:tcPr>
            <w:tcW w:w="1275" w:type="dxa"/>
            <w:tcBorders>
              <w:top w:val="nil"/>
              <w:left w:val="nil"/>
              <w:bottom w:val="nil"/>
              <w:right w:val="nil"/>
            </w:tcBorders>
            <w:shd w:val="clear" w:color="auto" w:fill="DBE5F1" w:themeFill="accent1" w:themeFillTint="33"/>
            <w:noWrap/>
            <w:vAlign w:val="center"/>
            <w:hideMark/>
          </w:tcPr>
          <w:p w:rsidRPr="00050355" w:rsidR="00050355" w:rsidP="00566C9E" w:rsidRDefault="00050355" w14:paraId="34D0786C"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Expenses</w:t>
            </w:r>
          </w:p>
        </w:tc>
        <w:tc>
          <w:tcPr>
            <w:tcW w:w="1276" w:type="dxa"/>
            <w:tcBorders>
              <w:top w:val="nil"/>
              <w:left w:val="nil"/>
              <w:bottom w:val="nil"/>
              <w:right w:val="nil"/>
            </w:tcBorders>
            <w:shd w:val="clear" w:color="auto" w:fill="DBE5F1" w:themeFill="accent1" w:themeFillTint="33"/>
            <w:noWrap/>
            <w:vAlign w:val="center"/>
            <w:hideMark/>
          </w:tcPr>
          <w:p w:rsidRPr="00050355" w:rsidR="00050355" w:rsidP="00566C9E" w:rsidRDefault="00050355" w14:paraId="3CA88F9E"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Expenses</w:t>
            </w:r>
          </w:p>
        </w:tc>
        <w:tc>
          <w:tcPr>
            <w:tcW w:w="1559" w:type="dxa"/>
            <w:tcBorders>
              <w:top w:val="nil"/>
              <w:left w:val="nil"/>
              <w:bottom w:val="nil"/>
              <w:right w:val="nil"/>
            </w:tcBorders>
            <w:shd w:val="clear" w:color="auto" w:fill="DBE5F1" w:themeFill="accent1" w:themeFillTint="33"/>
            <w:noWrap/>
            <w:vAlign w:val="center"/>
            <w:hideMark/>
          </w:tcPr>
          <w:p w:rsidRPr="00050355" w:rsidR="00050355" w:rsidP="00566C9E" w:rsidRDefault="00050355" w14:paraId="233CAB45"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Expenditure</w:t>
            </w:r>
          </w:p>
        </w:tc>
        <w:tc>
          <w:tcPr>
            <w:tcW w:w="1134" w:type="dxa"/>
            <w:tcBorders>
              <w:top w:val="nil"/>
              <w:left w:val="nil"/>
              <w:bottom w:val="nil"/>
              <w:right w:val="nil"/>
            </w:tcBorders>
            <w:shd w:val="clear" w:color="auto" w:fill="DBE5F1" w:themeFill="accent1" w:themeFillTint="33"/>
            <w:noWrap/>
            <w:vAlign w:val="center"/>
            <w:hideMark/>
          </w:tcPr>
          <w:p w:rsidRPr="00050355" w:rsidR="00050355" w:rsidP="00566C9E" w:rsidRDefault="00050355" w14:paraId="698339B9"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Income</w:t>
            </w:r>
          </w:p>
        </w:tc>
        <w:tc>
          <w:tcPr>
            <w:tcW w:w="1134" w:type="dxa"/>
            <w:tcBorders>
              <w:top w:val="nil"/>
              <w:left w:val="nil"/>
              <w:bottom w:val="nil"/>
              <w:right w:val="nil"/>
            </w:tcBorders>
            <w:shd w:val="clear" w:color="auto" w:fill="DBE5F1" w:themeFill="accent1" w:themeFillTint="33"/>
            <w:noWrap/>
            <w:vAlign w:val="center"/>
            <w:hideMark/>
          </w:tcPr>
          <w:p w:rsidRPr="00050355" w:rsidR="00050355" w:rsidP="00566C9E" w:rsidRDefault="00050355" w14:paraId="6A4A6F3B"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Charges</w:t>
            </w:r>
          </w:p>
        </w:tc>
        <w:tc>
          <w:tcPr>
            <w:tcW w:w="1134" w:type="dxa"/>
            <w:tcBorders>
              <w:top w:val="nil"/>
              <w:left w:val="nil"/>
              <w:bottom w:val="nil"/>
              <w:right w:val="nil"/>
            </w:tcBorders>
            <w:shd w:val="clear" w:color="auto" w:fill="DBE5F1" w:themeFill="accent1" w:themeFillTint="33"/>
            <w:noWrap/>
            <w:vAlign w:val="center"/>
            <w:hideMark/>
          </w:tcPr>
          <w:p w:rsidRPr="00050355" w:rsidR="00050355" w:rsidP="00566C9E" w:rsidRDefault="00050355" w14:paraId="449A2265"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Income</w:t>
            </w:r>
          </w:p>
        </w:tc>
        <w:tc>
          <w:tcPr>
            <w:tcW w:w="1560" w:type="dxa"/>
            <w:tcBorders>
              <w:top w:val="nil"/>
              <w:left w:val="nil"/>
              <w:bottom w:val="nil"/>
              <w:right w:val="single" w:color="auto" w:sz="4" w:space="0"/>
            </w:tcBorders>
            <w:shd w:val="clear" w:color="auto" w:fill="DBE5F1" w:themeFill="accent1" w:themeFillTint="33"/>
            <w:noWrap/>
            <w:vAlign w:val="center"/>
            <w:hideMark/>
          </w:tcPr>
          <w:p w:rsidRPr="00050355" w:rsidR="00050355" w:rsidP="00566C9E" w:rsidRDefault="00050355" w14:paraId="68264F1C"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Expenditure</w:t>
            </w:r>
          </w:p>
        </w:tc>
      </w:tr>
      <w:tr w:rsidRPr="00614894" w:rsidR="00050355" w:rsidTr="00050355" w14:paraId="3BF96785" w14:textId="77777777">
        <w:trPr>
          <w:trHeight w:val="290"/>
        </w:trPr>
        <w:tc>
          <w:tcPr>
            <w:tcW w:w="4248" w:type="dxa"/>
            <w:tcBorders>
              <w:top w:val="nil"/>
              <w:left w:val="single" w:color="auto" w:sz="4" w:space="0"/>
              <w:bottom w:val="single" w:color="auto" w:sz="4" w:space="0"/>
              <w:right w:val="nil"/>
            </w:tcBorders>
            <w:shd w:val="clear" w:color="auto" w:fill="DBE5F1" w:themeFill="accent1" w:themeFillTint="33"/>
            <w:noWrap/>
            <w:vAlign w:val="bottom"/>
            <w:hideMark/>
          </w:tcPr>
          <w:p w:rsidRPr="00050355" w:rsidR="00050355" w:rsidP="00566C9E" w:rsidRDefault="00050355" w14:paraId="7C0DF27A" w14:textId="77777777">
            <w:pPr>
              <w:spacing w:after="0" w:line="240" w:lineRule="auto"/>
              <w:rPr>
                <w:rFonts w:eastAsia="Times New Roman" w:cs="Arial"/>
                <w:color w:val="000000"/>
                <w:lang w:eastAsia="en-GB"/>
              </w:rPr>
            </w:pPr>
            <w:r w:rsidRPr="00050355">
              <w:rPr>
                <w:rFonts w:eastAsia="Times New Roman" w:cs="Arial"/>
                <w:color w:val="000000"/>
                <w:lang w:eastAsia="en-GB"/>
              </w:rPr>
              <w:t> </w:t>
            </w:r>
          </w:p>
        </w:tc>
        <w:tc>
          <w:tcPr>
            <w:tcW w:w="1275" w:type="dxa"/>
            <w:tcBorders>
              <w:top w:val="nil"/>
              <w:left w:val="nil"/>
              <w:bottom w:val="single" w:color="auto" w:sz="4" w:space="0"/>
              <w:right w:val="nil"/>
            </w:tcBorders>
            <w:shd w:val="clear" w:color="auto" w:fill="DBE5F1" w:themeFill="accent1" w:themeFillTint="33"/>
            <w:noWrap/>
            <w:vAlign w:val="center"/>
            <w:hideMark/>
          </w:tcPr>
          <w:p w:rsidRPr="00050355" w:rsidR="00050355" w:rsidP="00566C9E" w:rsidRDefault="00050355" w14:paraId="3E1C282F"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276" w:type="dxa"/>
            <w:tcBorders>
              <w:top w:val="nil"/>
              <w:left w:val="nil"/>
              <w:bottom w:val="single" w:color="auto" w:sz="4" w:space="0"/>
              <w:right w:val="nil"/>
            </w:tcBorders>
            <w:shd w:val="clear" w:color="auto" w:fill="DBE5F1" w:themeFill="accent1" w:themeFillTint="33"/>
            <w:noWrap/>
            <w:vAlign w:val="center"/>
            <w:hideMark/>
          </w:tcPr>
          <w:p w:rsidRPr="00050355" w:rsidR="00050355" w:rsidP="00566C9E" w:rsidRDefault="00050355" w14:paraId="593E6246"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559" w:type="dxa"/>
            <w:tcBorders>
              <w:top w:val="nil"/>
              <w:left w:val="nil"/>
              <w:bottom w:val="single" w:color="auto" w:sz="4" w:space="0"/>
              <w:right w:val="nil"/>
            </w:tcBorders>
            <w:shd w:val="clear" w:color="auto" w:fill="DBE5F1" w:themeFill="accent1" w:themeFillTint="33"/>
            <w:noWrap/>
            <w:vAlign w:val="center"/>
            <w:hideMark/>
          </w:tcPr>
          <w:p w:rsidRPr="00050355" w:rsidR="00050355" w:rsidP="00566C9E" w:rsidRDefault="00050355" w14:paraId="27C81621"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134" w:type="dxa"/>
            <w:tcBorders>
              <w:top w:val="nil"/>
              <w:left w:val="nil"/>
              <w:bottom w:val="single" w:color="auto" w:sz="4" w:space="0"/>
              <w:right w:val="nil"/>
            </w:tcBorders>
            <w:shd w:val="clear" w:color="auto" w:fill="DBE5F1" w:themeFill="accent1" w:themeFillTint="33"/>
            <w:noWrap/>
            <w:vAlign w:val="center"/>
            <w:hideMark/>
          </w:tcPr>
          <w:p w:rsidRPr="00050355" w:rsidR="00050355" w:rsidP="00566C9E" w:rsidRDefault="00050355" w14:paraId="4205AF61"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134" w:type="dxa"/>
            <w:tcBorders>
              <w:top w:val="nil"/>
              <w:left w:val="nil"/>
              <w:bottom w:val="single" w:color="auto" w:sz="4" w:space="0"/>
              <w:right w:val="nil"/>
            </w:tcBorders>
            <w:shd w:val="clear" w:color="auto" w:fill="DBE5F1" w:themeFill="accent1" w:themeFillTint="33"/>
            <w:noWrap/>
            <w:vAlign w:val="center"/>
            <w:hideMark/>
          </w:tcPr>
          <w:p w:rsidRPr="00050355" w:rsidR="00050355" w:rsidP="00566C9E" w:rsidRDefault="00050355" w14:paraId="6F25E956"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134" w:type="dxa"/>
            <w:tcBorders>
              <w:top w:val="nil"/>
              <w:left w:val="nil"/>
              <w:bottom w:val="single" w:color="auto" w:sz="4" w:space="0"/>
              <w:right w:val="nil"/>
            </w:tcBorders>
            <w:shd w:val="clear" w:color="auto" w:fill="DBE5F1" w:themeFill="accent1" w:themeFillTint="33"/>
            <w:noWrap/>
            <w:vAlign w:val="center"/>
            <w:hideMark/>
          </w:tcPr>
          <w:p w:rsidRPr="00050355" w:rsidR="00050355" w:rsidP="00566C9E" w:rsidRDefault="00050355" w14:paraId="1C7584ED"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560" w:type="dxa"/>
            <w:tcBorders>
              <w:top w:val="nil"/>
              <w:left w:val="nil"/>
              <w:bottom w:val="single" w:color="auto" w:sz="4" w:space="0"/>
              <w:right w:val="single" w:color="auto" w:sz="4" w:space="0"/>
            </w:tcBorders>
            <w:shd w:val="clear" w:color="auto" w:fill="DBE5F1" w:themeFill="accent1" w:themeFillTint="33"/>
            <w:noWrap/>
            <w:vAlign w:val="center"/>
            <w:hideMark/>
          </w:tcPr>
          <w:p w:rsidRPr="00050355" w:rsidR="00050355" w:rsidP="00566C9E" w:rsidRDefault="00050355" w14:paraId="6379352A"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r>
      <w:tr w:rsidRPr="00614894" w:rsidR="00050355" w:rsidTr="00050355" w14:paraId="294C0719" w14:textId="77777777">
        <w:trPr>
          <w:trHeight w:val="290"/>
        </w:trPr>
        <w:tc>
          <w:tcPr>
            <w:tcW w:w="4248" w:type="dxa"/>
            <w:tcBorders>
              <w:top w:val="nil"/>
              <w:left w:val="single" w:color="auto" w:sz="4" w:space="0"/>
              <w:bottom w:val="nil"/>
              <w:right w:val="nil"/>
            </w:tcBorders>
            <w:shd w:val="clear" w:color="auto" w:fill="auto"/>
            <w:noWrap/>
            <w:vAlign w:val="bottom"/>
            <w:hideMark/>
          </w:tcPr>
          <w:p w:rsidRPr="00614894" w:rsidR="00050355" w:rsidP="00566C9E" w:rsidRDefault="00050355" w14:paraId="6A053C4B" w14:textId="7555AA52">
            <w:pPr>
              <w:spacing w:after="0" w:line="240" w:lineRule="auto"/>
              <w:rPr>
                <w:rFonts w:eastAsia="Times New Roman" w:cs="Arial"/>
                <w:color w:val="000000"/>
                <w:highlight w:val="yellow"/>
                <w:lang w:eastAsia="en-GB"/>
              </w:rPr>
            </w:pPr>
          </w:p>
        </w:tc>
        <w:tc>
          <w:tcPr>
            <w:tcW w:w="1275" w:type="dxa"/>
            <w:tcBorders>
              <w:top w:val="nil"/>
              <w:left w:val="nil"/>
              <w:bottom w:val="nil"/>
              <w:right w:val="nil"/>
            </w:tcBorders>
            <w:shd w:val="clear" w:color="auto" w:fill="auto"/>
            <w:noWrap/>
            <w:vAlign w:val="center"/>
            <w:hideMark/>
          </w:tcPr>
          <w:p w:rsidRPr="00614894" w:rsidR="00050355" w:rsidP="00566C9E" w:rsidRDefault="00050355" w14:paraId="65E7076C" w14:textId="77777777">
            <w:pPr>
              <w:spacing w:after="0" w:line="240" w:lineRule="auto"/>
              <w:rPr>
                <w:rFonts w:eastAsia="Times New Roman" w:cs="Arial"/>
                <w:color w:val="000000"/>
                <w:highlight w:val="yellow"/>
                <w:lang w:eastAsia="en-GB"/>
              </w:rPr>
            </w:pPr>
          </w:p>
        </w:tc>
        <w:tc>
          <w:tcPr>
            <w:tcW w:w="1276" w:type="dxa"/>
            <w:tcBorders>
              <w:top w:val="nil"/>
              <w:left w:val="nil"/>
              <w:bottom w:val="nil"/>
              <w:right w:val="nil"/>
            </w:tcBorders>
            <w:shd w:val="clear" w:color="auto" w:fill="auto"/>
            <w:noWrap/>
            <w:vAlign w:val="center"/>
            <w:hideMark/>
          </w:tcPr>
          <w:p w:rsidRPr="00614894" w:rsidR="00050355" w:rsidP="00566C9E" w:rsidRDefault="00050355" w14:paraId="6B14B5F0" w14:textId="77777777">
            <w:pPr>
              <w:spacing w:after="0" w:line="240" w:lineRule="auto"/>
              <w:jc w:val="center"/>
              <w:rPr>
                <w:rFonts w:eastAsia="Times New Roman" w:cs="Arial"/>
                <w:highlight w:val="yellow"/>
                <w:lang w:eastAsia="en-GB"/>
              </w:rPr>
            </w:pPr>
          </w:p>
        </w:tc>
        <w:tc>
          <w:tcPr>
            <w:tcW w:w="1559" w:type="dxa"/>
            <w:tcBorders>
              <w:top w:val="nil"/>
              <w:left w:val="single" w:color="auto" w:sz="4" w:space="0"/>
              <w:bottom w:val="nil"/>
              <w:right w:val="single" w:color="auto" w:sz="4" w:space="0"/>
            </w:tcBorders>
            <w:shd w:val="clear" w:color="auto" w:fill="auto"/>
            <w:noWrap/>
            <w:vAlign w:val="center"/>
            <w:hideMark/>
          </w:tcPr>
          <w:p w:rsidRPr="00050355" w:rsidR="00050355" w:rsidP="00566C9E" w:rsidRDefault="00050355" w14:paraId="27CECD86"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 </w:t>
            </w:r>
          </w:p>
        </w:tc>
        <w:tc>
          <w:tcPr>
            <w:tcW w:w="1134" w:type="dxa"/>
            <w:tcBorders>
              <w:top w:val="nil"/>
              <w:left w:val="nil"/>
              <w:bottom w:val="nil"/>
              <w:right w:val="nil"/>
            </w:tcBorders>
            <w:shd w:val="clear" w:color="auto" w:fill="auto"/>
            <w:noWrap/>
            <w:vAlign w:val="center"/>
            <w:hideMark/>
          </w:tcPr>
          <w:p w:rsidRPr="00050355" w:rsidR="00050355" w:rsidP="00566C9E" w:rsidRDefault="00050355" w14:paraId="43AF535D" w14:textId="77777777">
            <w:pPr>
              <w:spacing w:after="0" w:line="240" w:lineRule="auto"/>
              <w:jc w:val="center"/>
              <w:rPr>
                <w:rFonts w:eastAsia="Times New Roman" w:cs="Arial"/>
                <w:b/>
                <w:bCs/>
                <w:color w:val="000000"/>
                <w:lang w:eastAsia="en-GB"/>
              </w:rPr>
            </w:pPr>
          </w:p>
        </w:tc>
        <w:tc>
          <w:tcPr>
            <w:tcW w:w="1134" w:type="dxa"/>
            <w:tcBorders>
              <w:top w:val="nil"/>
              <w:left w:val="nil"/>
              <w:bottom w:val="nil"/>
              <w:right w:val="nil"/>
            </w:tcBorders>
            <w:shd w:val="clear" w:color="auto" w:fill="auto"/>
            <w:noWrap/>
            <w:vAlign w:val="center"/>
            <w:hideMark/>
          </w:tcPr>
          <w:p w:rsidRPr="00050355" w:rsidR="00050355" w:rsidP="00566C9E" w:rsidRDefault="00050355" w14:paraId="381DEDC7" w14:textId="77777777">
            <w:pPr>
              <w:spacing w:after="0" w:line="240" w:lineRule="auto"/>
              <w:jc w:val="center"/>
              <w:rPr>
                <w:rFonts w:eastAsia="Times New Roman" w:cs="Arial"/>
                <w:lang w:eastAsia="en-GB"/>
              </w:rPr>
            </w:pPr>
          </w:p>
        </w:tc>
        <w:tc>
          <w:tcPr>
            <w:tcW w:w="1134" w:type="dxa"/>
            <w:tcBorders>
              <w:top w:val="nil"/>
              <w:left w:val="single" w:color="auto" w:sz="4" w:space="0"/>
              <w:bottom w:val="nil"/>
              <w:right w:val="single" w:color="auto" w:sz="4" w:space="0"/>
            </w:tcBorders>
            <w:shd w:val="clear" w:color="auto" w:fill="auto"/>
            <w:noWrap/>
            <w:vAlign w:val="center"/>
            <w:hideMark/>
          </w:tcPr>
          <w:p w:rsidRPr="00050355" w:rsidR="00050355" w:rsidP="00566C9E" w:rsidRDefault="00050355" w14:paraId="6F37C0B5"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 </w:t>
            </w:r>
          </w:p>
        </w:tc>
        <w:tc>
          <w:tcPr>
            <w:tcW w:w="1560" w:type="dxa"/>
            <w:tcBorders>
              <w:top w:val="nil"/>
              <w:left w:val="nil"/>
              <w:bottom w:val="nil"/>
              <w:right w:val="single" w:color="auto" w:sz="4" w:space="0"/>
            </w:tcBorders>
            <w:shd w:val="clear" w:color="auto" w:fill="DBE5F1" w:themeFill="accent1" w:themeFillTint="33"/>
            <w:noWrap/>
            <w:vAlign w:val="center"/>
            <w:hideMark/>
          </w:tcPr>
          <w:p w:rsidRPr="00050355" w:rsidR="00050355" w:rsidP="00566C9E" w:rsidRDefault="00050355" w14:paraId="48E8E2A7"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 </w:t>
            </w:r>
          </w:p>
        </w:tc>
      </w:tr>
      <w:tr w:rsidRPr="00614894" w:rsidR="00050355" w:rsidTr="00050355" w14:paraId="5078D930" w14:textId="77777777">
        <w:trPr>
          <w:trHeight w:val="290"/>
        </w:trPr>
        <w:tc>
          <w:tcPr>
            <w:tcW w:w="4248" w:type="dxa"/>
            <w:tcBorders>
              <w:top w:val="nil"/>
              <w:left w:val="single" w:color="auto" w:sz="4" w:space="0"/>
              <w:bottom w:val="nil"/>
              <w:right w:val="nil"/>
            </w:tcBorders>
            <w:shd w:val="clear" w:color="auto" w:fill="auto"/>
            <w:noWrap/>
            <w:vAlign w:val="bottom"/>
            <w:hideMark/>
          </w:tcPr>
          <w:p w:rsidRPr="00614894" w:rsidR="00050355" w:rsidP="00566C9E" w:rsidRDefault="00050355" w14:paraId="64B9092B" w14:textId="5E413C35">
            <w:pPr>
              <w:spacing w:after="0" w:line="240" w:lineRule="auto"/>
              <w:rPr>
                <w:rFonts w:eastAsia="Times New Roman" w:cs="Arial"/>
                <w:color w:val="000000"/>
                <w:highlight w:val="yellow"/>
                <w:lang w:eastAsia="en-GB"/>
              </w:rPr>
            </w:pPr>
            <w:r w:rsidRPr="00050355">
              <w:rPr>
                <w:rFonts w:eastAsia="Times New Roman" w:cs="Arial"/>
                <w:color w:val="000000"/>
                <w:lang w:eastAsia="en-GB"/>
              </w:rPr>
              <w:t>Core Budget</w:t>
            </w:r>
          </w:p>
        </w:tc>
        <w:tc>
          <w:tcPr>
            <w:tcW w:w="1275" w:type="dxa"/>
            <w:tcBorders>
              <w:top w:val="nil"/>
              <w:left w:val="nil"/>
              <w:bottom w:val="nil"/>
              <w:right w:val="nil"/>
            </w:tcBorders>
            <w:shd w:val="clear" w:color="auto" w:fill="auto"/>
            <w:noWrap/>
            <w:vAlign w:val="bottom"/>
          </w:tcPr>
          <w:p w:rsidRPr="00050355" w:rsidR="00050355" w:rsidP="00050355" w:rsidRDefault="00050355" w14:paraId="29A1B494" w14:textId="0942BE02">
            <w:pPr>
              <w:spacing w:after="0" w:line="240" w:lineRule="auto"/>
              <w:jc w:val="right"/>
              <w:rPr>
                <w:rFonts w:eastAsia="Times New Roman" w:cs="Arial"/>
                <w:color w:val="000000"/>
                <w:lang w:eastAsia="en-GB"/>
              </w:rPr>
            </w:pPr>
            <w:r w:rsidRPr="00050355">
              <w:rPr>
                <w:rFonts w:eastAsia="Times New Roman" w:cs="Arial"/>
                <w:color w:val="000000"/>
                <w:lang w:eastAsia="en-GB"/>
              </w:rPr>
              <w:t>2,</w:t>
            </w:r>
            <w:r w:rsidR="00BC4212">
              <w:rPr>
                <w:rFonts w:eastAsia="Times New Roman" w:cs="Arial"/>
                <w:color w:val="000000"/>
                <w:lang w:eastAsia="en-GB"/>
              </w:rPr>
              <w:t>026</w:t>
            </w:r>
          </w:p>
        </w:tc>
        <w:tc>
          <w:tcPr>
            <w:tcW w:w="1276" w:type="dxa"/>
            <w:tcBorders>
              <w:top w:val="nil"/>
              <w:left w:val="nil"/>
              <w:bottom w:val="nil"/>
              <w:right w:val="nil"/>
            </w:tcBorders>
            <w:shd w:val="clear" w:color="auto" w:fill="auto"/>
            <w:noWrap/>
            <w:vAlign w:val="bottom"/>
          </w:tcPr>
          <w:p w:rsidRPr="00050355" w:rsidR="00050355" w:rsidP="00050355" w:rsidRDefault="00050355" w14:paraId="3B995234" w14:textId="58337355">
            <w:pPr>
              <w:spacing w:after="0" w:line="240" w:lineRule="auto"/>
              <w:jc w:val="right"/>
              <w:rPr>
                <w:rFonts w:eastAsia="Times New Roman" w:cs="Arial"/>
                <w:color w:val="000000"/>
                <w:lang w:eastAsia="en-GB"/>
              </w:rPr>
            </w:pPr>
            <w:r w:rsidRPr="00050355">
              <w:rPr>
                <w:rFonts w:eastAsia="Times New Roman" w:cs="Arial"/>
                <w:color w:val="000000"/>
                <w:lang w:eastAsia="en-GB"/>
              </w:rPr>
              <w:t>2</w:t>
            </w:r>
            <w:r w:rsidR="00BC4212">
              <w:rPr>
                <w:rFonts w:eastAsia="Times New Roman" w:cs="Arial"/>
                <w:color w:val="000000"/>
                <w:lang w:eastAsia="en-GB"/>
              </w:rPr>
              <w:t>35</w:t>
            </w:r>
          </w:p>
        </w:tc>
        <w:tc>
          <w:tcPr>
            <w:tcW w:w="1559" w:type="dxa"/>
            <w:tcBorders>
              <w:top w:val="nil"/>
              <w:left w:val="single" w:color="auto" w:sz="4" w:space="0"/>
              <w:bottom w:val="nil"/>
              <w:right w:val="single" w:color="auto" w:sz="4" w:space="0"/>
            </w:tcBorders>
            <w:shd w:val="clear" w:color="auto" w:fill="auto"/>
            <w:noWrap/>
            <w:vAlign w:val="bottom"/>
          </w:tcPr>
          <w:p w:rsidRPr="00050355" w:rsidR="00050355" w:rsidP="00050355" w:rsidRDefault="00050355" w14:paraId="2E223FA4" w14:textId="5FDB80E3">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2,26</w:t>
            </w:r>
            <w:r w:rsidR="00C23C47">
              <w:rPr>
                <w:rFonts w:eastAsia="Times New Roman" w:cs="Arial"/>
                <w:b/>
                <w:bCs/>
                <w:color w:val="000000"/>
                <w:lang w:eastAsia="en-GB"/>
              </w:rPr>
              <w:t>1</w:t>
            </w:r>
          </w:p>
        </w:tc>
        <w:tc>
          <w:tcPr>
            <w:tcW w:w="1134" w:type="dxa"/>
            <w:tcBorders>
              <w:top w:val="nil"/>
              <w:left w:val="nil"/>
              <w:bottom w:val="nil"/>
              <w:right w:val="nil"/>
            </w:tcBorders>
            <w:shd w:val="clear" w:color="auto" w:fill="auto"/>
            <w:noWrap/>
            <w:vAlign w:val="bottom"/>
          </w:tcPr>
          <w:p w:rsidRPr="00050355" w:rsidR="00050355" w:rsidP="00050355" w:rsidRDefault="00050355" w14:paraId="72F038E3" w14:textId="625E14AF">
            <w:pPr>
              <w:spacing w:after="0" w:line="240" w:lineRule="auto"/>
              <w:jc w:val="right"/>
              <w:rPr>
                <w:rFonts w:eastAsia="Times New Roman" w:cs="Arial"/>
                <w:color w:val="000000"/>
                <w:lang w:eastAsia="en-GB"/>
              </w:rPr>
            </w:pPr>
            <w:r w:rsidRPr="00050355">
              <w:rPr>
                <w:rFonts w:eastAsia="Times New Roman" w:cs="Arial"/>
                <w:color w:val="000000"/>
                <w:lang w:eastAsia="en-GB"/>
              </w:rPr>
              <w:t>(7)</w:t>
            </w:r>
          </w:p>
        </w:tc>
        <w:tc>
          <w:tcPr>
            <w:tcW w:w="1134" w:type="dxa"/>
            <w:tcBorders>
              <w:top w:val="nil"/>
              <w:left w:val="nil"/>
              <w:bottom w:val="nil"/>
              <w:right w:val="nil"/>
            </w:tcBorders>
            <w:shd w:val="clear" w:color="auto" w:fill="auto"/>
            <w:noWrap/>
            <w:vAlign w:val="bottom"/>
          </w:tcPr>
          <w:p w:rsidRPr="00050355" w:rsidR="00050355" w:rsidP="00050355" w:rsidRDefault="00050355" w14:paraId="04C35328" w14:textId="1B664CA6">
            <w:pPr>
              <w:spacing w:after="0" w:line="240" w:lineRule="auto"/>
              <w:jc w:val="right"/>
              <w:rPr>
                <w:rFonts w:eastAsia="Times New Roman" w:cs="Arial"/>
                <w:color w:val="000000"/>
                <w:lang w:eastAsia="en-GB"/>
              </w:rPr>
            </w:pPr>
            <w:r w:rsidRPr="00050355">
              <w:rPr>
                <w:rFonts w:eastAsia="Times New Roman" w:cs="Arial"/>
                <w:color w:val="000000"/>
                <w:lang w:eastAsia="en-GB"/>
              </w:rPr>
              <w:t>(95)</w:t>
            </w:r>
          </w:p>
        </w:tc>
        <w:tc>
          <w:tcPr>
            <w:tcW w:w="1134" w:type="dxa"/>
            <w:tcBorders>
              <w:top w:val="nil"/>
              <w:left w:val="single" w:color="auto" w:sz="4" w:space="0"/>
              <w:bottom w:val="nil"/>
              <w:right w:val="single" w:color="auto" w:sz="4" w:space="0"/>
            </w:tcBorders>
            <w:shd w:val="clear" w:color="auto" w:fill="auto"/>
            <w:noWrap/>
            <w:vAlign w:val="bottom"/>
          </w:tcPr>
          <w:p w:rsidRPr="00050355" w:rsidR="00050355" w:rsidP="00050355" w:rsidRDefault="00050355" w14:paraId="5459CE37" w14:textId="2117B45A">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(102)</w:t>
            </w:r>
          </w:p>
        </w:tc>
        <w:tc>
          <w:tcPr>
            <w:tcW w:w="1560" w:type="dxa"/>
            <w:tcBorders>
              <w:top w:val="nil"/>
              <w:left w:val="nil"/>
              <w:bottom w:val="nil"/>
              <w:right w:val="single" w:color="auto" w:sz="4" w:space="0"/>
            </w:tcBorders>
            <w:shd w:val="clear" w:color="auto" w:fill="DBE5F1" w:themeFill="accent1" w:themeFillTint="33"/>
            <w:noWrap/>
            <w:vAlign w:val="bottom"/>
          </w:tcPr>
          <w:p w:rsidRPr="00050355" w:rsidR="00050355" w:rsidP="00050355" w:rsidRDefault="00050355" w14:paraId="14490606" w14:textId="24E6E577">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2,1</w:t>
            </w:r>
            <w:r w:rsidR="00C23C47">
              <w:rPr>
                <w:rFonts w:eastAsia="Times New Roman" w:cs="Arial"/>
                <w:b/>
                <w:bCs/>
                <w:color w:val="000000"/>
                <w:lang w:eastAsia="en-GB"/>
              </w:rPr>
              <w:t>59</w:t>
            </w:r>
          </w:p>
        </w:tc>
      </w:tr>
      <w:tr w:rsidRPr="00614894" w:rsidR="00050355" w:rsidTr="00050355" w14:paraId="70E53080" w14:textId="77777777">
        <w:trPr>
          <w:trHeight w:val="290"/>
        </w:trPr>
        <w:tc>
          <w:tcPr>
            <w:tcW w:w="4248" w:type="dxa"/>
            <w:tcBorders>
              <w:top w:val="nil"/>
              <w:left w:val="single" w:color="auto" w:sz="4" w:space="0"/>
              <w:bottom w:val="nil"/>
              <w:right w:val="nil"/>
            </w:tcBorders>
            <w:shd w:val="clear" w:color="auto" w:fill="auto"/>
            <w:noWrap/>
            <w:vAlign w:val="bottom"/>
            <w:hideMark/>
          </w:tcPr>
          <w:p w:rsidRPr="00614894" w:rsidR="00050355" w:rsidP="00566C9E" w:rsidRDefault="00050355" w14:paraId="4730EB71" w14:textId="47A843C9">
            <w:pPr>
              <w:spacing w:after="0" w:line="240" w:lineRule="auto"/>
              <w:rPr>
                <w:rFonts w:eastAsia="Times New Roman" w:cs="Arial"/>
                <w:color w:val="000000"/>
                <w:highlight w:val="yellow"/>
                <w:lang w:eastAsia="en-GB"/>
              </w:rPr>
            </w:pPr>
            <w:r w:rsidRPr="00050355">
              <w:rPr>
                <w:rFonts w:eastAsia="Times New Roman" w:cs="Arial"/>
                <w:color w:val="000000"/>
                <w:lang w:eastAsia="en-GB"/>
              </w:rPr>
              <w:t>Regional Adoption Service Grant</w:t>
            </w:r>
          </w:p>
        </w:tc>
        <w:tc>
          <w:tcPr>
            <w:tcW w:w="1275" w:type="dxa"/>
            <w:tcBorders>
              <w:top w:val="nil"/>
              <w:left w:val="nil"/>
              <w:bottom w:val="nil"/>
              <w:right w:val="nil"/>
            </w:tcBorders>
            <w:shd w:val="clear" w:color="auto" w:fill="auto"/>
            <w:noWrap/>
            <w:vAlign w:val="bottom"/>
          </w:tcPr>
          <w:p w:rsidRPr="00050355" w:rsidR="00050355" w:rsidP="00050355" w:rsidRDefault="00050355" w14:paraId="3AC52232" w14:textId="365C82DE">
            <w:pPr>
              <w:spacing w:after="0" w:line="240" w:lineRule="auto"/>
              <w:jc w:val="right"/>
              <w:rPr>
                <w:rFonts w:eastAsia="Times New Roman" w:cs="Arial"/>
                <w:color w:val="000000"/>
                <w:lang w:eastAsia="en-GB"/>
              </w:rPr>
            </w:pPr>
            <w:r w:rsidRPr="00050355">
              <w:rPr>
                <w:rFonts w:eastAsia="Times New Roman" w:cs="Arial"/>
                <w:color w:val="000000"/>
                <w:lang w:eastAsia="en-GB"/>
              </w:rPr>
              <w:t>185</w:t>
            </w:r>
          </w:p>
        </w:tc>
        <w:tc>
          <w:tcPr>
            <w:tcW w:w="1276" w:type="dxa"/>
            <w:tcBorders>
              <w:top w:val="nil"/>
              <w:left w:val="nil"/>
              <w:bottom w:val="nil"/>
              <w:right w:val="nil"/>
            </w:tcBorders>
            <w:shd w:val="clear" w:color="auto" w:fill="auto"/>
            <w:noWrap/>
            <w:vAlign w:val="bottom"/>
          </w:tcPr>
          <w:p w:rsidRPr="00050355" w:rsidR="00050355" w:rsidP="00050355" w:rsidRDefault="00050355" w14:paraId="37BDB154" w14:textId="38EA786E">
            <w:pPr>
              <w:spacing w:after="0" w:line="240" w:lineRule="auto"/>
              <w:jc w:val="right"/>
              <w:rPr>
                <w:rFonts w:eastAsia="Times New Roman" w:cs="Arial"/>
                <w:color w:val="000000"/>
                <w:lang w:eastAsia="en-GB"/>
              </w:rPr>
            </w:pPr>
            <w:r w:rsidRPr="00050355">
              <w:rPr>
                <w:rFonts w:eastAsia="Times New Roman" w:cs="Arial"/>
                <w:color w:val="000000"/>
                <w:lang w:eastAsia="en-GB"/>
              </w:rPr>
              <w:t xml:space="preserve">          352</w:t>
            </w:r>
          </w:p>
        </w:tc>
        <w:tc>
          <w:tcPr>
            <w:tcW w:w="1559" w:type="dxa"/>
            <w:tcBorders>
              <w:top w:val="nil"/>
              <w:left w:val="single" w:color="auto" w:sz="4" w:space="0"/>
              <w:bottom w:val="nil"/>
              <w:right w:val="single" w:color="auto" w:sz="4" w:space="0"/>
            </w:tcBorders>
            <w:shd w:val="clear" w:color="auto" w:fill="auto"/>
            <w:noWrap/>
            <w:vAlign w:val="bottom"/>
          </w:tcPr>
          <w:p w:rsidRPr="00050355" w:rsidR="00050355" w:rsidP="00050355" w:rsidRDefault="00050355" w14:paraId="197553A5" w14:textId="086B3E3E">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537</w:t>
            </w:r>
          </w:p>
        </w:tc>
        <w:tc>
          <w:tcPr>
            <w:tcW w:w="1134" w:type="dxa"/>
            <w:tcBorders>
              <w:top w:val="nil"/>
              <w:left w:val="nil"/>
              <w:bottom w:val="nil"/>
              <w:right w:val="nil"/>
            </w:tcBorders>
            <w:shd w:val="clear" w:color="auto" w:fill="auto"/>
            <w:noWrap/>
            <w:vAlign w:val="bottom"/>
          </w:tcPr>
          <w:p w:rsidRPr="00050355" w:rsidR="00050355" w:rsidP="00050355" w:rsidRDefault="00050355" w14:paraId="4516ABCC" w14:textId="7FE24787">
            <w:pPr>
              <w:spacing w:after="0" w:line="240" w:lineRule="auto"/>
              <w:jc w:val="right"/>
              <w:rPr>
                <w:rFonts w:eastAsia="Times New Roman" w:cs="Arial"/>
                <w:color w:val="000000"/>
                <w:lang w:eastAsia="en-GB"/>
              </w:rPr>
            </w:pPr>
            <w:r w:rsidRPr="00050355">
              <w:rPr>
                <w:rFonts w:eastAsia="Times New Roman" w:cs="Arial"/>
                <w:color w:val="000000"/>
                <w:lang w:eastAsia="en-GB"/>
              </w:rPr>
              <w:t>(537)</w:t>
            </w:r>
          </w:p>
        </w:tc>
        <w:tc>
          <w:tcPr>
            <w:tcW w:w="1134" w:type="dxa"/>
            <w:tcBorders>
              <w:top w:val="nil"/>
              <w:left w:val="nil"/>
              <w:bottom w:val="nil"/>
              <w:right w:val="nil"/>
            </w:tcBorders>
            <w:shd w:val="clear" w:color="auto" w:fill="auto"/>
            <w:noWrap/>
            <w:vAlign w:val="bottom"/>
          </w:tcPr>
          <w:p w:rsidRPr="00050355" w:rsidR="00050355" w:rsidP="00050355" w:rsidRDefault="00050355" w14:paraId="11C98D33" w14:textId="50D378FF">
            <w:pPr>
              <w:spacing w:after="0" w:line="240" w:lineRule="auto"/>
              <w:jc w:val="right"/>
              <w:rPr>
                <w:rFonts w:eastAsia="Times New Roman" w:cs="Arial"/>
                <w:color w:val="000000"/>
                <w:lang w:eastAsia="en-GB"/>
              </w:rPr>
            </w:pPr>
            <w:r w:rsidRPr="00050355">
              <w:rPr>
                <w:rFonts w:eastAsia="Times New Roman" w:cs="Arial"/>
                <w:color w:val="000000"/>
                <w:lang w:eastAsia="en-GB"/>
              </w:rPr>
              <w:t>0</w:t>
            </w:r>
          </w:p>
        </w:tc>
        <w:tc>
          <w:tcPr>
            <w:tcW w:w="1134" w:type="dxa"/>
            <w:tcBorders>
              <w:top w:val="nil"/>
              <w:left w:val="single" w:color="auto" w:sz="4" w:space="0"/>
              <w:bottom w:val="nil"/>
              <w:right w:val="single" w:color="auto" w:sz="4" w:space="0"/>
            </w:tcBorders>
            <w:shd w:val="clear" w:color="auto" w:fill="auto"/>
            <w:noWrap/>
            <w:vAlign w:val="bottom"/>
          </w:tcPr>
          <w:p w:rsidRPr="00050355" w:rsidR="00050355" w:rsidP="00050355" w:rsidRDefault="00050355" w14:paraId="7C3A9A11" w14:textId="6D1682DB">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(537)</w:t>
            </w:r>
          </w:p>
        </w:tc>
        <w:tc>
          <w:tcPr>
            <w:tcW w:w="1560" w:type="dxa"/>
            <w:tcBorders>
              <w:top w:val="nil"/>
              <w:left w:val="nil"/>
              <w:bottom w:val="nil"/>
              <w:right w:val="single" w:color="auto" w:sz="4" w:space="0"/>
            </w:tcBorders>
            <w:shd w:val="clear" w:color="auto" w:fill="DBE5F1" w:themeFill="accent1" w:themeFillTint="33"/>
            <w:noWrap/>
            <w:vAlign w:val="bottom"/>
          </w:tcPr>
          <w:p w:rsidRPr="00050355" w:rsidR="00050355" w:rsidP="00050355" w:rsidRDefault="00050355" w14:paraId="6F357562" w14:textId="1AD88F25">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0</w:t>
            </w:r>
          </w:p>
        </w:tc>
      </w:tr>
      <w:tr w:rsidRPr="00614894" w:rsidR="00050355" w:rsidTr="00050355" w14:paraId="13B32795" w14:textId="77777777">
        <w:trPr>
          <w:trHeight w:val="290"/>
        </w:trPr>
        <w:tc>
          <w:tcPr>
            <w:tcW w:w="4248" w:type="dxa"/>
            <w:tcBorders>
              <w:top w:val="nil"/>
              <w:left w:val="single" w:color="auto" w:sz="4" w:space="0"/>
              <w:bottom w:val="nil"/>
              <w:right w:val="nil"/>
            </w:tcBorders>
            <w:shd w:val="clear" w:color="auto" w:fill="auto"/>
            <w:noWrap/>
            <w:vAlign w:val="bottom"/>
            <w:hideMark/>
          </w:tcPr>
          <w:p w:rsidRPr="00614894" w:rsidR="00050355" w:rsidP="00566C9E" w:rsidRDefault="00050355" w14:paraId="2382A11A" w14:textId="6E6902C1">
            <w:pPr>
              <w:spacing w:after="0" w:line="240" w:lineRule="auto"/>
              <w:rPr>
                <w:rFonts w:eastAsia="Times New Roman" w:cs="Arial"/>
                <w:color w:val="000000"/>
                <w:highlight w:val="yellow"/>
                <w:lang w:eastAsia="en-GB"/>
              </w:rPr>
            </w:pPr>
            <w:r w:rsidRPr="00050355">
              <w:rPr>
                <w:rFonts w:eastAsia="Times New Roman" w:cs="Arial"/>
                <w:color w:val="000000"/>
                <w:lang w:eastAsia="en-GB"/>
              </w:rPr>
              <w:t>Utilisation of Previous Years Underspend</w:t>
            </w:r>
          </w:p>
        </w:tc>
        <w:tc>
          <w:tcPr>
            <w:tcW w:w="1275" w:type="dxa"/>
            <w:tcBorders>
              <w:top w:val="nil"/>
              <w:left w:val="nil"/>
              <w:bottom w:val="nil"/>
              <w:right w:val="nil"/>
            </w:tcBorders>
            <w:shd w:val="clear" w:color="auto" w:fill="auto"/>
            <w:noWrap/>
            <w:vAlign w:val="bottom"/>
          </w:tcPr>
          <w:p w:rsidRPr="00050355" w:rsidR="00050355" w:rsidP="00050355" w:rsidRDefault="00050355" w14:paraId="656B2CFF" w14:textId="17A0DAD6">
            <w:pPr>
              <w:spacing w:after="0" w:line="240" w:lineRule="auto"/>
              <w:jc w:val="right"/>
              <w:rPr>
                <w:rFonts w:eastAsia="Times New Roman" w:cs="Arial"/>
                <w:color w:val="000000"/>
                <w:lang w:eastAsia="en-GB"/>
              </w:rPr>
            </w:pPr>
            <w:r w:rsidRPr="00050355">
              <w:rPr>
                <w:rFonts w:eastAsia="Times New Roman" w:cs="Arial"/>
                <w:color w:val="000000"/>
                <w:lang w:eastAsia="en-GB"/>
              </w:rPr>
              <w:t xml:space="preserve">             45</w:t>
            </w:r>
          </w:p>
        </w:tc>
        <w:tc>
          <w:tcPr>
            <w:tcW w:w="1276" w:type="dxa"/>
            <w:tcBorders>
              <w:top w:val="nil"/>
              <w:left w:val="nil"/>
              <w:bottom w:val="nil"/>
              <w:right w:val="nil"/>
            </w:tcBorders>
            <w:shd w:val="clear" w:color="auto" w:fill="auto"/>
            <w:noWrap/>
            <w:vAlign w:val="bottom"/>
          </w:tcPr>
          <w:p w:rsidRPr="00050355" w:rsidR="00050355" w:rsidP="00050355" w:rsidRDefault="00050355" w14:paraId="5BAA2893" w14:textId="7EB86328">
            <w:pPr>
              <w:spacing w:after="0" w:line="240" w:lineRule="auto"/>
              <w:jc w:val="right"/>
              <w:rPr>
                <w:rFonts w:eastAsia="Times New Roman" w:cs="Arial"/>
                <w:lang w:eastAsia="en-GB"/>
              </w:rPr>
            </w:pPr>
            <w:r w:rsidRPr="00050355">
              <w:rPr>
                <w:rFonts w:eastAsia="Times New Roman" w:cs="Arial"/>
                <w:lang w:eastAsia="en-GB"/>
              </w:rPr>
              <w:t xml:space="preserve">             58</w:t>
            </w:r>
          </w:p>
        </w:tc>
        <w:tc>
          <w:tcPr>
            <w:tcW w:w="1559" w:type="dxa"/>
            <w:tcBorders>
              <w:top w:val="nil"/>
              <w:left w:val="single" w:color="auto" w:sz="4" w:space="0"/>
              <w:bottom w:val="nil"/>
              <w:right w:val="single" w:color="auto" w:sz="4" w:space="0"/>
            </w:tcBorders>
            <w:shd w:val="clear" w:color="auto" w:fill="auto"/>
            <w:noWrap/>
            <w:vAlign w:val="bottom"/>
          </w:tcPr>
          <w:p w:rsidRPr="00050355" w:rsidR="00050355" w:rsidP="00050355" w:rsidRDefault="00050355" w14:paraId="13B987AA" w14:textId="7DDB7D78">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 xml:space="preserve">               103</w:t>
            </w:r>
          </w:p>
        </w:tc>
        <w:tc>
          <w:tcPr>
            <w:tcW w:w="1134" w:type="dxa"/>
            <w:tcBorders>
              <w:top w:val="nil"/>
              <w:left w:val="nil"/>
              <w:bottom w:val="nil"/>
              <w:right w:val="nil"/>
            </w:tcBorders>
            <w:shd w:val="clear" w:color="auto" w:fill="auto"/>
            <w:noWrap/>
            <w:vAlign w:val="bottom"/>
          </w:tcPr>
          <w:p w:rsidRPr="00050355" w:rsidR="00050355" w:rsidP="00050355" w:rsidRDefault="00050355" w14:paraId="4F964605" w14:textId="3F22BA53">
            <w:pPr>
              <w:spacing w:after="0" w:line="240" w:lineRule="auto"/>
              <w:jc w:val="right"/>
              <w:rPr>
                <w:rFonts w:eastAsia="Times New Roman" w:cs="Arial"/>
                <w:color w:val="000000"/>
                <w:lang w:eastAsia="en-GB"/>
              </w:rPr>
            </w:pPr>
            <w:r w:rsidRPr="00050355">
              <w:rPr>
                <w:rFonts w:eastAsia="Times New Roman" w:cs="Arial"/>
                <w:color w:val="000000"/>
                <w:lang w:eastAsia="en-GB"/>
              </w:rPr>
              <w:t>(18)</w:t>
            </w:r>
          </w:p>
        </w:tc>
        <w:tc>
          <w:tcPr>
            <w:tcW w:w="1134" w:type="dxa"/>
            <w:tcBorders>
              <w:top w:val="nil"/>
              <w:left w:val="nil"/>
              <w:bottom w:val="nil"/>
              <w:right w:val="nil"/>
            </w:tcBorders>
            <w:shd w:val="clear" w:color="auto" w:fill="auto"/>
            <w:noWrap/>
            <w:vAlign w:val="bottom"/>
          </w:tcPr>
          <w:p w:rsidRPr="00050355" w:rsidR="00050355" w:rsidP="00050355" w:rsidRDefault="00050355" w14:paraId="53090FAC" w14:textId="2E37CE2D">
            <w:pPr>
              <w:spacing w:after="0" w:line="240" w:lineRule="auto"/>
              <w:jc w:val="right"/>
              <w:rPr>
                <w:rFonts w:eastAsia="Times New Roman" w:cs="Arial"/>
                <w:lang w:eastAsia="en-GB"/>
              </w:rPr>
            </w:pPr>
            <w:r w:rsidRPr="00050355">
              <w:rPr>
                <w:rFonts w:eastAsia="Times New Roman" w:cs="Arial"/>
                <w:lang w:eastAsia="en-GB"/>
              </w:rPr>
              <w:t>0</w:t>
            </w:r>
          </w:p>
        </w:tc>
        <w:tc>
          <w:tcPr>
            <w:tcW w:w="1134" w:type="dxa"/>
            <w:tcBorders>
              <w:top w:val="nil"/>
              <w:left w:val="single" w:color="auto" w:sz="4" w:space="0"/>
              <w:bottom w:val="nil"/>
              <w:right w:val="single" w:color="auto" w:sz="4" w:space="0"/>
            </w:tcBorders>
            <w:shd w:val="clear" w:color="auto" w:fill="auto"/>
            <w:noWrap/>
            <w:vAlign w:val="bottom"/>
          </w:tcPr>
          <w:p w:rsidRPr="00050355" w:rsidR="00050355" w:rsidP="00050355" w:rsidRDefault="00050355" w14:paraId="1DAB1BDE" w14:textId="560C75DD">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(18)</w:t>
            </w:r>
          </w:p>
        </w:tc>
        <w:tc>
          <w:tcPr>
            <w:tcW w:w="1560" w:type="dxa"/>
            <w:tcBorders>
              <w:top w:val="nil"/>
              <w:left w:val="nil"/>
              <w:bottom w:val="nil"/>
              <w:right w:val="single" w:color="auto" w:sz="4" w:space="0"/>
            </w:tcBorders>
            <w:shd w:val="clear" w:color="auto" w:fill="DBE5F1" w:themeFill="accent1" w:themeFillTint="33"/>
            <w:noWrap/>
            <w:vAlign w:val="bottom"/>
          </w:tcPr>
          <w:p w:rsidRPr="00050355" w:rsidR="00050355" w:rsidP="00050355" w:rsidRDefault="00050355" w14:paraId="4858DA15" w14:textId="50B34719">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85</w:t>
            </w:r>
          </w:p>
        </w:tc>
      </w:tr>
      <w:tr w:rsidRPr="00614894" w:rsidR="00050355" w:rsidTr="00050355" w14:paraId="7210992A" w14:textId="77777777">
        <w:trPr>
          <w:trHeight w:val="290"/>
        </w:trPr>
        <w:tc>
          <w:tcPr>
            <w:tcW w:w="4248"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614894" w:rsidR="00050355" w:rsidP="00566C9E" w:rsidRDefault="00050355" w14:paraId="4E9A4B37" w14:textId="77777777">
            <w:pPr>
              <w:spacing w:after="0" w:line="240" w:lineRule="auto"/>
              <w:rPr>
                <w:rFonts w:eastAsia="Times New Roman" w:cs="Arial"/>
                <w:b/>
                <w:bCs/>
                <w:color w:val="000000"/>
                <w:highlight w:val="yellow"/>
                <w:lang w:eastAsia="en-GB"/>
              </w:rPr>
            </w:pPr>
            <w:r w:rsidRPr="00050355">
              <w:rPr>
                <w:rFonts w:eastAsia="Times New Roman" w:cs="Arial"/>
                <w:b/>
                <w:bCs/>
                <w:color w:val="000000"/>
                <w:lang w:eastAsia="en-GB"/>
              </w:rPr>
              <w:t>Net Cost of Services</w:t>
            </w:r>
          </w:p>
        </w:tc>
        <w:tc>
          <w:tcPr>
            <w:tcW w:w="1275" w:type="dxa"/>
            <w:tcBorders>
              <w:top w:val="single" w:color="auto" w:sz="4" w:space="0"/>
              <w:left w:val="nil"/>
              <w:bottom w:val="single" w:color="auto" w:sz="4" w:space="0"/>
              <w:right w:val="nil"/>
            </w:tcBorders>
            <w:shd w:val="clear" w:color="auto" w:fill="DBE5F1" w:themeFill="accent1" w:themeFillTint="33"/>
            <w:noWrap/>
            <w:vAlign w:val="bottom"/>
          </w:tcPr>
          <w:p w:rsidRPr="00050355" w:rsidR="00050355" w:rsidP="00050355" w:rsidRDefault="00050355" w14:paraId="1044649C" w14:textId="4FFCC75D">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2,2</w:t>
            </w:r>
            <w:r w:rsidR="00BC4212">
              <w:rPr>
                <w:rFonts w:eastAsia="Times New Roman" w:cs="Arial"/>
                <w:b/>
                <w:bCs/>
                <w:color w:val="000000"/>
                <w:lang w:eastAsia="en-GB"/>
              </w:rPr>
              <w:t>56</w:t>
            </w:r>
          </w:p>
        </w:tc>
        <w:tc>
          <w:tcPr>
            <w:tcW w:w="1276" w:type="dxa"/>
            <w:tcBorders>
              <w:top w:val="single" w:color="auto" w:sz="4" w:space="0"/>
              <w:left w:val="nil"/>
              <w:bottom w:val="single" w:color="auto" w:sz="4" w:space="0"/>
              <w:right w:val="nil"/>
            </w:tcBorders>
            <w:shd w:val="clear" w:color="auto" w:fill="DBE5F1" w:themeFill="accent1" w:themeFillTint="33"/>
            <w:noWrap/>
            <w:vAlign w:val="bottom"/>
          </w:tcPr>
          <w:p w:rsidRPr="00050355" w:rsidR="00050355" w:rsidP="00050355" w:rsidRDefault="00050355" w14:paraId="2AD4702B" w14:textId="16BA0DB7">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6</w:t>
            </w:r>
            <w:r w:rsidR="00BC4212">
              <w:rPr>
                <w:rFonts w:eastAsia="Times New Roman" w:cs="Arial"/>
                <w:b/>
                <w:bCs/>
                <w:color w:val="000000"/>
                <w:lang w:eastAsia="en-GB"/>
              </w:rPr>
              <w:t>45</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050355" w:rsidR="00050355" w:rsidP="00050355" w:rsidRDefault="00050355" w14:paraId="5146A303" w14:textId="61E7B8DA">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2,90</w:t>
            </w:r>
            <w:r w:rsidR="00C23C47">
              <w:rPr>
                <w:rFonts w:eastAsia="Times New Roman" w:cs="Arial"/>
                <w:b/>
                <w:bCs/>
                <w:color w:val="000000"/>
                <w:lang w:eastAsia="en-GB"/>
              </w:rPr>
              <w:t>1</w:t>
            </w:r>
          </w:p>
        </w:tc>
        <w:tc>
          <w:tcPr>
            <w:tcW w:w="1134" w:type="dxa"/>
            <w:tcBorders>
              <w:top w:val="single" w:color="auto" w:sz="4" w:space="0"/>
              <w:left w:val="nil"/>
              <w:bottom w:val="single" w:color="auto" w:sz="4" w:space="0"/>
              <w:right w:val="nil"/>
            </w:tcBorders>
            <w:shd w:val="clear" w:color="auto" w:fill="DBE5F1" w:themeFill="accent1" w:themeFillTint="33"/>
            <w:noWrap/>
            <w:vAlign w:val="bottom"/>
          </w:tcPr>
          <w:p w:rsidRPr="00050355" w:rsidR="00050355" w:rsidP="00050355" w:rsidRDefault="00050355" w14:paraId="1DE87A0A" w14:textId="5C3B689B">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(56</w:t>
            </w:r>
            <w:r w:rsidR="00445BBB">
              <w:rPr>
                <w:rFonts w:eastAsia="Times New Roman" w:cs="Arial"/>
                <w:b/>
                <w:bCs/>
                <w:color w:val="000000"/>
                <w:lang w:eastAsia="en-GB"/>
              </w:rPr>
              <w:t>2</w:t>
            </w:r>
            <w:r w:rsidRPr="00050355">
              <w:rPr>
                <w:rFonts w:eastAsia="Times New Roman" w:cs="Arial"/>
                <w:b/>
                <w:bCs/>
                <w:color w:val="000000"/>
                <w:lang w:eastAsia="en-GB"/>
              </w:rPr>
              <w:t>)</w:t>
            </w:r>
          </w:p>
        </w:tc>
        <w:tc>
          <w:tcPr>
            <w:tcW w:w="1134" w:type="dxa"/>
            <w:tcBorders>
              <w:top w:val="single" w:color="auto" w:sz="4" w:space="0"/>
              <w:left w:val="nil"/>
              <w:bottom w:val="single" w:color="auto" w:sz="4" w:space="0"/>
              <w:right w:val="nil"/>
            </w:tcBorders>
            <w:shd w:val="clear" w:color="auto" w:fill="DBE5F1" w:themeFill="accent1" w:themeFillTint="33"/>
            <w:noWrap/>
            <w:vAlign w:val="bottom"/>
          </w:tcPr>
          <w:p w:rsidRPr="00050355" w:rsidR="00050355" w:rsidP="00050355" w:rsidRDefault="00050355" w14:paraId="7A9EA433" w14:textId="6A3A5108">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(95)</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050355" w:rsidR="00050355" w:rsidP="00050355" w:rsidRDefault="00050355" w14:paraId="330E3F2D" w14:textId="7D2F137E">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(657)</w:t>
            </w:r>
          </w:p>
        </w:tc>
        <w:tc>
          <w:tcPr>
            <w:tcW w:w="1560"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050355" w:rsidR="00050355" w:rsidP="00050355" w:rsidRDefault="00050355" w14:paraId="449A648F" w14:textId="7A83C13E">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2,24</w:t>
            </w:r>
            <w:r w:rsidR="00C23C47">
              <w:rPr>
                <w:rFonts w:eastAsia="Times New Roman" w:cs="Arial"/>
                <w:b/>
                <w:bCs/>
                <w:color w:val="000000"/>
                <w:lang w:eastAsia="en-GB"/>
              </w:rPr>
              <w:t>4</w:t>
            </w:r>
          </w:p>
        </w:tc>
      </w:tr>
      <w:tr w:rsidRPr="00614894" w:rsidR="00050355" w:rsidTr="00050355" w14:paraId="531A1EA6" w14:textId="77777777">
        <w:trPr>
          <w:trHeight w:val="300"/>
        </w:trPr>
        <w:tc>
          <w:tcPr>
            <w:tcW w:w="5523" w:type="dxa"/>
            <w:gridSpan w:val="2"/>
            <w:tcBorders>
              <w:top w:val="nil"/>
              <w:left w:val="single" w:color="auto" w:sz="4" w:space="0"/>
              <w:bottom w:val="nil"/>
              <w:right w:val="nil"/>
            </w:tcBorders>
            <w:shd w:val="clear" w:color="auto" w:fill="auto"/>
            <w:noWrap/>
            <w:vAlign w:val="bottom"/>
            <w:hideMark/>
          </w:tcPr>
          <w:p w:rsidRPr="00050355" w:rsidR="00050355" w:rsidP="00566C9E" w:rsidRDefault="00050355" w14:paraId="01D0CA96" w14:textId="77777777">
            <w:pPr>
              <w:spacing w:after="0" w:line="240" w:lineRule="auto"/>
              <w:rPr>
                <w:rFonts w:eastAsia="Times New Roman" w:cs="Arial"/>
                <w:b/>
                <w:bCs/>
                <w:color w:val="000000"/>
                <w:u w:val="single"/>
                <w:lang w:eastAsia="en-GB"/>
              </w:rPr>
            </w:pPr>
            <w:r w:rsidRPr="00050355">
              <w:rPr>
                <w:rFonts w:eastAsia="Times New Roman" w:cs="Arial"/>
                <w:b/>
                <w:bCs/>
                <w:color w:val="000000"/>
                <w:u w:val="single"/>
                <w:lang w:eastAsia="en-GB"/>
              </w:rPr>
              <w:t>Finance &amp; Investment Income &amp; Expenditure</w:t>
            </w:r>
          </w:p>
        </w:tc>
        <w:tc>
          <w:tcPr>
            <w:tcW w:w="1276" w:type="dxa"/>
            <w:tcBorders>
              <w:top w:val="nil"/>
              <w:left w:val="nil"/>
              <w:bottom w:val="nil"/>
              <w:right w:val="nil"/>
            </w:tcBorders>
            <w:shd w:val="clear" w:color="auto" w:fill="auto"/>
            <w:noWrap/>
            <w:vAlign w:val="bottom"/>
            <w:hideMark/>
          </w:tcPr>
          <w:p w:rsidRPr="00050355" w:rsidR="00050355" w:rsidP="00566C9E" w:rsidRDefault="00050355" w14:paraId="41F88661" w14:textId="77777777">
            <w:pPr>
              <w:spacing w:after="0" w:line="240" w:lineRule="auto"/>
              <w:rPr>
                <w:rFonts w:eastAsia="Times New Roman" w:cs="Arial"/>
                <w:b/>
                <w:bCs/>
                <w:color w:val="000000"/>
                <w:u w:val="single"/>
                <w:lang w:eastAsia="en-GB"/>
              </w:rPr>
            </w:pPr>
          </w:p>
        </w:tc>
        <w:tc>
          <w:tcPr>
            <w:tcW w:w="1559" w:type="dxa"/>
            <w:tcBorders>
              <w:top w:val="nil"/>
              <w:left w:val="nil"/>
              <w:bottom w:val="nil"/>
              <w:right w:val="nil"/>
            </w:tcBorders>
            <w:shd w:val="clear" w:color="auto" w:fill="auto"/>
            <w:noWrap/>
            <w:vAlign w:val="bottom"/>
            <w:hideMark/>
          </w:tcPr>
          <w:p w:rsidRPr="00050355" w:rsidR="00050355" w:rsidP="00566C9E" w:rsidRDefault="00050355" w14:paraId="431AD397" w14:textId="77777777">
            <w:pPr>
              <w:spacing w:after="0" w:line="240" w:lineRule="auto"/>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566C9E" w:rsidRDefault="00050355" w14:paraId="773429C9" w14:textId="77777777">
            <w:pPr>
              <w:spacing w:after="0" w:line="240" w:lineRule="auto"/>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566C9E" w:rsidRDefault="00050355" w14:paraId="2733ED5F" w14:textId="77777777">
            <w:pPr>
              <w:spacing w:after="0" w:line="240" w:lineRule="auto"/>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566C9E" w:rsidRDefault="00050355" w14:paraId="0E2617FA" w14:textId="77777777">
            <w:pPr>
              <w:spacing w:after="0" w:line="240" w:lineRule="auto"/>
              <w:rPr>
                <w:rFonts w:eastAsia="Times New Roman" w:cs="Arial"/>
                <w:lang w:eastAsia="en-GB"/>
              </w:rPr>
            </w:pPr>
          </w:p>
        </w:tc>
        <w:tc>
          <w:tcPr>
            <w:tcW w:w="1560" w:type="dxa"/>
            <w:tcBorders>
              <w:top w:val="nil"/>
              <w:left w:val="nil"/>
              <w:bottom w:val="nil"/>
              <w:right w:val="single" w:color="auto" w:sz="4" w:space="0"/>
            </w:tcBorders>
            <w:shd w:val="clear" w:color="auto" w:fill="auto"/>
            <w:noWrap/>
            <w:vAlign w:val="bottom"/>
            <w:hideMark/>
          </w:tcPr>
          <w:p w:rsidRPr="00050355" w:rsidR="00050355" w:rsidP="00566C9E" w:rsidRDefault="00050355" w14:paraId="667289B7" w14:textId="77777777">
            <w:pPr>
              <w:spacing w:after="0" w:line="240" w:lineRule="auto"/>
              <w:rPr>
                <w:rFonts w:eastAsia="Times New Roman" w:cs="Arial"/>
                <w:b/>
                <w:bCs/>
                <w:color w:val="000000"/>
                <w:lang w:eastAsia="en-GB"/>
              </w:rPr>
            </w:pPr>
            <w:r w:rsidRPr="00050355">
              <w:rPr>
                <w:rFonts w:eastAsia="Times New Roman" w:cs="Arial"/>
                <w:b/>
                <w:bCs/>
                <w:color w:val="000000"/>
                <w:lang w:eastAsia="en-GB"/>
              </w:rPr>
              <w:t> </w:t>
            </w:r>
          </w:p>
        </w:tc>
      </w:tr>
      <w:tr w:rsidRPr="00614894" w:rsidR="00050355" w:rsidTr="00050355" w14:paraId="79A9F95C" w14:textId="77777777">
        <w:trPr>
          <w:trHeight w:val="300"/>
        </w:trPr>
        <w:tc>
          <w:tcPr>
            <w:tcW w:w="4248" w:type="dxa"/>
            <w:tcBorders>
              <w:top w:val="nil"/>
              <w:left w:val="single" w:color="auto" w:sz="4" w:space="0"/>
              <w:bottom w:val="nil"/>
              <w:right w:val="nil"/>
            </w:tcBorders>
            <w:shd w:val="clear" w:color="auto" w:fill="auto"/>
            <w:noWrap/>
            <w:vAlign w:val="bottom"/>
            <w:hideMark/>
          </w:tcPr>
          <w:p w:rsidRPr="00050355" w:rsidR="00050355" w:rsidP="00566C9E" w:rsidRDefault="00050355" w14:paraId="2C16B919" w14:textId="77777777">
            <w:pPr>
              <w:spacing w:after="0" w:line="240" w:lineRule="auto"/>
              <w:rPr>
                <w:rFonts w:eastAsia="Times New Roman" w:cs="Arial"/>
                <w:color w:val="000000"/>
                <w:lang w:eastAsia="en-GB"/>
              </w:rPr>
            </w:pPr>
            <w:r w:rsidRPr="00050355">
              <w:rPr>
                <w:rFonts w:eastAsia="Times New Roman" w:cs="Arial"/>
                <w:color w:val="000000"/>
                <w:lang w:eastAsia="en-GB"/>
              </w:rPr>
              <w:t>Contributions from Local Authorities</w:t>
            </w:r>
          </w:p>
        </w:tc>
        <w:tc>
          <w:tcPr>
            <w:tcW w:w="1275" w:type="dxa"/>
            <w:tcBorders>
              <w:top w:val="nil"/>
              <w:left w:val="nil"/>
              <w:bottom w:val="nil"/>
              <w:right w:val="nil"/>
            </w:tcBorders>
            <w:shd w:val="clear" w:color="auto" w:fill="auto"/>
            <w:noWrap/>
            <w:vAlign w:val="bottom"/>
            <w:hideMark/>
          </w:tcPr>
          <w:p w:rsidRPr="00050355" w:rsidR="00050355" w:rsidP="00566C9E" w:rsidRDefault="00050355" w14:paraId="7EC7B20B" w14:textId="77777777">
            <w:pPr>
              <w:spacing w:after="0" w:line="240" w:lineRule="auto"/>
              <w:rPr>
                <w:rFonts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050355" w:rsidR="00050355" w:rsidP="00566C9E" w:rsidRDefault="00050355" w14:paraId="4E065884" w14:textId="77777777">
            <w:pPr>
              <w:spacing w:after="0" w:line="240" w:lineRule="auto"/>
              <w:rPr>
                <w:rFonts w:eastAsia="Times New Roman" w:cs="Arial"/>
                <w:lang w:eastAsia="en-GB"/>
              </w:rPr>
            </w:pPr>
          </w:p>
        </w:tc>
        <w:tc>
          <w:tcPr>
            <w:tcW w:w="1559" w:type="dxa"/>
            <w:tcBorders>
              <w:top w:val="nil"/>
              <w:left w:val="nil"/>
              <w:bottom w:val="nil"/>
              <w:right w:val="nil"/>
            </w:tcBorders>
            <w:shd w:val="clear" w:color="auto" w:fill="auto"/>
            <w:noWrap/>
            <w:vAlign w:val="bottom"/>
            <w:hideMark/>
          </w:tcPr>
          <w:p w:rsidRPr="00050355" w:rsidR="00050355" w:rsidP="00050355" w:rsidRDefault="00050355" w14:paraId="6799D585" w14:textId="523B745A">
            <w:pPr>
              <w:spacing w:after="0" w:line="240" w:lineRule="auto"/>
              <w:jc w:val="right"/>
              <w:rPr>
                <w:rFonts w:eastAsia="Times New Roman" w:cs="Arial"/>
                <w:b/>
                <w:lang w:eastAsia="en-GB"/>
              </w:rPr>
            </w:pPr>
            <w:r w:rsidRPr="00050355">
              <w:rPr>
                <w:rFonts w:eastAsia="Times New Roman" w:cs="Arial"/>
                <w:b/>
                <w:lang w:eastAsia="en-GB"/>
              </w:rPr>
              <w:t>0</w:t>
            </w: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13A13EE3"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2BF64FB3"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235C5993" w14:textId="55855774">
            <w:pPr>
              <w:spacing w:after="0" w:line="240" w:lineRule="auto"/>
              <w:jc w:val="right"/>
              <w:rPr>
                <w:rFonts w:eastAsia="Times New Roman" w:cs="Arial"/>
                <w:b/>
                <w:lang w:eastAsia="en-GB"/>
              </w:rPr>
            </w:pPr>
            <w:r w:rsidRPr="00050355">
              <w:rPr>
                <w:rFonts w:eastAsia="Times New Roman" w:cs="Arial"/>
                <w:b/>
                <w:lang w:eastAsia="en-GB"/>
              </w:rPr>
              <w:t>(1,921)</w:t>
            </w:r>
          </w:p>
        </w:tc>
        <w:tc>
          <w:tcPr>
            <w:tcW w:w="1560" w:type="dxa"/>
            <w:tcBorders>
              <w:top w:val="nil"/>
              <w:left w:val="nil"/>
              <w:bottom w:val="nil"/>
              <w:right w:val="single" w:color="auto" w:sz="4" w:space="0"/>
            </w:tcBorders>
            <w:shd w:val="clear" w:color="auto" w:fill="auto"/>
            <w:noWrap/>
            <w:vAlign w:val="bottom"/>
          </w:tcPr>
          <w:p w:rsidRPr="00050355" w:rsidR="00050355" w:rsidP="00050355" w:rsidRDefault="00050355" w14:paraId="28E5242F" w14:textId="26331054">
            <w:pPr>
              <w:spacing w:after="0" w:line="240" w:lineRule="auto"/>
              <w:jc w:val="right"/>
              <w:rPr>
                <w:rFonts w:eastAsia="Times New Roman" w:cs="Arial"/>
                <w:b/>
                <w:color w:val="000000"/>
                <w:lang w:eastAsia="en-GB"/>
              </w:rPr>
            </w:pPr>
            <w:r w:rsidRPr="00050355">
              <w:rPr>
                <w:rFonts w:eastAsia="Times New Roman" w:cs="Arial"/>
                <w:b/>
                <w:color w:val="000000"/>
                <w:lang w:eastAsia="en-GB"/>
              </w:rPr>
              <w:t>(1,921)</w:t>
            </w:r>
          </w:p>
        </w:tc>
      </w:tr>
      <w:tr w:rsidRPr="00614894" w:rsidR="00050355" w:rsidTr="00050355" w14:paraId="19E37908" w14:textId="77777777">
        <w:trPr>
          <w:trHeight w:val="290"/>
        </w:trPr>
        <w:tc>
          <w:tcPr>
            <w:tcW w:w="4248" w:type="dxa"/>
            <w:tcBorders>
              <w:top w:val="nil"/>
              <w:left w:val="single" w:color="auto" w:sz="4" w:space="0"/>
              <w:bottom w:val="nil"/>
              <w:right w:val="nil"/>
            </w:tcBorders>
            <w:shd w:val="clear" w:color="auto" w:fill="auto"/>
            <w:noWrap/>
            <w:vAlign w:val="bottom"/>
            <w:hideMark/>
          </w:tcPr>
          <w:p w:rsidRPr="00050355" w:rsidR="00050355" w:rsidP="00566C9E" w:rsidRDefault="00050355" w14:paraId="08D039E8" w14:textId="77777777">
            <w:pPr>
              <w:spacing w:after="0" w:line="240" w:lineRule="auto"/>
              <w:rPr>
                <w:rFonts w:eastAsia="Times New Roman" w:cs="Arial"/>
                <w:color w:val="000000"/>
                <w:lang w:eastAsia="en-GB"/>
              </w:rPr>
            </w:pPr>
            <w:r w:rsidRPr="00050355">
              <w:rPr>
                <w:rFonts w:eastAsia="Times New Roman" w:cs="Arial"/>
                <w:color w:val="000000"/>
                <w:lang w:eastAsia="en-GB"/>
              </w:rPr>
              <w:t xml:space="preserve">Repayment of Prior Year Underspend </w:t>
            </w:r>
          </w:p>
        </w:tc>
        <w:tc>
          <w:tcPr>
            <w:tcW w:w="1275" w:type="dxa"/>
            <w:tcBorders>
              <w:top w:val="nil"/>
              <w:left w:val="nil"/>
              <w:bottom w:val="nil"/>
              <w:right w:val="nil"/>
            </w:tcBorders>
            <w:shd w:val="clear" w:color="auto" w:fill="auto"/>
            <w:noWrap/>
            <w:vAlign w:val="bottom"/>
            <w:hideMark/>
          </w:tcPr>
          <w:p w:rsidRPr="00050355" w:rsidR="00050355" w:rsidP="00566C9E" w:rsidRDefault="00050355" w14:paraId="374A39F2" w14:textId="77777777">
            <w:pPr>
              <w:spacing w:after="0" w:line="240" w:lineRule="auto"/>
              <w:rPr>
                <w:rFonts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050355" w:rsidR="00050355" w:rsidP="00566C9E" w:rsidRDefault="00050355" w14:paraId="359DC963" w14:textId="77777777">
            <w:pPr>
              <w:spacing w:after="0" w:line="240" w:lineRule="auto"/>
              <w:rPr>
                <w:rFonts w:eastAsia="Times New Roman" w:cs="Arial"/>
                <w:lang w:eastAsia="en-GB"/>
              </w:rPr>
            </w:pPr>
          </w:p>
        </w:tc>
        <w:tc>
          <w:tcPr>
            <w:tcW w:w="1559" w:type="dxa"/>
            <w:tcBorders>
              <w:top w:val="nil"/>
              <w:left w:val="nil"/>
              <w:bottom w:val="nil"/>
              <w:right w:val="nil"/>
            </w:tcBorders>
            <w:shd w:val="clear" w:color="auto" w:fill="auto"/>
            <w:noWrap/>
            <w:vAlign w:val="bottom"/>
            <w:hideMark/>
          </w:tcPr>
          <w:p w:rsidRPr="00050355" w:rsidR="00050355" w:rsidP="00050355" w:rsidRDefault="00050355" w14:paraId="1DF4CF14" w14:textId="7421AC0E">
            <w:pPr>
              <w:spacing w:after="0" w:line="240" w:lineRule="auto"/>
              <w:jc w:val="right"/>
              <w:rPr>
                <w:rFonts w:eastAsia="Times New Roman" w:cs="Arial"/>
                <w:b/>
                <w:lang w:eastAsia="en-GB"/>
              </w:rPr>
            </w:pPr>
            <w:r w:rsidRPr="00050355">
              <w:rPr>
                <w:rFonts w:eastAsia="Times New Roman" w:cs="Arial"/>
                <w:b/>
                <w:lang w:eastAsia="en-GB"/>
              </w:rPr>
              <w:t>0</w:t>
            </w: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53B8F806"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7A0FE7A3"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4F365E7C" w14:textId="41EDB174">
            <w:pPr>
              <w:spacing w:after="0" w:line="240" w:lineRule="auto"/>
              <w:jc w:val="right"/>
              <w:rPr>
                <w:rFonts w:eastAsia="Times New Roman" w:cs="Arial"/>
                <w:b/>
                <w:lang w:eastAsia="en-GB"/>
              </w:rPr>
            </w:pPr>
            <w:r w:rsidRPr="00050355">
              <w:rPr>
                <w:rFonts w:eastAsia="Times New Roman" w:cs="Arial"/>
                <w:b/>
                <w:lang w:eastAsia="en-GB"/>
              </w:rPr>
              <w:t>0</w:t>
            </w:r>
          </w:p>
        </w:tc>
        <w:tc>
          <w:tcPr>
            <w:tcW w:w="1560" w:type="dxa"/>
            <w:tcBorders>
              <w:top w:val="nil"/>
              <w:left w:val="nil"/>
              <w:bottom w:val="nil"/>
              <w:right w:val="single" w:color="auto" w:sz="4" w:space="0"/>
            </w:tcBorders>
            <w:shd w:val="clear" w:color="auto" w:fill="auto"/>
            <w:noWrap/>
            <w:vAlign w:val="bottom"/>
          </w:tcPr>
          <w:p w:rsidRPr="00050355" w:rsidR="00050355" w:rsidP="00050355" w:rsidRDefault="00050355" w14:paraId="73D3A811" w14:textId="26E752E9">
            <w:pPr>
              <w:spacing w:after="0" w:line="240" w:lineRule="auto"/>
              <w:jc w:val="right"/>
              <w:rPr>
                <w:rFonts w:eastAsia="Times New Roman" w:cs="Arial"/>
                <w:b/>
                <w:color w:val="000000"/>
                <w:lang w:eastAsia="en-GB"/>
              </w:rPr>
            </w:pPr>
            <w:r w:rsidRPr="00050355">
              <w:rPr>
                <w:rFonts w:eastAsia="Times New Roman" w:cs="Arial"/>
                <w:b/>
                <w:color w:val="000000"/>
                <w:lang w:eastAsia="en-GB"/>
              </w:rPr>
              <w:t>0</w:t>
            </w:r>
          </w:p>
        </w:tc>
      </w:tr>
      <w:tr w:rsidRPr="00614894" w:rsidR="00050355" w:rsidTr="00050355" w14:paraId="54ECEB54" w14:textId="77777777">
        <w:trPr>
          <w:trHeight w:val="290"/>
        </w:trPr>
        <w:tc>
          <w:tcPr>
            <w:tcW w:w="4248" w:type="dxa"/>
            <w:tcBorders>
              <w:top w:val="nil"/>
              <w:left w:val="single" w:color="auto" w:sz="4" w:space="0"/>
              <w:bottom w:val="nil"/>
              <w:right w:val="nil"/>
            </w:tcBorders>
            <w:shd w:val="clear" w:color="auto" w:fill="auto"/>
            <w:noWrap/>
            <w:vAlign w:val="center"/>
            <w:hideMark/>
          </w:tcPr>
          <w:p w:rsidRPr="00050355" w:rsidR="00050355" w:rsidP="00566C9E" w:rsidRDefault="00050355" w14:paraId="46A6EE44" w14:textId="280CF010">
            <w:pPr>
              <w:spacing w:after="0" w:line="240" w:lineRule="auto"/>
              <w:rPr>
                <w:rFonts w:eastAsia="Times New Roman" w:cs="Arial"/>
                <w:color w:val="000000"/>
                <w:lang w:eastAsia="en-GB"/>
              </w:rPr>
            </w:pPr>
            <w:r w:rsidRPr="00050355">
              <w:rPr>
                <w:rFonts w:eastAsia="Times New Roman" w:cs="Arial"/>
                <w:color w:val="000000"/>
                <w:lang w:eastAsia="en-GB"/>
              </w:rPr>
              <w:t>Repayment of Implementation Reserve</w:t>
            </w:r>
          </w:p>
        </w:tc>
        <w:tc>
          <w:tcPr>
            <w:tcW w:w="1275" w:type="dxa"/>
            <w:tcBorders>
              <w:top w:val="nil"/>
              <w:left w:val="nil"/>
              <w:bottom w:val="nil"/>
              <w:right w:val="nil"/>
            </w:tcBorders>
            <w:shd w:val="clear" w:color="auto" w:fill="auto"/>
            <w:noWrap/>
            <w:vAlign w:val="bottom"/>
            <w:hideMark/>
          </w:tcPr>
          <w:p w:rsidRPr="00050355" w:rsidR="00050355" w:rsidP="00566C9E" w:rsidRDefault="00050355" w14:paraId="0D0F6FB0" w14:textId="77777777">
            <w:pPr>
              <w:spacing w:after="0" w:line="240" w:lineRule="auto"/>
              <w:rPr>
                <w:rFonts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050355" w:rsidR="00050355" w:rsidP="00566C9E" w:rsidRDefault="00050355" w14:paraId="243C6345" w14:textId="77777777">
            <w:pPr>
              <w:spacing w:after="0" w:line="240" w:lineRule="auto"/>
              <w:rPr>
                <w:rFonts w:eastAsia="Times New Roman" w:cs="Arial"/>
                <w:lang w:eastAsia="en-GB"/>
              </w:rPr>
            </w:pPr>
          </w:p>
        </w:tc>
        <w:tc>
          <w:tcPr>
            <w:tcW w:w="1559" w:type="dxa"/>
            <w:tcBorders>
              <w:top w:val="nil"/>
              <w:left w:val="nil"/>
              <w:bottom w:val="nil"/>
              <w:right w:val="nil"/>
            </w:tcBorders>
            <w:shd w:val="clear" w:color="auto" w:fill="auto"/>
            <w:noWrap/>
            <w:vAlign w:val="bottom"/>
            <w:hideMark/>
          </w:tcPr>
          <w:p w:rsidRPr="00050355" w:rsidR="00050355" w:rsidP="00050355" w:rsidRDefault="00050355" w14:paraId="4465D8B1" w14:textId="77FD6FD4">
            <w:pPr>
              <w:spacing w:after="0" w:line="240" w:lineRule="auto"/>
              <w:jc w:val="right"/>
              <w:rPr>
                <w:rFonts w:eastAsia="Times New Roman" w:cs="Arial"/>
                <w:b/>
                <w:lang w:eastAsia="en-GB"/>
              </w:rPr>
            </w:pPr>
            <w:r w:rsidRPr="00050355">
              <w:rPr>
                <w:rFonts w:eastAsia="Times New Roman" w:cs="Arial"/>
                <w:b/>
                <w:lang w:eastAsia="en-GB"/>
              </w:rPr>
              <w:t>0</w:t>
            </w: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1236E328"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5EB53BBD"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69C1A311" w14:textId="20C8D1B9">
            <w:pPr>
              <w:spacing w:after="0" w:line="240" w:lineRule="auto"/>
              <w:jc w:val="right"/>
              <w:rPr>
                <w:rFonts w:eastAsia="Times New Roman" w:cs="Arial"/>
                <w:b/>
                <w:lang w:eastAsia="en-GB"/>
              </w:rPr>
            </w:pPr>
            <w:r w:rsidRPr="00050355">
              <w:rPr>
                <w:rFonts w:eastAsia="Times New Roman" w:cs="Arial"/>
                <w:b/>
                <w:lang w:eastAsia="en-GB"/>
              </w:rPr>
              <w:t>0</w:t>
            </w:r>
          </w:p>
        </w:tc>
        <w:tc>
          <w:tcPr>
            <w:tcW w:w="1560" w:type="dxa"/>
            <w:tcBorders>
              <w:top w:val="nil"/>
              <w:left w:val="nil"/>
              <w:bottom w:val="nil"/>
              <w:right w:val="single" w:color="auto" w:sz="4" w:space="0"/>
            </w:tcBorders>
            <w:shd w:val="clear" w:color="auto" w:fill="auto"/>
            <w:noWrap/>
            <w:vAlign w:val="bottom"/>
          </w:tcPr>
          <w:p w:rsidRPr="00050355" w:rsidR="00050355" w:rsidP="00050355" w:rsidRDefault="00050355" w14:paraId="4499A21C" w14:textId="0066B4F3">
            <w:pPr>
              <w:spacing w:after="0" w:line="240" w:lineRule="auto"/>
              <w:jc w:val="right"/>
              <w:rPr>
                <w:rFonts w:eastAsia="Times New Roman" w:cs="Arial"/>
                <w:b/>
                <w:color w:val="000000"/>
                <w:lang w:eastAsia="en-GB"/>
              </w:rPr>
            </w:pPr>
            <w:r w:rsidRPr="00050355">
              <w:rPr>
                <w:rFonts w:eastAsia="Times New Roman" w:cs="Arial"/>
                <w:b/>
                <w:color w:val="000000"/>
                <w:lang w:eastAsia="en-GB"/>
              </w:rPr>
              <w:t>0</w:t>
            </w:r>
          </w:p>
        </w:tc>
      </w:tr>
      <w:tr w:rsidRPr="00614894" w:rsidR="00050355" w:rsidTr="00050355" w14:paraId="146E9466" w14:textId="77777777">
        <w:trPr>
          <w:trHeight w:val="290"/>
        </w:trPr>
        <w:tc>
          <w:tcPr>
            <w:tcW w:w="4248" w:type="dxa"/>
            <w:tcBorders>
              <w:top w:val="nil"/>
              <w:left w:val="single" w:color="auto" w:sz="4" w:space="0"/>
              <w:bottom w:val="nil"/>
              <w:right w:val="nil"/>
            </w:tcBorders>
            <w:shd w:val="clear" w:color="auto" w:fill="auto"/>
            <w:noWrap/>
            <w:vAlign w:val="bottom"/>
            <w:hideMark/>
          </w:tcPr>
          <w:p w:rsidRPr="00050355" w:rsidR="00050355" w:rsidP="00265177" w:rsidRDefault="00050355" w14:paraId="200CE995" w14:textId="15DC0B36">
            <w:pPr>
              <w:spacing w:after="0" w:line="240" w:lineRule="auto"/>
              <w:rPr>
                <w:rFonts w:eastAsia="Times New Roman" w:cs="Arial"/>
                <w:color w:val="000000"/>
                <w:lang w:eastAsia="en-GB"/>
              </w:rPr>
            </w:pPr>
            <w:r w:rsidRPr="00050355">
              <w:rPr>
                <w:rFonts w:eastAsia="Times New Roman" w:cs="Arial"/>
                <w:color w:val="000000"/>
                <w:lang w:eastAsia="en-GB"/>
              </w:rPr>
              <w:t>Pension Interest Payable (</w:t>
            </w:r>
            <w:r w:rsidRPr="00050355">
              <w:rPr>
                <w:rFonts w:eastAsia="Times New Roman" w:cs="Arial"/>
                <w:b/>
                <w:bCs/>
                <w:color w:val="000000"/>
                <w:lang w:eastAsia="en-GB"/>
              </w:rPr>
              <w:t>Note 24</w:t>
            </w:r>
            <w:r w:rsidRPr="00050355">
              <w:rPr>
                <w:rFonts w:eastAsia="Times New Roman" w:cs="Arial"/>
                <w:color w:val="000000"/>
                <w:lang w:eastAsia="en-GB"/>
              </w:rPr>
              <w:t>)</w:t>
            </w:r>
          </w:p>
        </w:tc>
        <w:tc>
          <w:tcPr>
            <w:tcW w:w="1275" w:type="dxa"/>
            <w:tcBorders>
              <w:top w:val="nil"/>
              <w:left w:val="nil"/>
              <w:bottom w:val="nil"/>
              <w:right w:val="nil"/>
            </w:tcBorders>
            <w:shd w:val="clear" w:color="auto" w:fill="auto"/>
            <w:noWrap/>
            <w:vAlign w:val="bottom"/>
            <w:hideMark/>
          </w:tcPr>
          <w:p w:rsidRPr="00050355" w:rsidR="00050355" w:rsidP="00566C9E" w:rsidRDefault="00050355" w14:paraId="2A69BA78" w14:textId="77777777">
            <w:pPr>
              <w:spacing w:after="0" w:line="240" w:lineRule="auto"/>
              <w:rPr>
                <w:rFonts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050355" w:rsidR="00050355" w:rsidP="00566C9E" w:rsidRDefault="00050355" w14:paraId="3523500E" w14:textId="77777777">
            <w:pPr>
              <w:spacing w:after="0" w:line="240" w:lineRule="auto"/>
              <w:rPr>
                <w:rFonts w:eastAsia="Times New Roman" w:cs="Arial"/>
                <w:lang w:eastAsia="en-GB"/>
              </w:rPr>
            </w:pPr>
          </w:p>
        </w:tc>
        <w:tc>
          <w:tcPr>
            <w:tcW w:w="1559" w:type="dxa"/>
            <w:tcBorders>
              <w:top w:val="nil"/>
              <w:left w:val="nil"/>
              <w:bottom w:val="nil"/>
              <w:right w:val="nil"/>
            </w:tcBorders>
            <w:shd w:val="clear" w:color="auto" w:fill="auto"/>
            <w:noWrap/>
            <w:vAlign w:val="bottom"/>
            <w:hideMark/>
          </w:tcPr>
          <w:p w:rsidRPr="00050355" w:rsidR="00050355" w:rsidP="00050355" w:rsidRDefault="00050355" w14:paraId="22FDA824" w14:textId="32AE2DF5">
            <w:pPr>
              <w:spacing w:after="0" w:line="240" w:lineRule="auto"/>
              <w:jc w:val="right"/>
              <w:rPr>
                <w:rFonts w:eastAsia="Times New Roman" w:cs="Arial"/>
                <w:b/>
                <w:lang w:eastAsia="en-GB"/>
              </w:rPr>
            </w:pPr>
            <w:r w:rsidRPr="00050355">
              <w:rPr>
                <w:rFonts w:eastAsia="Times New Roman" w:cs="Arial"/>
                <w:b/>
                <w:lang w:eastAsia="en-GB"/>
              </w:rPr>
              <w:t>90</w:t>
            </w: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78283980"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3A32EE31"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050355" w:rsidR="00050355" w:rsidP="00050355" w:rsidRDefault="00050355" w14:paraId="4EE8B008" w14:textId="75207126">
            <w:pPr>
              <w:spacing w:after="0" w:line="240" w:lineRule="auto"/>
              <w:jc w:val="right"/>
              <w:rPr>
                <w:rFonts w:eastAsia="Times New Roman" w:cs="Arial"/>
                <w:b/>
                <w:lang w:eastAsia="en-GB"/>
              </w:rPr>
            </w:pPr>
            <w:r w:rsidRPr="00050355">
              <w:rPr>
                <w:rFonts w:eastAsia="Times New Roman" w:cs="Arial"/>
                <w:b/>
                <w:lang w:eastAsia="en-GB"/>
              </w:rPr>
              <w:t>0</w:t>
            </w:r>
          </w:p>
        </w:tc>
        <w:tc>
          <w:tcPr>
            <w:tcW w:w="1560" w:type="dxa"/>
            <w:tcBorders>
              <w:top w:val="nil"/>
              <w:left w:val="nil"/>
              <w:bottom w:val="nil"/>
              <w:right w:val="single" w:color="auto" w:sz="4" w:space="0"/>
            </w:tcBorders>
            <w:shd w:val="clear" w:color="auto" w:fill="auto"/>
            <w:noWrap/>
            <w:vAlign w:val="bottom"/>
          </w:tcPr>
          <w:p w:rsidRPr="00050355" w:rsidR="00050355" w:rsidP="00050355" w:rsidRDefault="00050355" w14:paraId="4FB601C4" w14:textId="1CE65644">
            <w:pPr>
              <w:spacing w:after="0" w:line="240" w:lineRule="auto"/>
              <w:jc w:val="right"/>
              <w:rPr>
                <w:rFonts w:eastAsia="Times New Roman" w:cs="Arial"/>
                <w:b/>
                <w:color w:val="000000"/>
                <w:lang w:eastAsia="en-GB"/>
              </w:rPr>
            </w:pPr>
            <w:r w:rsidRPr="00050355">
              <w:rPr>
                <w:rFonts w:eastAsia="Times New Roman" w:cs="Arial"/>
                <w:b/>
                <w:color w:val="000000"/>
                <w:lang w:eastAsia="en-GB"/>
              </w:rPr>
              <w:t>90</w:t>
            </w:r>
          </w:p>
        </w:tc>
      </w:tr>
      <w:tr w:rsidRPr="00614894" w:rsidR="00050355" w:rsidTr="00050355" w14:paraId="251E4DBF" w14:textId="77777777">
        <w:trPr>
          <w:trHeight w:val="290"/>
        </w:trPr>
        <w:tc>
          <w:tcPr>
            <w:tcW w:w="5523" w:type="dxa"/>
            <w:gridSpan w:val="2"/>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050355" w:rsidR="00050355" w:rsidP="00566C9E" w:rsidRDefault="00050355" w14:paraId="713FB883" w14:textId="77777777">
            <w:pPr>
              <w:spacing w:after="0" w:line="240" w:lineRule="auto"/>
              <w:rPr>
                <w:rFonts w:eastAsia="Times New Roman" w:cs="Arial"/>
                <w:b/>
                <w:bCs/>
                <w:color w:val="000000"/>
                <w:lang w:eastAsia="en-GB"/>
              </w:rPr>
            </w:pPr>
            <w:r w:rsidRPr="00050355">
              <w:rPr>
                <w:rFonts w:eastAsia="Times New Roman" w:cs="Arial"/>
                <w:b/>
                <w:bCs/>
                <w:color w:val="000000"/>
                <w:lang w:eastAsia="en-GB"/>
              </w:rPr>
              <w:t>Financing &amp; Investment Income &amp; Expenditure</w:t>
            </w:r>
          </w:p>
        </w:tc>
        <w:tc>
          <w:tcPr>
            <w:tcW w:w="1276"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566C9E" w:rsidRDefault="00050355" w14:paraId="349660EB" w14:textId="77777777">
            <w:pPr>
              <w:spacing w:after="0" w:line="240" w:lineRule="auto"/>
              <w:rPr>
                <w:rFonts w:eastAsia="Times New Roman" w:cs="Arial"/>
                <w:b/>
                <w:bCs/>
                <w:color w:val="000000"/>
                <w:lang w:eastAsia="en-GB"/>
              </w:rPr>
            </w:pPr>
            <w:r w:rsidRPr="00050355">
              <w:rPr>
                <w:rFonts w:eastAsia="Times New Roman" w:cs="Arial"/>
                <w:b/>
                <w:bCs/>
                <w:color w:val="000000"/>
                <w:lang w:eastAsia="en-GB"/>
              </w:rPr>
              <w:t> </w:t>
            </w:r>
          </w:p>
        </w:tc>
        <w:tc>
          <w:tcPr>
            <w:tcW w:w="1559"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050355" w:rsidRDefault="00050355" w14:paraId="0A0B986F" w14:textId="4FDF1EA9">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90</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050355" w:rsidRDefault="00050355" w14:paraId="79E39B22" w14:textId="77777777">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 </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050355" w:rsidRDefault="00050355" w14:paraId="2BC36C20" w14:textId="77777777">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 </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050355" w:rsidRDefault="00050355" w14:paraId="0317DC5F" w14:textId="51120983">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 (1,921)</w:t>
            </w:r>
          </w:p>
        </w:tc>
        <w:tc>
          <w:tcPr>
            <w:tcW w:w="1560"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050355" w:rsidR="00050355" w:rsidP="00050355" w:rsidRDefault="00050355" w14:paraId="456DECB2" w14:textId="7C6BF42B">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(1,831)</w:t>
            </w:r>
          </w:p>
        </w:tc>
      </w:tr>
      <w:tr w:rsidRPr="00614894" w:rsidR="00050355" w:rsidTr="00050355" w14:paraId="7B71619E" w14:textId="77777777">
        <w:trPr>
          <w:trHeight w:val="300"/>
        </w:trPr>
        <w:tc>
          <w:tcPr>
            <w:tcW w:w="4248"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050355" w:rsidR="00050355" w:rsidP="00566C9E" w:rsidRDefault="00050355" w14:paraId="16996424" w14:textId="77777777">
            <w:pPr>
              <w:spacing w:after="0" w:line="240" w:lineRule="auto"/>
              <w:rPr>
                <w:rFonts w:eastAsia="Times New Roman" w:cs="Arial"/>
                <w:b/>
                <w:bCs/>
                <w:color w:val="000000"/>
                <w:lang w:eastAsia="en-GB"/>
              </w:rPr>
            </w:pPr>
            <w:r w:rsidRPr="00050355">
              <w:rPr>
                <w:rFonts w:eastAsia="Times New Roman" w:cs="Arial"/>
                <w:b/>
                <w:bCs/>
                <w:color w:val="000000"/>
                <w:lang w:eastAsia="en-GB"/>
              </w:rPr>
              <w:t>(Surplus)/Deficit on Provision of Services</w:t>
            </w:r>
          </w:p>
        </w:tc>
        <w:tc>
          <w:tcPr>
            <w:tcW w:w="1275"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566C9E" w:rsidRDefault="00050355" w14:paraId="15A3850F" w14:textId="77777777">
            <w:pPr>
              <w:spacing w:after="0" w:line="240" w:lineRule="auto"/>
              <w:rPr>
                <w:rFonts w:eastAsia="Times New Roman" w:cs="Arial"/>
                <w:b/>
                <w:bCs/>
                <w:color w:val="000000"/>
                <w:lang w:eastAsia="en-GB"/>
              </w:rPr>
            </w:pPr>
            <w:r w:rsidRPr="00050355">
              <w:rPr>
                <w:rFonts w:eastAsia="Times New Roman" w:cs="Arial"/>
                <w:b/>
                <w:bCs/>
                <w:color w:val="000000"/>
                <w:lang w:eastAsia="en-GB"/>
              </w:rPr>
              <w:t> </w:t>
            </w:r>
          </w:p>
        </w:tc>
        <w:tc>
          <w:tcPr>
            <w:tcW w:w="1276"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566C9E" w:rsidRDefault="00050355" w14:paraId="3D344AF8" w14:textId="77777777">
            <w:pPr>
              <w:spacing w:after="0" w:line="240" w:lineRule="auto"/>
              <w:rPr>
                <w:rFonts w:eastAsia="Times New Roman" w:cs="Arial"/>
                <w:b/>
                <w:bCs/>
                <w:color w:val="000000"/>
                <w:lang w:eastAsia="en-GB"/>
              </w:rPr>
            </w:pPr>
            <w:r w:rsidRPr="00050355">
              <w:rPr>
                <w:rFonts w:eastAsia="Times New Roman" w:cs="Arial"/>
                <w:b/>
                <w:bCs/>
                <w:color w:val="000000"/>
                <w:lang w:eastAsia="en-GB"/>
              </w:rPr>
              <w:t> </w:t>
            </w:r>
          </w:p>
        </w:tc>
        <w:tc>
          <w:tcPr>
            <w:tcW w:w="1559"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050355" w:rsidRDefault="00050355" w14:paraId="46B1BCAE" w14:textId="367AE456">
            <w:pPr>
              <w:spacing w:after="0" w:line="240" w:lineRule="auto"/>
              <w:jc w:val="right"/>
              <w:rPr>
                <w:rFonts w:eastAsia="Times New Roman" w:cs="Arial"/>
                <w:b/>
                <w:color w:val="000000"/>
                <w:lang w:eastAsia="en-GB"/>
              </w:rPr>
            </w:pPr>
            <w:r w:rsidRPr="00050355">
              <w:rPr>
                <w:rFonts w:eastAsia="Times New Roman" w:cs="Arial"/>
                <w:b/>
                <w:color w:val="000000"/>
                <w:lang w:eastAsia="en-GB"/>
              </w:rPr>
              <w:t>2,99</w:t>
            </w:r>
            <w:r w:rsidR="00C23C47">
              <w:rPr>
                <w:rFonts w:eastAsia="Times New Roman" w:cs="Arial"/>
                <w:b/>
                <w:color w:val="000000"/>
                <w:lang w:eastAsia="en-GB"/>
              </w:rPr>
              <w:t>1</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050355" w:rsidRDefault="00050355" w14:paraId="2BA02A4A" w14:textId="77777777">
            <w:pPr>
              <w:spacing w:after="0" w:line="240" w:lineRule="auto"/>
              <w:jc w:val="right"/>
              <w:rPr>
                <w:rFonts w:eastAsia="Times New Roman" w:cs="Arial"/>
                <w:color w:val="000000"/>
                <w:lang w:eastAsia="en-GB"/>
              </w:rPr>
            </w:pPr>
            <w:r w:rsidRPr="00050355">
              <w:rPr>
                <w:rFonts w:eastAsia="Times New Roman" w:cs="Arial"/>
                <w:color w:val="000000"/>
                <w:lang w:eastAsia="en-GB"/>
              </w:rPr>
              <w:t> </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050355" w:rsidRDefault="00050355" w14:paraId="3A8332DF" w14:textId="77777777">
            <w:pPr>
              <w:spacing w:after="0" w:line="240" w:lineRule="auto"/>
              <w:jc w:val="right"/>
              <w:rPr>
                <w:rFonts w:eastAsia="Times New Roman" w:cs="Arial"/>
                <w:color w:val="000000"/>
                <w:lang w:eastAsia="en-GB"/>
              </w:rPr>
            </w:pPr>
            <w:r w:rsidRPr="00050355">
              <w:rPr>
                <w:rFonts w:eastAsia="Times New Roman" w:cs="Arial"/>
                <w:color w:val="000000"/>
                <w:lang w:eastAsia="en-GB"/>
              </w:rPr>
              <w:t> </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050355" w:rsidR="00050355" w:rsidP="00050355" w:rsidRDefault="00050355" w14:paraId="5643749F" w14:textId="40DED7F0">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(2,578)</w:t>
            </w:r>
          </w:p>
        </w:tc>
        <w:tc>
          <w:tcPr>
            <w:tcW w:w="1560"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050355" w:rsidR="00050355" w:rsidP="00050355" w:rsidRDefault="00050355" w14:paraId="74DDC8E8" w14:textId="614E8F8D">
            <w:pPr>
              <w:spacing w:after="0" w:line="240" w:lineRule="auto"/>
              <w:jc w:val="right"/>
              <w:rPr>
                <w:rFonts w:eastAsia="Times New Roman" w:cs="Arial"/>
                <w:b/>
                <w:bCs/>
                <w:color w:val="000000"/>
                <w:lang w:eastAsia="en-GB"/>
              </w:rPr>
            </w:pPr>
            <w:r w:rsidRPr="00050355">
              <w:rPr>
                <w:rFonts w:eastAsia="Times New Roman" w:cs="Arial"/>
                <w:b/>
                <w:bCs/>
                <w:color w:val="000000"/>
                <w:lang w:eastAsia="en-GB"/>
              </w:rPr>
              <w:t>41</w:t>
            </w:r>
            <w:r w:rsidR="00C23C47">
              <w:rPr>
                <w:rFonts w:eastAsia="Times New Roman" w:cs="Arial"/>
                <w:b/>
                <w:bCs/>
                <w:color w:val="000000"/>
                <w:lang w:eastAsia="en-GB"/>
              </w:rPr>
              <w:t>3</w:t>
            </w:r>
          </w:p>
        </w:tc>
      </w:tr>
    </w:tbl>
    <w:p w:rsidRPr="00050355" w:rsidR="00467BBE" w:rsidP="00467BBE" w:rsidRDefault="00467BBE" w14:paraId="47BAD59F" w14:textId="77777777">
      <w:pPr>
        <w:pStyle w:val="Heading2"/>
      </w:pPr>
      <w:bookmarkStart w:name="_Ref81818718" w:id="33"/>
      <w:r w:rsidRPr="00050355">
        <w:rPr>
          <w:lang w:eastAsia="en-GB"/>
        </w:rPr>
        <w:t>Note to the Comprehensive Income and Expenditure Statement</w:t>
      </w:r>
      <w:bookmarkEnd w:id="33"/>
      <w:r w:rsidRPr="00050355">
        <w:rPr>
          <w:lang w:eastAsia="en-GB"/>
        </w:rPr>
        <w:t xml:space="preserve"> </w:t>
      </w:r>
    </w:p>
    <w:p w:rsidRPr="00614894" w:rsidR="00760F2F" w:rsidRDefault="00760F2F" w14:paraId="14AF8047" w14:textId="4EDDDACA">
      <w:pPr>
        <w:rPr>
          <w:highlight w:val="yellow"/>
        </w:rPr>
      </w:pPr>
    </w:p>
    <w:p w:rsidRPr="00614894" w:rsidR="001B30AB" w:rsidRDefault="001B30AB" w14:paraId="2BD08073" w14:textId="4DCD8BD1">
      <w:pPr>
        <w:rPr>
          <w:highlight w:val="yellow"/>
        </w:rPr>
      </w:pPr>
    </w:p>
    <w:p w:rsidRPr="00614894" w:rsidR="001B30AB" w:rsidRDefault="001B30AB" w14:paraId="6179B481" w14:textId="77777777">
      <w:pPr>
        <w:rPr>
          <w:highlight w:val="yellow"/>
        </w:rPr>
      </w:pPr>
    </w:p>
    <w:p w:rsidR="00A3053B" w:rsidRDefault="00A3053B" w14:paraId="545AFC02" w14:textId="77777777">
      <w:pPr>
        <w:rPr>
          <w:highlight w:val="yellow"/>
        </w:rPr>
      </w:pPr>
    </w:p>
    <w:p w:rsidRPr="00050355" w:rsidR="00050355" w:rsidP="00050355" w:rsidRDefault="00050355" w14:paraId="191EEBF3" w14:textId="77777777">
      <w:pPr>
        <w:rPr>
          <w:rFonts w:cs="Arial"/>
          <w:highlight w:val="yellow"/>
        </w:rPr>
      </w:pPr>
    </w:p>
    <w:p w:rsidRPr="00050355" w:rsidR="00050355" w:rsidP="00050355" w:rsidRDefault="00050355" w14:paraId="27AA6E92" w14:textId="77777777">
      <w:pPr>
        <w:rPr>
          <w:rFonts w:cs="Arial"/>
          <w:highlight w:val="yellow"/>
        </w:rPr>
      </w:pPr>
    </w:p>
    <w:p w:rsidRPr="00050355" w:rsidR="00050355" w:rsidP="00050355" w:rsidRDefault="00050355" w14:paraId="2837DBDE" w14:textId="77777777">
      <w:pPr>
        <w:rPr>
          <w:rFonts w:cs="Arial"/>
          <w:highlight w:val="yellow"/>
        </w:rPr>
      </w:pPr>
    </w:p>
    <w:p w:rsidRPr="00050355" w:rsidR="00050355" w:rsidP="00050355" w:rsidRDefault="00050355" w14:paraId="09098425" w14:textId="77777777">
      <w:pPr>
        <w:rPr>
          <w:rFonts w:cs="Arial"/>
          <w:highlight w:val="yellow"/>
        </w:rPr>
      </w:pPr>
    </w:p>
    <w:p w:rsidRPr="00050355" w:rsidR="00050355" w:rsidP="00050355" w:rsidRDefault="00050355" w14:paraId="431C1114" w14:textId="77777777">
      <w:pPr>
        <w:rPr>
          <w:rFonts w:cs="Arial"/>
          <w:highlight w:val="yellow"/>
        </w:rPr>
      </w:pPr>
    </w:p>
    <w:p w:rsidRPr="00050355" w:rsidR="00050355" w:rsidP="00050355" w:rsidRDefault="00050355" w14:paraId="60716491" w14:textId="77777777">
      <w:pPr>
        <w:rPr>
          <w:rFonts w:cs="Arial"/>
          <w:highlight w:val="yellow"/>
        </w:rPr>
      </w:pPr>
    </w:p>
    <w:p w:rsidRPr="00050355" w:rsidR="00050355" w:rsidP="00050355" w:rsidRDefault="00050355" w14:paraId="2946AACB" w14:textId="77777777">
      <w:pPr>
        <w:rPr>
          <w:rFonts w:cs="Arial"/>
          <w:highlight w:val="yellow"/>
        </w:rPr>
      </w:pPr>
    </w:p>
    <w:tbl>
      <w:tblPr>
        <w:tblpPr w:leftFromText="180" w:rightFromText="180" w:vertAnchor="page" w:tblpX="-147" w:tblpY="2547"/>
        <w:tblW w:w="13320" w:type="dxa"/>
        <w:tblLook w:val="04A0" w:firstRow="1" w:lastRow="0" w:firstColumn="1" w:lastColumn="0" w:noHBand="0" w:noVBand="1"/>
      </w:tblPr>
      <w:tblGrid>
        <w:gridCol w:w="4248"/>
        <w:gridCol w:w="1275"/>
        <w:gridCol w:w="1276"/>
        <w:gridCol w:w="1559"/>
        <w:gridCol w:w="1134"/>
        <w:gridCol w:w="1134"/>
        <w:gridCol w:w="1134"/>
        <w:gridCol w:w="1560"/>
      </w:tblGrid>
      <w:tr w:rsidRPr="00614894" w:rsidR="00050355" w:rsidTr="00C65763" w14:paraId="62959C88" w14:textId="77777777">
        <w:trPr>
          <w:trHeight w:val="290"/>
        </w:trPr>
        <w:tc>
          <w:tcPr>
            <w:tcW w:w="4248" w:type="dxa"/>
            <w:tcBorders>
              <w:top w:val="single" w:color="auto" w:sz="4" w:space="0"/>
              <w:left w:val="single" w:color="auto" w:sz="4" w:space="0"/>
              <w:bottom w:val="nil"/>
              <w:right w:val="nil"/>
            </w:tcBorders>
            <w:shd w:val="clear" w:color="auto" w:fill="DBE5F1" w:themeFill="accent1" w:themeFillTint="33"/>
            <w:noWrap/>
            <w:vAlign w:val="bottom"/>
            <w:hideMark/>
          </w:tcPr>
          <w:p w:rsidRPr="00050355" w:rsidR="00050355" w:rsidP="00C65763" w:rsidRDefault="00050355" w14:paraId="123BED5E" w14:textId="5869C380">
            <w:pPr>
              <w:spacing w:after="0" w:line="240" w:lineRule="auto"/>
              <w:rPr>
                <w:rFonts w:eastAsia="Times New Roman" w:cs="Arial"/>
                <w:b/>
                <w:color w:val="000000"/>
                <w:lang w:eastAsia="en-GB"/>
              </w:rPr>
            </w:pPr>
            <w:r w:rsidRPr="00050355">
              <w:rPr>
                <w:rFonts w:eastAsia="Times New Roman" w:cs="Arial"/>
                <w:color w:val="000000"/>
                <w:lang w:eastAsia="en-GB"/>
              </w:rPr>
              <w:lastRenderedPageBreak/>
              <w:t> </w:t>
            </w:r>
            <w:r w:rsidRPr="00050355">
              <w:rPr>
                <w:rFonts w:eastAsia="Times New Roman" w:cs="Arial"/>
                <w:b/>
                <w:color w:val="000000"/>
                <w:lang w:eastAsia="en-GB"/>
              </w:rPr>
              <w:t>202</w:t>
            </w:r>
            <w:r>
              <w:rPr>
                <w:rFonts w:eastAsia="Times New Roman" w:cs="Arial"/>
                <w:b/>
                <w:color w:val="000000"/>
                <w:lang w:eastAsia="en-GB"/>
              </w:rPr>
              <w:t>1</w:t>
            </w:r>
            <w:r w:rsidRPr="00050355">
              <w:rPr>
                <w:rFonts w:eastAsia="Times New Roman" w:cs="Arial"/>
                <w:b/>
                <w:color w:val="000000"/>
                <w:lang w:eastAsia="en-GB"/>
              </w:rPr>
              <w:t>/2</w:t>
            </w:r>
            <w:r>
              <w:rPr>
                <w:rFonts w:eastAsia="Times New Roman" w:cs="Arial"/>
                <w:b/>
                <w:color w:val="000000"/>
                <w:lang w:eastAsia="en-GB"/>
              </w:rPr>
              <w:t>2</w:t>
            </w:r>
          </w:p>
        </w:tc>
        <w:tc>
          <w:tcPr>
            <w:tcW w:w="1275" w:type="dxa"/>
            <w:tcBorders>
              <w:top w:val="single" w:color="auto" w:sz="4" w:space="0"/>
              <w:left w:val="nil"/>
              <w:bottom w:val="nil"/>
              <w:right w:val="nil"/>
            </w:tcBorders>
            <w:shd w:val="clear" w:color="auto" w:fill="DBE5F1" w:themeFill="accent1" w:themeFillTint="33"/>
            <w:noWrap/>
            <w:vAlign w:val="center"/>
            <w:hideMark/>
          </w:tcPr>
          <w:p w:rsidRPr="00050355" w:rsidR="00050355" w:rsidP="00C65763" w:rsidRDefault="00050355" w14:paraId="200DE972"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Employee</w:t>
            </w:r>
          </w:p>
        </w:tc>
        <w:tc>
          <w:tcPr>
            <w:tcW w:w="1276" w:type="dxa"/>
            <w:tcBorders>
              <w:top w:val="single" w:color="auto" w:sz="4" w:space="0"/>
              <w:left w:val="nil"/>
              <w:bottom w:val="nil"/>
              <w:right w:val="nil"/>
            </w:tcBorders>
            <w:shd w:val="clear" w:color="auto" w:fill="DBE5F1" w:themeFill="accent1" w:themeFillTint="33"/>
            <w:noWrap/>
            <w:vAlign w:val="center"/>
            <w:hideMark/>
          </w:tcPr>
          <w:p w:rsidRPr="00050355" w:rsidR="00050355" w:rsidP="00C65763" w:rsidRDefault="00050355" w14:paraId="50C17A07"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Other</w:t>
            </w:r>
          </w:p>
        </w:tc>
        <w:tc>
          <w:tcPr>
            <w:tcW w:w="1559" w:type="dxa"/>
            <w:tcBorders>
              <w:top w:val="single" w:color="auto" w:sz="4" w:space="0"/>
              <w:left w:val="nil"/>
              <w:bottom w:val="nil"/>
              <w:right w:val="nil"/>
            </w:tcBorders>
            <w:shd w:val="clear" w:color="auto" w:fill="DBE5F1" w:themeFill="accent1" w:themeFillTint="33"/>
            <w:noWrap/>
            <w:vAlign w:val="center"/>
            <w:hideMark/>
          </w:tcPr>
          <w:p w:rsidRPr="00050355" w:rsidR="00050355" w:rsidP="00C65763" w:rsidRDefault="00050355" w14:paraId="2973408D"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 xml:space="preserve">Gross </w:t>
            </w:r>
          </w:p>
        </w:tc>
        <w:tc>
          <w:tcPr>
            <w:tcW w:w="1134" w:type="dxa"/>
            <w:tcBorders>
              <w:top w:val="single" w:color="auto" w:sz="4" w:space="0"/>
              <w:left w:val="nil"/>
              <w:bottom w:val="nil"/>
              <w:right w:val="nil"/>
            </w:tcBorders>
            <w:shd w:val="clear" w:color="auto" w:fill="DBE5F1" w:themeFill="accent1" w:themeFillTint="33"/>
            <w:noWrap/>
            <w:vAlign w:val="center"/>
            <w:hideMark/>
          </w:tcPr>
          <w:p w:rsidRPr="00050355" w:rsidR="00050355" w:rsidP="00C65763" w:rsidRDefault="00050355" w14:paraId="45802B2D"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 xml:space="preserve">Grant </w:t>
            </w:r>
          </w:p>
        </w:tc>
        <w:tc>
          <w:tcPr>
            <w:tcW w:w="1134" w:type="dxa"/>
            <w:tcBorders>
              <w:top w:val="single" w:color="auto" w:sz="4" w:space="0"/>
              <w:left w:val="nil"/>
              <w:bottom w:val="nil"/>
              <w:right w:val="nil"/>
            </w:tcBorders>
            <w:shd w:val="clear" w:color="auto" w:fill="DBE5F1" w:themeFill="accent1" w:themeFillTint="33"/>
            <w:noWrap/>
            <w:vAlign w:val="center"/>
            <w:hideMark/>
          </w:tcPr>
          <w:p w:rsidRPr="00050355" w:rsidR="00050355" w:rsidP="00C65763" w:rsidRDefault="00050355" w14:paraId="610541E6"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Fees &amp;</w:t>
            </w:r>
          </w:p>
        </w:tc>
        <w:tc>
          <w:tcPr>
            <w:tcW w:w="1134" w:type="dxa"/>
            <w:tcBorders>
              <w:top w:val="single" w:color="auto" w:sz="4" w:space="0"/>
              <w:left w:val="nil"/>
              <w:bottom w:val="nil"/>
              <w:right w:val="nil"/>
            </w:tcBorders>
            <w:shd w:val="clear" w:color="auto" w:fill="DBE5F1" w:themeFill="accent1" w:themeFillTint="33"/>
            <w:noWrap/>
            <w:vAlign w:val="center"/>
            <w:hideMark/>
          </w:tcPr>
          <w:p w:rsidRPr="00050355" w:rsidR="00050355" w:rsidP="00C65763" w:rsidRDefault="00050355" w14:paraId="21BE0B9E"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Gross</w:t>
            </w:r>
          </w:p>
        </w:tc>
        <w:tc>
          <w:tcPr>
            <w:tcW w:w="1560" w:type="dxa"/>
            <w:tcBorders>
              <w:top w:val="single" w:color="auto" w:sz="4" w:space="0"/>
              <w:left w:val="nil"/>
              <w:bottom w:val="nil"/>
              <w:right w:val="single" w:color="auto" w:sz="4" w:space="0"/>
            </w:tcBorders>
            <w:shd w:val="clear" w:color="auto" w:fill="DBE5F1" w:themeFill="accent1" w:themeFillTint="33"/>
            <w:noWrap/>
            <w:vAlign w:val="center"/>
            <w:hideMark/>
          </w:tcPr>
          <w:p w:rsidRPr="00050355" w:rsidR="00050355" w:rsidP="00C65763" w:rsidRDefault="00050355" w14:paraId="12D077EE"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Net</w:t>
            </w:r>
          </w:p>
        </w:tc>
      </w:tr>
      <w:tr w:rsidRPr="00614894" w:rsidR="00050355" w:rsidTr="00C65763" w14:paraId="01C54294" w14:textId="77777777">
        <w:trPr>
          <w:trHeight w:val="290"/>
        </w:trPr>
        <w:tc>
          <w:tcPr>
            <w:tcW w:w="4248" w:type="dxa"/>
            <w:tcBorders>
              <w:top w:val="nil"/>
              <w:left w:val="single" w:color="auto" w:sz="4" w:space="0"/>
              <w:bottom w:val="nil"/>
              <w:right w:val="nil"/>
            </w:tcBorders>
            <w:shd w:val="clear" w:color="auto" w:fill="DBE5F1" w:themeFill="accent1" w:themeFillTint="33"/>
            <w:noWrap/>
            <w:vAlign w:val="bottom"/>
            <w:hideMark/>
          </w:tcPr>
          <w:p w:rsidRPr="00050355" w:rsidR="00050355" w:rsidP="00C65763" w:rsidRDefault="00050355" w14:paraId="20A2FAA7" w14:textId="77777777">
            <w:pPr>
              <w:spacing w:after="0" w:line="240" w:lineRule="auto"/>
              <w:rPr>
                <w:rFonts w:eastAsia="Times New Roman" w:cs="Arial"/>
                <w:color w:val="000000"/>
                <w:lang w:eastAsia="en-GB"/>
              </w:rPr>
            </w:pPr>
            <w:r w:rsidRPr="00050355">
              <w:rPr>
                <w:rFonts w:eastAsia="Times New Roman" w:cs="Arial"/>
                <w:color w:val="000000"/>
                <w:lang w:eastAsia="en-GB"/>
              </w:rPr>
              <w:t> </w:t>
            </w:r>
          </w:p>
        </w:tc>
        <w:tc>
          <w:tcPr>
            <w:tcW w:w="1275" w:type="dxa"/>
            <w:tcBorders>
              <w:top w:val="nil"/>
              <w:left w:val="nil"/>
              <w:bottom w:val="nil"/>
              <w:right w:val="nil"/>
            </w:tcBorders>
            <w:shd w:val="clear" w:color="auto" w:fill="DBE5F1" w:themeFill="accent1" w:themeFillTint="33"/>
            <w:noWrap/>
            <w:vAlign w:val="center"/>
            <w:hideMark/>
          </w:tcPr>
          <w:p w:rsidRPr="00050355" w:rsidR="00050355" w:rsidP="00C65763" w:rsidRDefault="00050355" w14:paraId="2776AC11"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Expenses</w:t>
            </w:r>
          </w:p>
        </w:tc>
        <w:tc>
          <w:tcPr>
            <w:tcW w:w="1276" w:type="dxa"/>
            <w:tcBorders>
              <w:top w:val="nil"/>
              <w:left w:val="nil"/>
              <w:bottom w:val="nil"/>
              <w:right w:val="nil"/>
            </w:tcBorders>
            <w:shd w:val="clear" w:color="auto" w:fill="DBE5F1" w:themeFill="accent1" w:themeFillTint="33"/>
            <w:noWrap/>
            <w:vAlign w:val="center"/>
            <w:hideMark/>
          </w:tcPr>
          <w:p w:rsidRPr="00050355" w:rsidR="00050355" w:rsidP="00C65763" w:rsidRDefault="00050355" w14:paraId="0EB3C206"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Expenses</w:t>
            </w:r>
          </w:p>
        </w:tc>
        <w:tc>
          <w:tcPr>
            <w:tcW w:w="1559" w:type="dxa"/>
            <w:tcBorders>
              <w:top w:val="nil"/>
              <w:left w:val="nil"/>
              <w:bottom w:val="nil"/>
              <w:right w:val="nil"/>
            </w:tcBorders>
            <w:shd w:val="clear" w:color="auto" w:fill="DBE5F1" w:themeFill="accent1" w:themeFillTint="33"/>
            <w:noWrap/>
            <w:vAlign w:val="center"/>
            <w:hideMark/>
          </w:tcPr>
          <w:p w:rsidRPr="00050355" w:rsidR="00050355" w:rsidP="00C65763" w:rsidRDefault="00050355" w14:paraId="21271C59"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Expenditure</w:t>
            </w:r>
          </w:p>
        </w:tc>
        <w:tc>
          <w:tcPr>
            <w:tcW w:w="1134" w:type="dxa"/>
            <w:tcBorders>
              <w:top w:val="nil"/>
              <w:left w:val="nil"/>
              <w:bottom w:val="nil"/>
              <w:right w:val="nil"/>
            </w:tcBorders>
            <w:shd w:val="clear" w:color="auto" w:fill="DBE5F1" w:themeFill="accent1" w:themeFillTint="33"/>
            <w:noWrap/>
            <w:vAlign w:val="center"/>
            <w:hideMark/>
          </w:tcPr>
          <w:p w:rsidRPr="00050355" w:rsidR="00050355" w:rsidP="00C65763" w:rsidRDefault="00050355" w14:paraId="747756B3"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Income</w:t>
            </w:r>
          </w:p>
        </w:tc>
        <w:tc>
          <w:tcPr>
            <w:tcW w:w="1134" w:type="dxa"/>
            <w:tcBorders>
              <w:top w:val="nil"/>
              <w:left w:val="nil"/>
              <w:bottom w:val="nil"/>
              <w:right w:val="nil"/>
            </w:tcBorders>
            <w:shd w:val="clear" w:color="auto" w:fill="DBE5F1" w:themeFill="accent1" w:themeFillTint="33"/>
            <w:noWrap/>
            <w:vAlign w:val="center"/>
            <w:hideMark/>
          </w:tcPr>
          <w:p w:rsidRPr="00050355" w:rsidR="00050355" w:rsidP="00C65763" w:rsidRDefault="00050355" w14:paraId="2145FF19"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Charges</w:t>
            </w:r>
          </w:p>
        </w:tc>
        <w:tc>
          <w:tcPr>
            <w:tcW w:w="1134" w:type="dxa"/>
            <w:tcBorders>
              <w:top w:val="nil"/>
              <w:left w:val="nil"/>
              <w:bottom w:val="nil"/>
              <w:right w:val="nil"/>
            </w:tcBorders>
            <w:shd w:val="clear" w:color="auto" w:fill="DBE5F1" w:themeFill="accent1" w:themeFillTint="33"/>
            <w:noWrap/>
            <w:vAlign w:val="center"/>
            <w:hideMark/>
          </w:tcPr>
          <w:p w:rsidRPr="00050355" w:rsidR="00050355" w:rsidP="00C65763" w:rsidRDefault="00050355" w14:paraId="1558357B"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Income</w:t>
            </w:r>
          </w:p>
        </w:tc>
        <w:tc>
          <w:tcPr>
            <w:tcW w:w="1560" w:type="dxa"/>
            <w:tcBorders>
              <w:top w:val="nil"/>
              <w:left w:val="nil"/>
              <w:bottom w:val="nil"/>
              <w:right w:val="single" w:color="auto" w:sz="4" w:space="0"/>
            </w:tcBorders>
            <w:shd w:val="clear" w:color="auto" w:fill="DBE5F1" w:themeFill="accent1" w:themeFillTint="33"/>
            <w:noWrap/>
            <w:vAlign w:val="center"/>
            <w:hideMark/>
          </w:tcPr>
          <w:p w:rsidRPr="00050355" w:rsidR="00050355" w:rsidP="00C65763" w:rsidRDefault="00050355" w14:paraId="74086986"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Expenditure</w:t>
            </w:r>
          </w:p>
        </w:tc>
      </w:tr>
      <w:tr w:rsidRPr="00614894" w:rsidR="00050355" w:rsidTr="00C65763" w14:paraId="054ED349" w14:textId="77777777">
        <w:trPr>
          <w:trHeight w:val="290"/>
        </w:trPr>
        <w:tc>
          <w:tcPr>
            <w:tcW w:w="4248" w:type="dxa"/>
            <w:tcBorders>
              <w:top w:val="nil"/>
              <w:left w:val="single" w:color="auto" w:sz="4" w:space="0"/>
              <w:bottom w:val="single" w:color="auto" w:sz="4" w:space="0"/>
              <w:right w:val="nil"/>
            </w:tcBorders>
            <w:shd w:val="clear" w:color="auto" w:fill="DBE5F1" w:themeFill="accent1" w:themeFillTint="33"/>
            <w:noWrap/>
            <w:vAlign w:val="bottom"/>
            <w:hideMark/>
          </w:tcPr>
          <w:p w:rsidRPr="00050355" w:rsidR="00050355" w:rsidP="00C65763" w:rsidRDefault="00050355" w14:paraId="0797D5DA" w14:textId="77777777">
            <w:pPr>
              <w:spacing w:after="0" w:line="240" w:lineRule="auto"/>
              <w:rPr>
                <w:rFonts w:eastAsia="Times New Roman" w:cs="Arial"/>
                <w:color w:val="000000"/>
                <w:lang w:eastAsia="en-GB"/>
              </w:rPr>
            </w:pPr>
            <w:r w:rsidRPr="00050355">
              <w:rPr>
                <w:rFonts w:eastAsia="Times New Roman" w:cs="Arial"/>
                <w:color w:val="000000"/>
                <w:lang w:eastAsia="en-GB"/>
              </w:rPr>
              <w:t> </w:t>
            </w:r>
          </w:p>
        </w:tc>
        <w:tc>
          <w:tcPr>
            <w:tcW w:w="1275" w:type="dxa"/>
            <w:tcBorders>
              <w:top w:val="nil"/>
              <w:left w:val="nil"/>
              <w:bottom w:val="single" w:color="auto" w:sz="4" w:space="0"/>
              <w:right w:val="nil"/>
            </w:tcBorders>
            <w:shd w:val="clear" w:color="auto" w:fill="DBE5F1" w:themeFill="accent1" w:themeFillTint="33"/>
            <w:noWrap/>
            <w:vAlign w:val="center"/>
            <w:hideMark/>
          </w:tcPr>
          <w:p w:rsidRPr="00050355" w:rsidR="00050355" w:rsidP="00C65763" w:rsidRDefault="00050355" w14:paraId="66F3B482"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276" w:type="dxa"/>
            <w:tcBorders>
              <w:top w:val="nil"/>
              <w:left w:val="nil"/>
              <w:bottom w:val="single" w:color="auto" w:sz="4" w:space="0"/>
              <w:right w:val="nil"/>
            </w:tcBorders>
            <w:shd w:val="clear" w:color="auto" w:fill="DBE5F1" w:themeFill="accent1" w:themeFillTint="33"/>
            <w:noWrap/>
            <w:vAlign w:val="center"/>
            <w:hideMark/>
          </w:tcPr>
          <w:p w:rsidRPr="00050355" w:rsidR="00050355" w:rsidP="00C65763" w:rsidRDefault="00050355" w14:paraId="2E60C56C"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559" w:type="dxa"/>
            <w:tcBorders>
              <w:top w:val="nil"/>
              <w:left w:val="nil"/>
              <w:bottom w:val="single" w:color="auto" w:sz="4" w:space="0"/>
              <w:right w:val="nil"/>
            </w:tcBorders>
            <w:shd w:val="clear" w:color="auto" w:fill="DBE5F1" w:themeFill="accent1" w:themeFillTint="33"/>
            <w:noWrap/>
            <w:vAlign w:val="center"/>
            <w:hideMark/>
          </w:tcPr>
          <w:p w:rsidRPr="00050355" w:rsidR="00050355" w:rsidP="00C65763" w:rsidRDefault="00050355" w14:paraId="5182817F"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134" w:type="dxa"/>
            <w:tcBorders>
              <w:top w:val="nil"/>
              <w:left w:val="nil"/>
              <w:bottom w:val="single" w:color="auto" w:sz="4" w:space="0"/>
              <w:right w:val="nil"/>
            </w:tcBorders>
            <w:shd w:val="clear" w:color="auto" w:fill="DBE5F1" w:themeFill="accent1" w:themeFillTint="33"/>
            <w:noWrap/>
            <w:vAlign w:val="center"/>
            <w:hideMark/>
          </w:tcPr>
          <w:p w:rsidRPr="00050355" w:rsidR="00050355" w:rsidP="00C65763" w:rsidRDefault="00050355" w14:paraId="16AEC6FF"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134" w:type="dxa"/>
            <w:tcBorders>
              <w:top w:val="nil"/>
              <w:left w:val="nil"/>
              <w:bottom w:val="single" w:color="auto" w:sz="4" w:space="0"/>
              <w:right w:val="nil"/>
            </w:tcBorders>
            <w:shd w:val="clear" w:color="auto" w:fill="DBE5F1" w:themeFill="accent1" w:themeFillTint="33"/>
            <w:noWrap/>
            <w:vAlign w:val="center"/>
            <w:hideMark/>
          </w:tcPr>
          <w:p w:rsidRPr="00050355" w:rsidR="00050355" w:rsidP="00C65763" w:rsidRDefault="00050355" w14:paraId="4A14E0A7"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134" w:type="dxa"/>
            <w:tcBorders>
              <w:top w:val="nil"/>
              <w:left w:val="nil"/>
              <w:bottom w:val="single" w:color="auto" w:sz="4" w:space="0"/>
              <w:right w:val="nil"/>
            </w:tcBorders>
            <w:shd w:val="clear" w:color="auto" w:fill="DBE5F1" w:themeFill="accent1" w:themeFillTint="33"/>
            <w:noWrap/>
            <w:vAlign w:val="center"/>
            <w:hideMark/>
          </w:tcPr>
          <w:p w:rsidRPr="00050355" w:rsidR="00050355" w:rsidP="00C65763" w:rsidRDefault="00050355" w14:paraId="1DFB5377"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c>
          <w:tcPr>
            <w:tcW w:w="1560" w:type="dxa"/>
            <w:tcBorders>
              <w:top w:val="nil"/>
              <w:left w:val="nil"/>
              <w:bottom w:val="single" w:color="auto" w:sz="4" w:space="0"/>
              <w:right w:val="single" w:color="auto" w:sz="4" w:space="0"/>
            </w:tcBorders>
            <w:shd w:val="clear" w:color="auto" w:fill="DBE5F1" w:themeFill="accent1" w:themeFillTint="33"/>
            <w:noWrap/>
            <w:vAlign w:val="center"/>
            <w:hideMark/>
          </w:tcPr>
          <w:p w:rsidRPr="00050355" w:rsidR="00050355" w:rsidP="00C65763" w:rsidRDefault="00050355" w14:paraId="4DBDCC2E" w14:textId="77777777">
            <w:pPr>
              <w:spacing w:after="0" w:line="240" w:lineRule="auto"/>
              <w:jc w:val="center"/>
              <w:rPr>
                <w:rFonts w:eastAsia="Times New Roman" w:cs="Arial"/>
                <w:b/>
                <w:bCs/>
                <w:color w:val="000000"/>
                <w:lang w:eastAsia="en-GB"/>
              </w:rPr>
            </w:pPr>
            <w:r w:rsidRPr="00050355">
              <w:rPr>
                <w:rFonts w:eastAsia="Times New Roman" w:cs="Arial"/>
                <w:b/>
                <w:bCs/>
                <w:color w:val="000000"/>
                <w:lang w:eastAsia="en-GB"/>
              </w:rPr>
              <w:t>£'000</w:t>
            </w:r>
          </w:p>
        </w:tc>
      </w:tr>
      <w:tr w:rsidRPr="00614894" w:rsidR="00050355" w:rsidTr="00C65763" w14:paraId="3735999D" w14:textId="77777777">
        <w:trPr>
          <w:trHeight w:val="290"/>
        </w:trPr>
        <w:tc>
          <w:tcPr>
            <w:tcW w:w="4248" w:type="dxa"/>
            <w:tcBorders>
              <w:top w:val="nil"/>
              <w:left w:val="single" w:color="auto" w:sz="4" w:space="0"/>
              <w:bottom w:val="nil"/>
              <w:right w:val="nil"/>
            </w:tcBorders>
            <w:shd w:val="clear" w:color="auto" w:fill="auto"/>
            <w:noWrap/>
            <w:vAlign w:val="bottom"/>
            <w:hideMark/>
          </w:tcPr>
          <w:p w:rsidRPr="00614894" w:rsidR="00050355" w:rsidP="00C65763" w:rsidRDefault="00050355" w14:paraId="3C0C5171" w14:textId="77777777">
            <w:pPr>
              <w:spacing w:after="0" w:line="240" w:lineRule="auto"/>
              <w:rPr>
                <w:rFonts w:eastAsia="Times New Roman" w:cs="Arial"/>
                <w:color w:val="000000"/>
                <w:highlight w:val="yellow"/>
                <w:lang w:eastAsia="en-GB"/>
              </w:rPr>
            </w:pPr>
          </w:p>
        </w:tc>
        <w:tc>
          <w:tcPr>
            <w:tcW w:w="1275" w:type="dxa"/>
            <w:tcBorders>
              <w:top w:val="nil"/>
              <w:left w:val="nil"/>
              <w:bottom w:val="nil"/>
              <w:right w:val="nil"/>
            </w:tcBorders>
            <w:shd w:val="clear" w:color="auto" w:fill="auto"/>
            <w:noWrap/>
            <w:vAlign w:val="center"/>
            <w:hideMark/>
          </w:tcPr>
          <w:p w:rsidRPr="00614894" w:rsidR="00050355" w:rsidP="00C65763" w:rsidRDefault="00050355" w14:paraId="3F9D1F30" w14:textId="77777777">
            <w:pPr>
              <w:spacing w:after="0" w:line="240" w:lineRule="auto"/>
              <w:rPr>
                <w:rFonts w:eastAsia="Times New Roman" w:cs="Arial"/>
                <w:color w:val="000000"/>
                <w:highlight w:val="yellow"/>
                <w:lang w:eastAsia="en-GB"/>
              </w:rPr>
            </w:pPr>
          </w:p>
        </w:tc>
        <w:tc>
          <w:tcPr>
            <w:tcW w:w="1276" w:type="dxa"/>
            <w:tcBorders>
              <w:top w:val="nil"/>
              <w:left w:val="nil"/>
              <w:bottom w:val="nil"/>
              <w:right w:val="nil"/>
            </w:tcBorders>
            <w:shd w:val="clear" w:color="auto" w:fill="auto"/>
            <w:noWrap/>
            <w:vAlign w:val="center"/>
            <w:hideMark/>
          </w:tcPr>
          <w:p w:rsidRPr="00793CA3" w:rsidR="00050355" w:rsidP="00C65763" w:rsidRDefault="00050355" w14:paraId="09C244B0" w14:textId="77777777">
            <w:pPr>
              <w:spacing w:after="0" w:line="240" w:lineRule="auto"/>
              <w:jc w:val="center"/>
              <w:rPr>
                <w:rFonts w:eastAsia="Times New Roman" w:cs="Arial"/>
                <w:lang w:eastAsia="en-GB"/>
              </w:rPr>
            </w:pPr>
          </w:p>
        </w:tc>
        <w:tc>
          <w:tcPr>
            <w:tcW w:w="1559" w:type="dxa"/>
            <w:tcBorders>
              <w:top w:val="nil"/>
              <w:left w:val="single" w:color="auto" w:sz="4" w:space="0"/>
              <w:bottom w:val="nil"/>
              <w:right w:val="single" w:color="auto" w:sz="4" w:space="0"/>
            </w:tcBorders>
            <w:shd w:val="clear" w:color="auto" w:fill="auto"/>
            <w:noWrap/>
            <w:vAlign w:val="center"/>
            <w:hideMark/>
          </w:tcPr>
          <w:p w:rsidRPr="00793CA3" w:rsidR="00050355" w:rsidP="00C65763" w:rsidRDefault="00050355" w14:paraId="7CD1DC04" w14:textId="77777777">
            <w:pPr>
              <w:spacing w:after="0" w:line="240" w:lineRule="auto"/>
              <w:jc w:val="center"/>
              <w:rPr>
                <w:rFonts w:eastAsia="Times New Roman" w:cs="Arial"/>
                <w:b/>
                <w:bCs/>
                <w:color w:val="000000"/>
                <w:lang w:eastAsia="en-GB"/>
              </w:rPr>
            </w:pPr>
            <w:r w:rsidRPr="00793CA3">
              <w:rPr>
                <w:rFonts w:eastAsia="Times New Roman" w:cs="Arial"/>
                <w:b/>
                <w:bCs/>
                <w:color w:val="000000"/>
                <w:lang w:eastAsia="en-GB"/>
              </w:rPr>
              <w:t> </w:t>
            </w:r>
          </w:p>
        </w:tc>
        <w:tc>
          <w:tcPr>
            <w:tcW w:w="1134" w:type="dxa"/>
            <w:tcBorders>
              <w:top w:val="nil"/>
              <w:left w:val="nil"/>
              <w:bottom w:val="nil"/>
              <w:right w:val="nil"/>
            </w:tcBorders>
            <w:shd w:val="clear" w:color="auto" w:fill="auto"/>
            <w:noWrap/>
            <w:vAlign w:val="center"/>
            <w:hideMark/>
          </w:tcPr>
          <w:p w:rsidRPr="00793CA3" w:rsidR="00050355" w:rsidP="00C65763" w:rsidRDefault="00050355" w14:paraId="19F27B9E" w14:textId="77777777">
            <w:pPr>
              <w:spacing w:after="0" w:line="240" w:lineRule="auto"/>
              <w:jc w:val="center"/>
              <w:rPr>
                <w:rFonts w:eastAsia="Times New Roman" w:cs="Arial"/>
                <w:b/>
                <w:bCs/>
                <w:color w:val="000000"/>
                <w:lang w:eastAsia="en-GB"/>
              </w:rPr>
            </w:pPr>
          </w:p>
        </w:tc>
        <w:tc>
          <w:tcPr>
            <w:tcW w:w="1134" w:type="dxa"/>
            <w:tcBorders>
              <w:top w:val="nil"/>
              <w:left w:val="nil"/>
              <w:bottom w:val="nil"/>
              <w:right w:val="nil"/>
            </w:tcBorders>
            <w:shd w:val="clear" w:color="auto" w:fill="auto"/>
            <w:noWrap/>
            <w:vAlign w:val="center"/>
            <w:hideMark/>
          </w:tcPr>
          <w:p w:rsidRPr="00793CA3" w:rsidR="00050355" w:rsidP="00C65763" w:rsidRDefault="00050355" w14:paraId="067D211D" w14:textId="77777777">
            <w:pPr>
              <w:spacing w:after="0" w:line="240" w:lineRule="auto"/>
              <w:jc w:val="center"/>
              <w:rPr>
                <w:rFonts w:eastAsia="Times New Roman" w:cs="Arial"/>
                <w:lang w:eastAsia="en-GB"/>
              </w:rPr>
            </w:pPr>
          </w:p>
        </w:tc>
        <w:tc>
          <w:tcPr>
            <w:tcW w:w="1134" w:type="dxa"/>
            <w:tcBorders>
              <w:top w:val="nil"/>
              <w:left w:val="single" w:color="auto" w:sz="4" w:space="0"/>
              <w:bottom w:val="nil"/>
              <w:right w:val="single" w:color="auto" w:sz="4" w:space="0"/>
            </w:tcBorders>
            <w:shd w:val="clear" w:color="auto" w:fill="auto"/>
            <w:noWrap/>
            <w:vAlign w:val="center"/>
            <w:hideMark/>
          </w:tcPr>
          <w:p w:rsidRPr="00793CA3" w:rsidR="00050355" w:rsidP="00C65763" w:rsidRDefault="00050355" w14:paraId="096BF84E" w14:textId="77777777">
            <w:pPr>
              <w:spacing w:after="0" w:line="240" w:lineRule="auto"/>
              <w:jc w:val="center"/>
              <w:rPr>
                <w:rFonts w:eastAsia="Times New Roman" w:cs="Arial"/>
                <w:b/>
                <w:bCs/>
                <w:color w:val="000000"/>
                <w:lang w:eastAsia="en-GB"/>
              </w:rPr>
            </w:pPr>
            <w:r w:rsidRPr="00793CA3">
              <w:rPr>
                <w:rFonts w:eastAsia="Times New Roman" w:cs="Arial"/>
                <w:b/>
                <w:bCs/>
                <w:color w:val="000000"/>
                <w:lang w:eastAsia="en-GB"/>
              </w:rPr>
              <w:t> </w:t>
            </w:r>
          </w:p>
        </w:tc>
        <w:tc>
          <w:tcPr>
            <w:tcW w:w="1560" w:type="dxa"/>
            <w:tcBorders>
              <w:top w:val="nil"/>
              <w:left w:val="nil"/>
              <w:bottom w:val="nil"/>
              <w:right w:val="single" w:color="auto" w:sz="4" w:space="0"/>
            </w:tcBorders>
            <w:shd w:val="clear" w:color="auto" w:fill="DBE5F1" w:themeFill="accent1" w:themeFillTint="33"/>
            <w:noWrap/>
            <w:vAlign w:val="center"/>
            <w:hideMark/>
          </w:tcPr>
          <w:p w:rsidRPr="00793CA3" w:rsidR="00050355" w:rsidP="00C65763" w:rsidRDefault="00050355" w14:paraId="0E21869B" w14:textId="77777777">
            <w:pPr>
              <w:spacing w:after="0" w:line="240" w:lineRule="auto"/>
              <w:jc w:val="center"/>
              <w:rPr>
                <w:rFonts w:eastAsia="Times New Roman" w:cs="Arial"/>
                <w:b/>
                <w:bCs/>
                <w:color w:val="000000"/>
                <w:lang w:eastAsia="en-GB"/>
              </w:rPr>
            </w:pPr>
            <w:r w:rsidRPr="00793CA3">
              <w:rPr>
                <w:rFonts w:eastAsia="Times New Roman" w:cs="Arial"/>
                <w:b/>
                <w:bCs/>
                <w:color w:val="000000"/>
                <w:lang w:eastAsia="en-GB"/>
              </w:rPr>
              <w:t> </w:t>
            </w:r>
          </w:p>
        </w:tc>
      </w:tr>
      <w:tr w:rsidRPr="00614894" w:rsidR="00050355" w:rsidTr="00C65763" w14:paraId="79ADD6F0" w14:textId="77777777">
        <w:trPr>
          <w:trHeight w:val="290"/>
        </w:trPr>
        <w:tc>
          <w:tcPr>
            <w:tcW w:w="4248" w:type="dxa"/>
            <w:tcBorders>
              <w:top w:val="nil"/>
              <w:left w:val="single" w:color="auto" w:sz="4" w:space="0"/>
              <w:bottom w:val="nil"/>
              <w:right w:val="nil"/>
            </w:tcBorders>
            <w:shd w:val="clear" w:color="auto" w:fill="auto"/>
            <w:noWrap/>
            <w:vAlign w:val="bottom"/>
            <w:hideMark/>
          </w:tcPr>
          <w:p w:rsidRPr="00614894" w:rsidR="00050355" w:rsidP="00C65763" w:rsidRDefault="00050355" w14:paraId="1E52E372" w14:textId="77777777">
            <w:pPr>
              <w:spacing w:after="0" w:line="240" w:lineRule="auto"/>
              <w:rPr>
                <w:rFonts w:eastAsia="Times New Roman" w:cs="Arial"/>
                <w:color w:val="000000"/>
                <w:highlight w:val="yellow"/>
                <w:lang w:eastAsia="en-GB"/>
              </w:rPr>
            </w:pPr>
            <w:r w:rsidRPr="00050355">
              <w:rPr>
                <w:rFonts w:eastAsia="Times New Roman" w:cs="Arial"/>
                <w:color w:val="000000"/>
                <w:lang w:eastAsia="en-GB"/>
              </w:rPr>
              <w:t>Core Budget</w:t>
            </w:r>
          </w:p>
        </w:tc>
        <w:tc>
          <w:tcPr>
            <w:tcW w:w="1275" w:type="dxa"/>
            <w:tcBorders>
              <w:top w:val="nil"/>
              <w:left w:val="nil"/>
              <w:bottom w:val="nil"/>
              <w:right w:val="nil"/>
            </w:tcBorders>
            <w:shd w:val="clear" w:color="auto" w:fill="auto"/>
            <w:noWrap/>
            <w:vAlign w:val="bottom"/>
          </w:tcPr>
          <w:p w:rsidRPr="00793CA3" w:rsidR="00050355" w:rsidP="00793CA3" w:rsidRDefault="00793CA3" w14:paraId="6CEC43DC" w14:textId="24DCD7A4">
            <w:pPr>
              <w:spacing w:after="0" w:line="240" w:lineRule="auto"/>
              <w:jc w:val="right"/>
              <w:rPr>
                <w:rFonts w:eastAsia="Times New Roman" w:cs="Arial"/>
                <w:color w:val="000000"/>
                <w:lang w:eastAsia="en-GB"/>
              </w:rPr>
            </w:pPr>
            <w:r w:rsidRPr="00793CA3">
              <w:rPr>
                <w:rFonts w:eastAsia="Times New Roman" w:cs="Arial"/>
                <w:color w:val="000000"/>
                <w:lang w:eastAsia="en-GB"/>
              </w:rPr>
              <w:t>1,924</w:t>
            </w:r>
          </w:p>
        </w:tc>
        <w:tc>
          <w:tcPr>
            <w:tcW w:w="1276" w:type="dxa"/>
            <w:tcBorders>
              <w:top w:val="nil"/>
              <w:left w:val="nil"/>
              <w:bottom w:val="nil"/>
              <w:right w:val="nil"/>
            </w:tcBorders>
            <w:shd w:val="clear" w:color="auto" w:fill="auto"/>
            <w:noWrap/>
            <w:vAlign w:val="bottom"/>
          </w:tcPr>
          <w:p w:rsidRPr="00793CA3" w:rsidR="00050355" w:rsidP="00793CA3" w:rsidRDefault="00793CA3" w14:paraId="3EF438A5" w14:textId="137E6714">
            <w:pPr>
              <w:spacing w:after="0" w:line="240" w:lineRule="auto"/>
              <w:jc w:val="right"/>
              <w:rPr>
                <w:rFonts w:eastAsia="Times New Roman" w:cs="Arial"/>
                <w:color w:val="000000"/>
                <w:lang w:eastAsia="en-GB"/>
              </w:rPr>
            </w:pPr>
            <w:r w:rsidRPr="00793CA3">
              <w:rPr>
                <w:rFonts w:eastAsia="Times New Roman" w:cs="Arial"/>
                <w:color w:val="000000"/>
                <w:lang w:eastAsia="en-GB"/>
              </w:rPr>
              <w:t>167</w:t>
            </w:r>
          </w:p>
        </w:tc>
        <w:tc>
          <w:tcPr>
            <w:tcW w:w="1559" w:type="dxa"/>
            <w:tcBorders>
              <w:top w:val="nil"/>
              <w:left w:val="single" w:color="auto" w:sz="4" w:space="0"/>
              <w:bottom w:val="nil"/>
              <w:right w:val="single" w:color="auto" w:sz="4" w:space="0"/>
            </w:tcBorders>
            <w:shd w:val="clear" w:color="auto" w:fill="auto"/>
            <w:noWrap/>
            <w:vAlign w:val="bottom"/>
          </w:tcPr>
          <w:p w:rsidRPr="00793CA3" w:rsidR="00050355" w:rsidP="00793CA3" w:rsidRDefault="00793CA3" w14:paraId="3A2DF72C" w14:textId="53BF9B06">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2,091</w:t>
            </w:r>
          </w:p>
        </w:tc>
        <w:tc>
          <w:tcPr>
            <w:tcW w:w="1134" w:type="dxa"/>
            <w:tcBorders>
              <w:top w:val="nil"/>
              <w:left w:val="nil"/>
              <w:bottom w:val="nil"/>
              <w:right w:val="nil"/>
            </w:tcBorders>
            <w:shd w:val="clear" w:color="auto" w:fill="auto"/>
            <w:noWrap/>
            <w:vAlign w:val="bottom"/>
          </w:tcPr>
          <w:p w:rsidRPr="00793CA3" w:rsidR="00050355" w:rsidP="00793CA3" w:rsidRDefault="00793CA3" w14:paraId="107015AC" w14:textId="7D223919">
            <w:pPr>
              <w:spacing w:after="0" w:line="240" w:lineRule="auto"/>
              <w:jc w:val="right"/>
              <w:rPr>
                <w:rFonts w:eastAsia="Times New Roman" w:cs="Arial"/>
                <w:color w:val="000000"/>
                <w:lang w:eastAsia="en-GB"/>
              </w:rPr>
            </w:pPr>
            <w:r w:rsidRPr="00793CA3">
              <w:rPr>
                <w:rFonts w:eastAsia="Times New Roman" w:cs="Arial"/>
                <w:color w:val="000000"/>
                <w:lang w:eastAsia="en-GB"/>
              </w:rPr>
              <w:t>(54)</w:t>
            </w:r>
          </w:p>
        </w:tc>
        <w:tc>
          <w:tcPr>
            <w:tcW w:w="1134" w:type="dxa"/>
            <w:tcBorders>
              <w:top w:val="nil"/>
              <w:left w:val="nil"/>
              <w:bottom w:val="nil"/>
              <w:right w:val="nil"/>
            </w:tcBorders>
            <w:shd w:val="clear" w:color="auto" w:fill="auto"/>
            <w:noWrap/>
            <w:vAlign w:val="bottom"/>
          </w:tcPr>
          <w:p w:rsidRPr="00793CA3" w:rsidR="00050355" w:rsidP="00793CA3" w:rsidRDefault="00793CA3" w14:paraId="36FC3449" w14:textId="6DC8A7FB">
            <w:pPr>
              <w:spacing w:after="0" w:line="240" w:lineRule="auto"/>
              <w:jc w:val="right"/>
              <w:rPr>
                <w:rFonts w:eastAsia="Times New Roman" w:cs="Arial"/>
                <w:color w:val="000000"/>
                <w:lang w:eastAsia="en-GB"/>
              </w:rPr>
            </w:pPr>
            <w:r w:rsidRPr="00793CA3">
              <w:rPr>
                <w:rFonts w:eastAsia="Times New Roman" w:cs="Arial"/>
                <w:color w:val="000000"/>
                <w:lang w:eastAsia="en-GB"/>
              </w:rPr>
              <w:t>(75)</w:t>
            </w:r>
          </w:p>
        </w:tc>
        <w:tc>
          <w:tcPr>
            <w:tcW w:w="1134" w:type="dxa"/>
            <w:tcBorders>
              <w:top w:val="nil"/>
              <w:left w:val="single" w:color="auto" w:sz="4" w:space="0"/>
              <w:bottom w:val="nil"/>
              <w:right w:val="single" w:color="auto" w:sz="4" w:space="0"/>
            </w:tcBorders>
            <w:shd w:val="clear" w:color="auto" w:fill="auto"/>
            <w:noWrap/>
            <w:vAlign w:val="bottom"/>
          </w:tcPr>
          <w:p w:rsidRPr="00793CA3" w:rsidR="00050355" w:rsidP="00793CA3" w:rsidRDefault="00793CA3" w14:paraId="046EB555" w14:textId="5F2B10B2">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(129)</w:t>
            </w:r>
          </w:p>
        </w:tc>
        <w:tc>
          <w:tcPr>
            <w:tcW w:w="1560" w:type="dxa"/>
            <w:tcBorders>
              <w:top w:val="nil"/>
              <w:left w:val="nil"/>
              <w:bottom w:val="nil"/>
              <w:right w:val="single" w:color="auto" w:sz="4" w:space="0"/>
            </w:tcBorders>
            <w:shd w:val="clear" w:color="auto" w:fill="DBE5F1" w:themeFill="accent1" w:themeFillTint="33"/>
            <w:noWrap/>
            <w:vAlign w:val="bottom"/>
          </w:tcPr>
          <w:p w:rsidRPr="00793CA3" w:rsidR="00050355" w:rsidP="00793CA3" w:rsidRDefault="00793CA3" w14:paraId="262F2511" w14:textId="70EF9EA7">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1,962</w:t>
            </w:r>
          </w:p>
        </w:tc>
      </w:tr>
      <w:tr w:rsidRPr="00614894" w:rsidR="00050355" w:rsidTr="00C65763" w14:paraId="61AB6972" w14:textId="77777777">
        <w:trPr>
          <w:trHeight w:val="290"/>
        </w:trPr>
        <w:tc>
          <w:tcPr>
            <w:tcW w:w="4248" w:type="dxa"/>
            <w:tcBorders>
              <w:top w:val="nil"/>
              <w:left w:val="single" w:color="auto" w:sz="4" w:space="0"/>
              <w:bottom w:val="nil"/>
              <w:right w:val="nil"/>
            </w:tcBorders>
            <w:shd w:val="clear" w:color="auto" w:fill="auto"/>
            <w:noWrap/>
            <w:vAlign w:val="bottom"/>
            <w:hideMark/>
          </w:tcPr>
          <w:p w:rsidRPr="00614894" w:rsidR="00050355" w:rsidP="00C65763" w:rsidRDefault="00050355" w14:paraId="1D1BA642" w14:textId="77777777">
            <w:pPr>
              <w:spacing w:after="0" w:line="240" w:lineRule="auto"/>
              <w:rPr>
                <w:rFonts w:eastAsia="Times New Roman" w:cs="Arial"/>
                <w:color w:val="000000"/>
                <w:highlight w:val="yellow"/>
                <w:lang w:eastAsia="en-GB"/>
              </w:rPr>
            </w:pPr>
            <w:r w:rsidRPr="00050355">
              <w:rPr>
                <w:rFonts w:eastAsia="Times New Roman" w:cs="Arial"/>
                <w:color w:val="000000"/>
                <w:lang w:eastAsia="en-GB"/>
              </w:rPr>
              <w:t>Regional Adoption Service Grant</w:t>
            </w:r>
          </w:p>
        </w:tc>
        <w:tc>
          <w:tcPr>
            <w:tcW w:w="1275" w:type="dxa"/>
            <w:tcBorders>
              <w:top w:val="nil"/>
              <w:left w:val="nil"/>
              <w:bottom w:val="nil"/>
              <w:right w:val="nil"/>
            </w:tcBorders>
            <w:shd w:val="clear" w:color="auto" w:fill="auto"/>
            <w:noWrap/>
            <w:vAlign w:val="bottom"/>
          </w:tcPr>
          <w:p w:rsidRPr="00793CA3" w:rsidR="00050355" w:rsidP="00793CA3" w:rsidRDefault="00793CA3" w14:paraId="48C5E933" w14:textId="26C71A0E">
            <w:pPr>
              <w:spacing w:after="0" w:line="240" w:lineRule="auto"/>
              <w:jc w:val="right"/>
              <w:rPr>
                <w:rFonts w:eastAsia="Times New Roman" w:cs="Arial"/>
                <w:color w:val="000000"/>
                <w:lang w:eastAsia="en-GB"/>
              </w:rPr>
            </w:pPr>
            <w:r w:rsidRPr="00793CA3">
              <w:rPr>
                <w:rFonts w:eastAsia="Times New Roman" w:cs="Arial"/>
                <w:color w:val="000000"/>
                <w:lang w:eastAsia="en-GB"/>
              </w:rPr>
              <w:t>190</w:t>
            </w:r>
          </w:p>
        </w:tc>
        <w:tc>
          <w:tcPr>
            <w:tcW w:w="1276" w:type="dxa"/>
            <w:tcBorders>
              <w:top w:val="nil"/>
              <w:left w:val="nil"/>
              <w:bottom w:val="nil"/>
              <w:right w:val="nil"/>
            </w:tcBorders>
            <w:shd w:val="clear" w:color="auto" w:fill="auto"/>
            <w:noWrap/>
            <w:vAlign w:val="bottom"/>
          </w:tcPr>
          <w:p w:rsidRPr="00793CA3" w:rsidR="00050355" w:rsidP="00793CA3" w:rsidRDefault="00050355" w14:paraId="6B901E58" w14:textId="3BBB8CEC">
            <w:pPr>
              <w:spacing w:after="0" w:line="240" w:lineRule="auto"/>
              <w:jc w:val="right"/>
              <w:rPr>
                <w:rFonts w:eastAsia="Times New Roman" w:cs="Arial"/>
                <w:color w:val="000000"/>
                <w:lang w:eastAsia="en-GB"/>
              </w:rPr>
            </w:pPr>
            <w:r w:rsidRPr="00793CA3">
              <w:rPr>
                <w:rFonts w:eastAsia="Times New Roman" w:cs="Arial"/>
                <w:color w:val="000000"/>
                <w:lang w:eastAsia="en-GB"/>
              </w:rPr>
              <w:t xml:space="preserve">          </w:t>
            </w:r>
            <w:r w:rsidRPr="00793CA3" w:rsidR="00793CA3">
              <w:rPr>
                <w:rFonts w:eastAsia="Times New Roman" w:cs="Arial"/>
                <w:color w:val="000000"/>
                <w:lang w:eastAsia="en-GB"/>
              </w:rPr>
              <w:t>351</w:t>
            </w:r>
          </w:p>
        </w:tc>
        <w:tc>
          <w:tcPr>
            <w:tcW w:w="1559" w:type="dxa"/>
            <w:tcBorders>
              <w:top w:val="nil"/>
              <w:left w:val="single" w:color="auto" w:sz="4" w:space="0"/>
              <w:bottom w:val="nil"/>
              <w:right w:val="single" w:color="auto" w:sz="4" w:space="0"/>
            </w:tcBorders>
            <w:shd w:val="clear" w:color="auto" w:fill="auto"/>
            <w:noWrap/>
            <w:vAlign w:val="bottom"/>
          </w:tcPr>
          <w:p w:rsidRPr="00793CA3" w:rsidR="00050355" w:rsidP="00793CA3" w:rsidRDefault="00793CA3" w14:paraId="12E9077D" w14:textId="094C3ADE">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541</w:t>
            </w:r>
          </w:p>
        </w:tc>
        <w:tc>
          <w:tcPr>
            <w:tcW w:w="1134" w:type="dxa"/>
            <w:tcBorders>
              <w:top w:val="nil"/>
              <w:left w:val="nil"/>
              <w:bottom w:val="nil"/>
              <w:right w:val="nil"/>
            </w:tcBorders>
            <w:shd w:val="clear" w:color="auto" w:fill="auto"/>
            <w:noWrap/>
            <w:vAlign w:val="bottom"/>
          </w:tcPr>
          <w:p w:rsidRPr="00793CA3" w:rsidR="00050355" w:rsidP="00793CA3" w:rsidRDefault="00793CA3" w14:paraId="10D10115" w14:textId="3AD92CA6">
            <w:pPr>
              <w:spacing w:after="0" w:line="240" w:lineRule="auto"/>
              <w:jc w:val="right"/>
              <w:rPr>
                <w:rFonts w:eastAsia="Times New Roman" w:cs="Arial"/>
                <w:color w:val="000000"/>
                <w:lang w:eastAsia="en-GB"/>
              </w:rPr>
            </w:pPr>
            <w:r w:rsidRPr="00793CA3">
              <w:rPr>
                <w:rFonts w:eastAsia="Times New Roman" w:cs="Arial"/>
                <w:color w:val="000000"/>
                <w:lang w:eastAsia="en-GB"/>
              </w:rPr>
              <w:t>(541)</w:t>
            </w:r>
          </w:p>
        </w:tc>
        <w:tc>
          <w:tcPr>
            <w:tcW w:w="1134" w:type="dxa"/>
            <w:tcBorders>
              <w:top w:val="nil"/>
              <w:left w:val="nil"/>
              <w:bottom w:val="nil"/>
              <w:right w:val="nil"/>
            </w:tcBorders>
            <w:shd w:val="clear" w:color="auto" w:fill="auto"/>
            <w:noWrap/>
            <w:vAlign w:val="bottom"/>
          </w:tcPr>
          <w:p w:rsidRPr="00793CA3" w:rsidR="00050355" w:rsidP="00793CA3" w:rsidRDefault="00793CA3" w14:paraId="3D233EB9" w14:textId="69D91A01">
            <w:pPr>
              <w:spacing w:after="0" w:line="240" w:lineRule="auto"/>
              <w:jc w:val="right"/>
              <w:rPr>
                <w:rFonts w:eastAsia="Times New Roman" w:cs="Arial"/>
                <w:color w:val="000000"/>
                <w:lang w:eastAsia="en-GB"/>
              </w:rPr>
            </w:pPr>
            <w:r w:rsidRPr="00793CA3">
              <w:rPr>
                <w:rFonts w:eastAsia="Times New Roman" w:cs="Arial"/>
                <w:color w:val="000000"/>
                <w:lang w:eastAsia="en-GB"/>
              </w:rPr>
              <w:t>0</w:t>
            </w:r>
          </w:p>
        </w:tc>
        <w:tc>
          <w:tcPr>
            <w:tcW w:w="1134" w:type="dxa"/>
            <w:tcBorders>
              <w:top w:val="nil"/>
              <w:left w:val="single" w:color="auto" w:sz="4" w:space="0"/>
              <w:bottom w:val="nil"/>
              <w:right w:val="single" w:color="auto" w:sz="4" w:space="0"/>
            </w:tcBorders>
            <w:shd w:val="clear" w:color="auto" w:fill="auto"/>
            <w:noWrap/>
            <w:vAlign w:val="bottom"/>
          </w:tcPr>
          <w:p w:rsidRPr="00793CA3" w:rsidR="00050355" w:rsidP="00793CA3" w:rsidRDefault="00793CA3" w14:paraId="0C2A0C9D" w14:textId="17D927B4">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(541)</w:t>
            </w:r>
          </w:p>
        </w:tc>
        <w:tc>
          <w:tcPr>
            <w:tcW w:w="1560" w:type="dxa"/>
            <w:tcBorders>
              <w:top w:val="nil"/>
              <w:left w:val="nil"/>
              <w:bottom w:val="nil"/>
              <w:right w:val="single" w:color="auto" w:sz="4" w:space="0"/>
            </w:tcBorders>
            <w:shd w:val="clear" w:color="auto" w:fill="DBE5F1" w:themeFill="accent1" w:themeFillTint="33"/>
            <w:noWrap/>
            <w:vAlign w:val="bottom"/>
          </w:tcPr>
          <w:p w:rsidRPr="00793CA3" w:rsidR="00050355" w:rsidP="00793CA3" w:rsidRDefault="00793CA3" w14:paraId="44328880" w14:textId="46F53344">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0</w:t>
            </w:r>
          </w:p>
        </w:tc>
      </w:tr>
      <w:tr w:rsidRPr="00614894" w:rsidR="00050355" w:rsidTr="00C65763" w14:paraId="3A875B6B" w14:textId="77777777">
        <w:trPr>
          <w:trHeight w:val="290"/>
        </w:trPr>
        <w:tc>
          <w:tcPr>
            <w:tcW w:w="4248" w:type="dxa"/>
            <w:tcBorders>
              <w:top w:val="nil"/>
              <w:left w:val="single" w:color="auto" w:sz="4" w:space="0"/>
              <w:bottom w:val="nil"/>
              <w:right w:val="nil"/>
            </w:tcBorders>
            <w:shd w:val="clear" w:color="auto" w:fill="auto"/>
            <w:noWrap/>
            <w:vAlign w:val="bottom"/>
            <w:hideMark/>
          </w:tcPr>
          <w:p w:rsidRPr="00614894" w:rsidR="00050355" w:rsidP="00C65763" w:rsidRDefault="00050355" w14:paraId="07F9172E" w14:textId="77777777">
            <w:pPr>
              <w:spacing w:after="0" w:line="240" w:lineRule="auto"/>
              <w:rPr>
                <w:rFonts w:eastAsia="Times New Roman" w:cs="Arial"/>
                <w:color w:val="000000"/>
                <w:highlight w:val="yellow"/>
                <w:lang w:eastAsia="en-GB"/>
              </w:rPr>
            </w:pPr>
            <w:r w:rsidRPr="00050355">
              <w:rPr>
                <w:rFonts w:eastAsia="Times New Roman" w:cs="Arial"/>
                <w:color w:val="000000"/>
                <w:lang w:eastAsia="en-GB"/>
              </w:rPr>
              <w:t>Utilisation of Previous Years Underspend</w:t>
            </w:r>
          </w:p>
        </w:tc>
        <w:tc>
          <w:tcPr>
            <w:tcW w:w="1275" w:type="dxa"/>
            <w:tcBorders>
              <w:top w:val="nil"/>
              <w:left w:val="nil"/>
              <w:bottom w:val="nil"/>
              <w:right w:val="nil"/>
            </w:tcBorders>
            <w:shd w:val="clear" w:color="auto" w:fill="auto"/>
            <w:noWrap/>
            <w:vAlign w:val="bottom"/>
          </w:tcPr>
          <w:p w:rsidRPr="00793CA3" w:rsidR="00050355" w:rsidP="00793CA3" w:rsidRDefault="00793CA3" w14:paraId="79FAEE3D" w14:textId="78A6281A">
            <w:pPr>
              <w:spacing w:after="0" w:line="240" w:lineRule="auto"/>
              <w:jc w:val="right"/>
              <w:rPr>
                <w:rFonts w:eastAsia="Times New Roman" w:cs="Arial"/>
                <w:color w:val="000000"/>
                <w:lang w:eastAsia="en-GB"/>
              </w:rPr>
            </w:pPr>
            <w:r w:rsidRPr="00793CA3">
              <w:rPr>
                <w:rFonts w:eastAsia="Times New Roman" w:cs="Arial"/>
                <w:color w:val="000000"/>
                <w:lang w:eastAsia="en-GB"/>
              </w:rPr>
              <w:t>27</w:t>
            </w:r>
          </w:p>
        </w:tc>
        <w:tc>
          <w:tcPr>
            <w:tcW w:w="1276" w:type="dxa"/>
            <w:tcBorders>
              <w:top w:val="nil"/>
              <w:left w:val="nil"/>
              <w:bottom w:val="nil"/>
              <w:right w:val="nil"/>
            </w:tcBorders>
            <w:shd w:val="clear" w:color="auto" w:fill="auto"/>
            <w:noWrap/>
            <w:vAlign w:val="bottom"/>
          </w:tcPr>
          <w:p w:rsidRPr="00793CA3" w:rsidR="00050355" w:rsidP="00793CA3" w:rsidRDefault="00793CA3" w14:paraId="2A9292A5" w14:textId="71C75E98">
            <w:pPr>
              <w:spacing w:after="0" w:line="240" w:lineRule="auto"/>
              <w:jc w:val="right"/>
              <w:rPr>
                <w:rFonts w:eastAsia="Times New Roman" w:cs="Arial"/>
                <w:lang w:eastAsia="en-GB"/>
              </w:rPr>
            </w:pPr>
            <w:r w:rsidRPr="00793CA3">
              <w:rPr>
                <w:rFonts w:eastAsia="Times New Roman" w:cs="Arial"/>
                <w:lang w:eastAsia="en-GB"/>
              </w:rPr>
              <w:t>10</w:t>
            </w:r>
          </w:p>
        </w:tc>
        <w:tc>
          <w:tcPr>
            <w:tcW w:w="1559" w:type="dxa"/>
            <w:tcBorders>
              <w:top w:val="nil"/>
              <w:left w:val="single" w:color="auto" w:sz="4" w:space="0"/>
              <w:bottom w:val="nil"/>
              <w:right w:val="single" w:color="auto" w:sz="4" w:space="0"/>
            </w:tcBorders>
            <w:shd w:val="clear" w:color="auto" w:fill="auto"/>
            <w:noWrap/>
            <w:vAlign w:val="bottom"/>
          </w:tcPr>
          <w:p w:rsidRPr="00793CA3" w:rsidR="00050355" w:rsidP="00793CA3" w:rsidRDefault="00793CA3" w14:paraId="5410A0C7" w14:textId="24D35B3C">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37</w:t>
            </w:r>
          </w:p>
        </w:tc>
        <w:tc>
          <w:tcPr>
            <w:tcW w:w="1134" w:type="dxa"/>
            <w:tcBorders>
              <w:top w:val="nil"/>
              <w:left w:val="nil"/>
              <w:bottom w:val="nil"/>
              <w:right w:val="nil"/>
            </w:tcBorders>
            <w:shd w:val="clear" w:color="auto" w:fill="auto"/>
            <w:noWrap/>
            <w:vAlign w:val="bottom"/>
          </w:tcPr>
          <w:p w:rsidRPr="00793CA3" w:rsidR="00050355" w:rsidP="00793CA3" w:rsidRDefault="00793CA3" w14:paraId="1CF4CE28" w14:textId="3892ADC1">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0</w:t>
            </w:r>
          </w:p>
        </w:tc>
        <w:tc>
          <w:tcPr>
            <w:tcW w:w="1134" w:type="dxa"/>
            <w:tcBorders>
              <w:top w:val="nil"/>
              <w:left w:val="nil"/>
              <w:bottom w:val="nil"/>
              <w:right w:val="nil"/>
            </w:tcBorders>
            <w:shd w:val="clear" w:color="auto" w:fill="auto"/>
            <w:noWrap/>
            <w:vAlign w:val="bottom"/>
          </w:tcPr>
          <w:p w:rsidRPr="00793CA3" w:rsidR="00050355" w:rsidP="00793CA3" w:rsidRDefault="00793CA3" w14:paraId="7695A287" w14:textId="48C78130">
            <w:pPr>
              <w:spacing w:after="0" w:line="240" w:lineRule="auto"/>
              <w:jc w:val="right"/>
              <w:rPr>
                <w:rFonts w:eastAsia="Times New Roman" w:cs="Arial"/>
                <w:lang w:eastAsia="en-GB"/>
              </w:rPr>
            </w:pPr>
            <w:r w:rsidRPr="00793CA3">
              <w:rPr>
                <w:rFonts w:eastAsia="Times New Roman" w:cs="Arial"/>
                <w:lang w:eastAsia="en-GB"/>
              </w:rPr>
              <w:t>0</w:t>
            </w:r>
          </w:p>
        </w:tc>
        <w:tc>
          <w:tcPr>
            <w:tcW w:w="1134" w:type="dxa"/>
            <w:tcBorders>
              <w:top w:val="nil"/>
              <w:left w:val="single" w:color="auto" w:sz="4" w:space="0"/>
              <w:bottom w:val="nil"/>
              <w:right w:val="single" w:color="auto" w:sz="4" w:space="0"/>
            </w:tcBorders>
            <w:shd w:val="clear" w:color="auto" w:fill="auto"/>
            <w:noWrap/>
            <w:vAlign w:val="bottom"/>
          </w:tcPr>
          <w:p w:rsidRPr="00793CA3" w:rsidR="00050355" w:rsidP="00793CA3" w:rsidRDefault="00793CA3" w14:paraId="6589189D" w14:textId="00D4DC4B">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0</w:t>
            </w:r>
          </w:p>
        </w:tc>
        <w:tc>
          <w:tcPr>
            <w:tcW w:w="1560" w:type="dxa"/>
            <w:tcBorders>
              <w:top w:val="nil"/>
              <w:left w:val="nil"/>
              <w:bottom w:val="nil"/>
              <w:right w:val="single" w:color="auto" w:sz="4" w:space="0"/>
            </w:tcBorders>
            <w:shd w:val="clear" w:color="auto" w:fill="DBE5F1" w:themeFill="accent1" w:themeFillTint="33"/>
            <w:noWrap/>
            <w:vAlign w:val="bottom"/>
          </w:tcPr>
          <w:p w:rsidRPr="00793CA3" w:rsidR="00050355" w:rsidP="00793CA3" w:rsidRDefault="00793CA3" w14:paraId="57823DBD" w14:textId="27B27879">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37</w:t>
            </w:r>
          </w:p>
        </w:tc>
      </w:tr>
      <w:tr w:rsidRPr="00614894" w:rsidR="00050355" w:rsidTr="00C65763" w14:paraId="7A4B2DBB" w14:textId="77777777">
        <w:trPr>
          <w:trHeight w:val="290"/>
        </w:trPr>
        <w:tc>
          <w:tcPr>
            <w:tcW w:w="4248"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614894" w:rsidR="00050355" w:rsidP="00C65763" w:rsidRDefault="00050355" w14:paraId="75CAF6F4" w14:textId="77777777">
            <w:pPr>
              <w:spacing w:after="0" w:line="240" w:lineRule="auto"/>
              <w:rPr>
                <w:rFonts w:eastAsia="Times New Roman" w:cs="Arial"/>
                <w:b/>
                <w:bCs/>
                <w:color w:val="000000"/>
                <w:highlight w:val="yellow"/>
                <w:lang w:eastAsia="en-GB"/>
              </w:rPr>
            </w:pPr>
            <w:r w:rsidRPr="00793CA3">
              <w:rPr>
                <w:rFonts w:eastAsia="Times New Roman" w:cs="Arial"/>
                <w:b/>
                <w:bCs/>
                <w:color w:val="000000"/>
                <w:lang w:eastAsia="en-GB"/>
              </w:rPr>
              <w:t>Net Cost of Services</w:t>
            </w:r>
          </w:p>
        </w:tc>
        <w:tc>
          <w:tcPr>
            <w:tcW w:w="1275" w:type="dxa"/>
            <w:tcBorders>
              <w:top w:val="single" w:color="auto" w:sz="4" w:space="0"/>
              <w:left w:val="nil"/>
              <w:bottom w:val="single" w:color="auto" w:sz="4" w:space="0"/>
              <w:right w:val="nil"/>
            </w:tcBorders>
            <w:shd w:val="clear" w:color="auto" w:fill="DBE5F1" w:themeFill="accent1" w:themeFillTint="33"/>
            <w:noWrap/>
            <w:vAlign w:val="bottom"/>
          </w:tcPr>
          <w:p w:rsidRPr="00793CA3" w:rsidR="00050355" w:rsidP="00793CA3" w:rsidRDefault="00793CA3" w14:paraId="0670DBBD" w14:textId="782EF746">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2,141</w:t>
            </w:r>
          </w:p>
        </w:tc>
        <w:tc>
          <w:tcPr>
            <w:tcW w:w="1276" w:type="dxa"/>
            <w:tcBorders>
              <w:top w:val="single" w:color="auto" w:sz="4" w:space="0"/>
              <w:left w:val="nil"/>
              <w:bottom w:val="single" w:color="auto" w:sz="4" w:space="0"/>
              <w:right w:val="nil"/>
            </w:tcBorders>
            <w:shd w:val="clear" w:color="auto" w:fill="DBE5F1" w:themeFill="accent1" w:themeFillTint="33"/>
            <w:noWrap/>
            <w:vAlign w:val="bottom"/>
          </w:tcPr>
          <w:p w:rsidRPr="00793CA3" w:rsidR="00050355" w:rsidP="00793CA3" w:rsidRDefault="00793CA3" w14:paraId="32AAA71F" w14:textId="19CB92FC">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528</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793CA3" w:rsidR="00050355" w:rsidP="00793CA3" w:rsidRDefault="00793CA3" w14:paraId="57DA1259" w14:textId="68672980">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2,669</w:t>
            </w:r>
          </w:p>
        </w:tc>
        <w:tc>
          <w:tcPr>
            <w:tcW w:w="1134" w:type="dxa"/>
            <w:tcBorders>
              <w:top w:val="single" w:color="auto" w:sz="4" w:space="0"/>
              <w:left w:val="nil"/>
              <w:bottom w:val="single" w:color="auto" w:sz="4" w:space="0"/>
              <w:right w:val="nil"/>
            </w:tcBorders>
            <w:shd w:val="clear" w:color="auto" w:fill="DBE5F1" w:themeFill="accent1" w:themeFillTint="33"/>
            <w:noWrap/>
            <w:vAlign w:val="bottom"/>
          </w:tcPr>
          <w:p w:rsidRPr="00793CA3" w:rsidR="00050355" w:rsidP="00793CA3" w:rsidRDefault="00793CA3" w14:paraId="63FEC21D" w14:textId="65067384">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(595)</w:t>
            </w:r>
          </w:p>
        </w:tc>
        <w:tc>
          <w:tcPr>
            <w:tcW w:w="1134" w:type="dxa"/>
            <w:tcBorders>
              <w:top w:val="single" w:color="auto" w:sz="4" w:space="0"/>
              <w:left w:val="nil"/>
              <w:bottom w:val="single" w:color="auto" w:sz="4" w:space="0"/>
              <w:right w:val="nil"/>
            </w:tcBorders>
            <w:shd w:val="clear" w:color="auto" w:fill="DBE5F1" w:themeFill="accent1" w:themeFillTint="33"/>
            <w:noWrap/>
            <w:vAlign w:val="bottom"/>
          </w:tcPr>
          <w:p w:rsidRPr="00793CA3" w:rsidR="00050355" w:rsidP="00793CA3" w:rsidRDefault="00793CA3" w14:paraId="3F69ADF3" w14:textId="41518E37">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(75)</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793CA3" w:rsidR="00050355" w:rsidP="00793CA3" w:rsidRDefault="00793CA3" w14:paraId="54430DD5" w14:textId="7283E42E">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(670)</w:t>
            </w:r>
          </w:p>
        </w:tc>
        <w:tc>
          <w:tcPr>
            <w:tcW w:w="1560"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793CA3" w:rsidR="00050355" w:rsidP="00793CA3" w:rsidRDefault="00793CA3" w14:paraId="2B7673F4" w14:textId="5F692FFD">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1,999</w:t>
            </w:r>
          </w:p>
        </w:tc>
      </w:tr>
      <w:tr w:rsidRPr="00614894" w:rsidR="00050355" w:rsidTr="00C65763" w14:paraId="1FB2C8E4" w14:textId="77777777">
        <w:trPr>
          <w:trHeight w:val="300"/>
        </w:trPr>
        <w:tc>
          <w:tcPr>
            <w:tcW w:w="5523" w:type="dxa"/>
            <w:gridSpan w:val="2"/>
            <w:tcBorders>
              <w:top w:val="nil"/>
              <w:left w:val="single" w:color="auto" w:sz="4" w:space="0"/>
              <w:bottom w:val="nil"/>
              <w:right w:val="nil"/>
            </w:tcBorders>
            <w:shd w:val="clear" w:color="auto" w:fill="auto"/>
            <w:noWrap/>
            <w:vAlign w:val="bottom"/>
            <w:hideMark/>
          </w:tcPr>
          <w:p w:rsidRPr="00793CA3" w:rsidR="00050355" w:rsidP="00C65763" w:rsidRDefault="00050355" w14:paraId="312653D3" w14:textId="77777777">
            <w:pPr>
              <w:spacing w:after="0" w:line="240" w:lineRule="auto"/>
              <w:rPr>
                <w:rFonts w:eastAsia="Times New Roman" w:cs="Arial"/>
                <w:b/>
                <w:bCs/>
                <w:color w:val="000000"/>
                <w:u w:val="single"/>
                <w:lang w:eastAsia="en-GB"/>
              </w:rPr>
            </w:pPr>
            <w:r w:rsidRPr="00793CA3">
              <w:rPr>
                <w:rFonts w:eastAsia="Times New Roman" w:cs="Arial"/>
                <w:b/>
                <w:bCs/>
                <w:color w:val="000000"/>
                <w:u w:val="single"/>
                <w:lang w:eastAsia="en-GB"/>
              </w:rPr>
              <w:t>Finance &amp; Investment Income &amp; Expenditure</w:t>
            </w:r>
          </w:p>
        </w:tc>
        <w:tc>
          <w:tcPr>
            <w:tcW w:w="1276" w:type="dxa"/>
            <w:tcBorders>
              <w:top w:val="nil"/>
              <w:left w:val="nil"/>
              <w:bottom w:val="nil"/>
              <w:right w:val="nil"/>
            </w:tcBorders>
            <w:shd w:val="clear" w:color="auto" w:fill="auto"/>
            <w:noWrap/>
            <w:vAlign w:val="bottom"/>
            <w:hideMark/>
          </w:tcPr>
          <w:p w:rsidRPr="00793CA3" w:rsidR="00050355" w:rsidP="00C65763" w:rsidRDefault="00050355" w14:paraId="266A86EB" w14:textId="77777777">
            <w:pPr>
              <w:spacing w:after="0" w:line="240" w:lineRule="auto"/>
              <w:rPr>
                <w:rFonts w:eastAsia="Times New Roman" w:cs="Arial"/>
                <w:b/>
                <w:bCs/>
                <w:color w:val="000000"/>
                <w:u w:val="single"/>
                <w:lang w:eastAsia="en-GB"/>
              </w:rPr>
            </w:pPr>
          </w:p>
        </w:tc>
        <w:tc>
          <w:tcPr>
            <w:tcW w:w="1559" w:type="dxa"/>
            <w:tcBorders>
              <w:top w:val="nil"/>
              <w:left w:val="nil"/>
              <w:bottom w:val="nil"/>
              <w:right w:val="nil"/>
            </w:tcBorders>
            <w:shd w:val="clear" w:color="auto" w:fill="auto"/>
            <w:noWrap/>
            <w:vAlign w:val="bottom"/>
            <w:hideMark/>
          </w:tcPr>
          <w:p w:rsidRPr="00793CA3" w:rsidR="00050355" w:rsidP="00C65763" w:rsidRDefault="00050355" w14:paraId="5FC6A0DD" w14:textId="77777777">
            <w:pPr>
              <w:spacing w:after="0" w:line="240" w:lineRule="auto"/>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C65763" w:rsidRDefault="00050355" w14:paraId="621620AA" w14:textId="77777777">
            <w:pPr>
              <w:spacing w:after="0" w:line="240" w:lineRule="auto"/>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C65763" w:rsidRDefault="00050355" w14:paraId="05F0068F" w14:textId="77777777">
            <w:pPr>
              <w:spacing w:after="0" w:line="240" w:lineRule="auto"/>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C65763" w:rsidRDefault="00050355" w14:paraId="64384588" w14:textId="77777777">
            <w:pPr>
              <w:spacing w:after="0" w:line="240" w:lineRule="auto"/>
              <w:rPr>
                <w:rFonts w:eastAsia="Times New Roman" w:cs="Arial"/>
                <w:lang w:eastAsia="en-GB"/>
              </w:rPr>
            </w:pPr>
          </w:p>
        </w:tc>
        <w:tc>
          <w:tcPr>
            <w:tcW w:w="1560" w:type="dxa"/>
            <w:tcBorders>
              <w:top w:val="nil"/>
              <w:left w:val="nil"/>
              <w:bottom w:val="nil"/>
              <w:right w:val="single" w:color="auto" w:sz="4" w:space="0"/>
            </w:tcBorders>
            <w:shd w:val="clear" w:color="auto" w:fill="auto"/>
            <w:noWrap/>
            <w:vAlign w:val="bottom"/>
            <w:hideMark/>
          </w:tcPr>
          <w:p w:rsidRPr="00793CA3" w:rsidR="00050355" w:rsidP="00C65763" w:rsidRDefault="00050355" w14:paraId="5DD06B57" w14:textId="77777777">
            <w:pPr>
              <w:spacing w:after="0" w:line="240" w:lineRule="auto"/>
              <w:rPr>
                <w:rFonts w:eastAsia="Times New Roman" w:cs="Arial"/>
                <w:b/>
                <w:bCs/>
                <w:color w:val="000000"/>
                <w:lang w:eastAsia="en-GB"/>
              </w:rPr>
            </w:pPr>
            <w:r w:rsidRPr="00793CA3">
              <w:rPr>
                <w:rFonts w:eastAsia="Times New Roman" w:cs="Arial"/>
                <w:b/>
                <w:bCs/>
                <w:color w:val="000000"/>
                <w:lang w:eastAsia="en-GB"/>
              </w:rPr>
              <w:t> </w:t>
            </w:r>
          </w:p>
        </w:tc>
      </w:tr>
      <w:tr w:rsidRPr="00614894" w:rsidR="00050355" w:rsidTr="00C65763" w14:paraId="6A17A739" w14:textId="77777777">
        <w:trPr>
          <w:trHeight w:val="300"/>
        </w:trPr>
        <w:tc>
          <w:tcPr>
            <w:tcW w:w="4248" w:type="dxa"/>
            <w:tcBorders>
              <w:top w:val="nil"/>
              <w:left w:val="single" w:color="auto" w:sz="4" w:space="0"/>
              <w:bottom w:val="nil"/>
              <w:right w:val="nil"/>
            </w:tcBorders>
            <w:shd w:val="clear" w:color="auto" w:fill="auto"/>
            <w:noWrap/>
            <w:vAlign w:val="bottom"/>
            <w:hideMark/>
          </w:tcPr>
          <w:p w:rsidRPr="00793CA3" w:rsidR="00050355" w:rsidP="00C65763" w:rsidRDefault="00050355" w14:paraId="28D195F7" w14:textId="77777777">
            <w:pPr>
              <w:spacing w:after="0" w:line="240" w:lineRule="auto"/>
              <w:rPr>
                <w:rFonts w:eastAsia="Times New Roman" w:cs="Arial"/>
                <w:color w:val="000000"/>
                <w:lang w:eastAsia="en-GB"/>
              </w:rPr>
            </w:pPr>
            <w:r w:rsidRPr="00793CA3">
              <w:rPr>
                <w:rFonts w:eastAsia="Times New Roman" w:cs="Arial"/>
                <w:color w:val="000000"/>
                <w:lang w:eastAsia="en-GB"/>
              </w:rPr>
              <w:t>Contributions from Local Authorities</w:t>
            </w:r>
          </w:p>
        </w:tc>
        <w:tc>
          <w:tcPr>
            <w:tcW w:w="1275" w:type="dxa"/>
            <w:tcBorders>
              <w:top w:val="nil"/>
              <w:left w:val="nil"/>
              <w:bottom w:val="nil"/>
              <w:right w:val="nil"/>
            </w:tcBorders>
            <w:shd w:val="clear" w:color="auto" w:fill="auto"/>
            <w:noWrap/>
            <w:vAlign w:val="bottom"/>
            <w:hideMark/>
          </w:tcPr>
          <w:p w:rsidRPr="00793CA3" w:rsidR="00050355" w:rsidP="00C65763" w:rsidRDefault="00050355" w14:paraId="0B72F4FB" w14:textId="77777777">
            <w:pPr>
              <w:spacing w:after="0" w:line="240" w:lineRule="auto"/>
              <w:rPr>
                <w:rFonts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793CA3" w:rsidR="00050355" w:rsidP="00C65763" w:rsidRDefault="00050355" w14:paraId="542D0944" w14:textId="77777777">
            <w:pPr>
              <w:spacing w:after="0" w:line="240" w:lineRule="auto"/>
              <w:rPr>
                <w:rFonts w:eastAsia="Times New Roman" w:cs="Arial"/>
                <w:lang w:eastAsia="en-GB"/>
              </w:rPr>
            </w:pPr>
          </w:p>
        </w:tc>
        <w:tc>
          <w:tcPr>
            <w:tcW w:w="1559" w:type="dxa"/>
            <w:tcBorders>
              <w:top w:val="nil"/>
              <w:left w:val="nil"/>
              <w:bottom w:val="nil"/>
              <w:right w:val="nil"/>
            </w:tcBorders>
            <w:shd w:val="clear" w:color="auto" w:fill="auto"/>
            <w:noWrap/>
            <w:vAlign w:val="bottom"/>
            <w:hideMark/>
          </w:tcPr>
          <w:p w:rsidRPr="00793CA3" w:rsidR="00050355" w:rsidP="00793CA3" w:rsidRDefault="00793CA3" w14:paraId="5EC94580" w14:textId="4E0D9BAB">
            <w:pPr>
              <w:spacing w:after="0" w:line="240" w:lineRule="auto"/>
              <w:jc w:val="right"/>
              <w:rPr>
                <w:rFonts w:eastAsia="Times New Roman" w:cs="Arial"/>
                <w:b/>
                <w:lang w:eastAsia="en-GB"/>
              </w:rPr>
            </w:pPr>
            <w:r w:rsidRPr="00793CA3">
              <w:rPr>
                <w:rFonts w:eastAsia="Times New Roman" w:cs="Arial"/>
                <w:b/>
                <w:lang w:eastAsia="en-GB"/>
              </w:rPr>
              <w:t>0</w:t>
            </w:r>
          </w:p>
        </w:tc>
        <w:tc>
          <w:tcPr>
            <w:tcW w:w="1134" w:type="dxa"/>
            <w:tcBorders>
              <w:top w:val="nil"/>
              <w:left w:val="nil"/>
              <w:bottom w:val="nil"/>
              <w:right w:val="nil"/>
            </w:tcBorders>
            <w:shd w:val="clear" w:color="auto" w:fill="auto"/>
            <w:noWrap/>
            <w:vAlign w:val="bottom"/>
            <w:hideMark/>
          </w:tcPr>
          <w:p w:rsidRPr="00793CA3" w:rsidR="00050355" w:rsidP="00793CA3" w:rsidRDefault="00050355" w14:paraId="6A7C2A7F"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793CA3" w:rsidRDefault="00050355" w14:paraId="387732AA"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793CA3" w:rsidRDefault="00793CA3" w14:paraId="4FDF6625" w14:textId="0C9D0E44">
            <w:pPr>
              <w:spacing w:after="0" w:line="240" w:lineRule="auto"/>
              <w:jc w:val="right"/>
              <w:rPr>
                <w:rFonts w:eastAsia="Times New Roman" w:cs="Arial"/>
                <w:b/>
                <w:lang w:eastAsia="en-GB"/>
              </w:rPr>
            </w:pPr>
            <w:r w:rsidRPr="00793CA3">
              <w:rPr>
                <w:rFonts w:eastAsia="Times New Roman" w:cs="Arial"/>
                <w:b/>
                <w:lang w:eastAsia="en-GB"/>
              </w:rPr>
              <w:t>(1,738)</w:t>
            </w:r>
          </w:p>
        </w:tc>
        <w:tc>
          <w:tcPr>
            <w:tcW w:w="1560" w:type="dxa"/>
            <w:tcBorders>
              <w:top w:val="nil"/>
              <w:left w:val="nil"/>
              <w:bottom w:val="nil"/>
              <w:right w:val="single" w:color="auto" w:sz="4" w:space="0"/>
            </w:tcBorders>
            <w:shd w:val="clear" w:color="auto" w:fill="auto"/>
            <w:noWrap/>
            <w:vAlign w:val="bottom"/>
          </w:tcPr>
          <w:p w:rsidRPr="00793CA3" w:rsidR="00050355" w:rsidP="00793CA3" w:rsidRDefault="00793CA3" w14:paraId="485E70BC" w14:textId="18DFD72B">
            <w:pPr>
              <w:spacing w:after="0" w:line="240" w:lineRule="auto"/>
              <w:jc w:val="right"/>
              <w:rPr>
                <w:rFonts w:eastAsia="Times New Roman" w:cs="Arial"/>
                <w:b/>
                <w:color w:val="000000"/>
                <w:lang w:eastAsia="en-GB"/>
              </w:rPr>
            </w:pPr>
            <w:r w:rsidRPr="00793CA3">
              <w:rPr>
                <w:rFonts w:eastAsia="Times New Roman" w:cs="Arial"/>
                <w:b/>
                <w:color w:val="000000"/>
                <w:lang w:eastAsia="en-GB"/>
              </w:rPr>
              <w:t>(1,738)</w:t>
            </w:r>
          </w:p>
        </w:tc>
      </w:tr>
      <w:tr w:rsidRPr="00614894" w:rsidR="00050355" w:rsidTr="00C65763" w14:paraId="31225C11" w14:textId="77777777">
        <w:trPr>
          <w:trHeight w:val="290"/>
        </w:trPr>
        <w:tc>
          <w:tcPr>
            <w:tcW w:w="4248" w:type="dxa"/>
            <w:tcBorders>
              <w:top w:val="nil"/>
              <w:left w:val="single" w:color="auto" w:sz="4" w:space="0"/>
              <w:bottom w:val="nil"/>
              <w:right w:val="nil"/>
            </w:tcBorders>
            <w:shd w:val="clear" w:color="auto" w:fill="auto"/>
            <w:noWrap/>
            <w:vAlign w:val="bottom"/>
            <w:hideMark/>
          </w:tcPr>
          <w:p w:rsidRPr="00793CA3" w:rsidR="00050355" w:rsidP="00C65763" w:rsidRDefault="00050355" w14:paraId="28772820" w14:textId="77777777">
            <w:pPr>
              <w:spacing w:after="0" w:line="240" w:lineRule="auto"/>
              <w:rPr>
                <w:rFonts w:eastAsia="Times New Roman" w:cs="Arial"/>
                <w:color w:val="000000"/>
                <w:lang w:eastAsia="en-GB"/>
              </w:rPr>
            </w:pPr>
            <w:r w:rsidRPr="00793CA3">
              <w:rPr>
                <w:rFonts w:eastAsia="Times New Roman" w:cs="Arial"/>
                <w:color w:val="000000"/>
                <w:lang w:eastAsia="en-GB"/>
              </w:rPr>
              <w:t xml:space="preserve">Repayment of Prior Year Underspend </w:t>
            </w:r>
          </w:p>
        </w:tc>
        <w:tc>
          <w:tcPr>
            <w:tcW w:w="1275" w:type="dxa"/>
            <w:tcBorders>
              <w:top w:val="nil"/>
              <w:left w:val="nil"/>
              <w:bottom w:val="nil"/>
              <w:right w:val="nil"/>
            </w:tcBorders>
            <w:shd w:val="clear" w:color="auto" w:fill="auto"/>
            <w:noWrap/>
            <w:vAlign w:val="bottom"/>
            <w:hideMark/>
          </w:tcPr>
          <w:p w:rsidRPr="00793CA3" w:rsidR="00050355" w:rsidP="00C65763" w:rsidRDefault="00050355" w14:paraId="7E4B151C" w14:textId="77777777">
            <w:pPr>
              <w:spacing w:after="0" w:line="240" w:lineRule="auto"/>
              <w:rPr>
                <w:rFonts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793CA3" w:rsidR="00050355" w:rsidP="00C65763" w:rsidRDefault="00050355" w14:paraId="2175C9EF" w14:textId="77777777">
            <w:pPr>
              <w:spacing w:after="0" w:line="240" w:lineRule="auto"/>
              <w:rPr>
                <w:rFonts w:eastAsia="Times New Roman" w:cs="Arial"/>
                <w:lang w:eastAsia="en-GB"/>
              </w:rPr>
            </w:pPr>
          </w:p>
        </w:tc>
        <w:tc>
          <w:tcPr>
            <w:tcW w:w="1559" w:type="dxa"/>
            <w:tcBorders>
              <w:top w:val="nil"/>
              <w:left w:val="nil"/>
              <w:bottom w:val="nil"/>
              <w:right w:val="nil"/>
            </w:tcBorders>
            <w:shd w:val="clear" w:color="auto" w:fill="auto"/>
            <w:noWrap/>
            <w:vAlign w:val="bottom"/>
            <w:hideMark/>
          </w:tcPr>
          <w:p w:rsidRPr="00793CA3" w:rsidR="00050355" w:rsidP="00793CA3" w:rsidRDefault="00793CA3" w14:paraId="3ED0ABEB" w14:textId="5B4A195D">
            <w:pPr>
              <w:spacing w:after="0" w:line="240" w:lineRule="auto"/>
              <w:jc w:val="right"/>
              <w:rPr>
                <w:rFonts w:eastAsia="Times New Roman" w:cs="Arial"/>
                <w:b/>
                <w:lang w:eastAsia="en-GB"/>
              </w:rPr>
            </w:pPr>
            <w:r w:rsidRPr="00793CA3">
              <w:rPr>
                <w:rFonts w:eastAsia="Times New Roman" w:cs="Arial"/>
                <w:b/>
                <w:lang w:eastAsia="en-GB"/>
              </w:rPr>
              <w:t>0</w:t>
            </w:r>
          </w:p>
        </w:tc>
        <w:tc>
          <w:tcPr>
            <w:tcW w:w="1134" w:type="dxa"/>
            <w:tcBorders>
              <w:top w:val="nil"/>
              <w:left w:val="nil"/>
              <w:bottom w:val="nil"/>
              <w:right w:val="nil"/>
            </w:tcBorders>
            <w:shd w:val="clear" w:color="auto" w:fill="auto"/>
            <w:noWrap/>
            <w:vAlign w:val="bottom"/>
            <w:hideMark/>
          </w:tcPr>
          <w:p w:rsidRPr="00793CA3" w:rsidR="00050355" w:rsidP="00793CA3" w:rsidRDefault="00050355" w14:paraId="666024E5"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793CA3" w:rsidRDefault="00050355" w14:paraId="11744CD2"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793CA3" w:rsidRDefault="00793CA3" w14:paraId="35B3CFC8" w14:textId="098D1D29">
            <w:pPr>
              <w:spacing w:after="0" w:line="240" w:lineRule="auto"/>
              <w:jc w:val="right"/>
              <w:rPr>
                <w:rFonts w:eastAsia="Times New Roman" w:cs="Arial"/>
                <w:b/>
                <w:lang w:eastAsia="en-GB"/>
              </w:rPr>
            </w:pPr>
            <w:r w:rsidRPr="00793CA3">
              <w:rPr>
                <w:rFonts w:eastAsia="Times New Roman" w:cs="Arial"/>
                <w:b/>
                <w:lang w:eastAsia="en-GB"/>
              </w:rPr>
              <w:t>0</w:t>
            </w:r>
          </w:p>
        </w:tc>
        <w:tc>
          <w:tcPr>
            <w:tcW w:w="1560" w:type="dxa"/>
            <w:tcBorders>
              <w:top w:val="nil"/>
              <w:left w:val="nil"/>
              <w:bottom w:val="nil"/>
              <w:right w:val="single" w:color="auto" w:sz="4" w:space="0"/>
            </w:tcBorders>
            <w:shd w:val="clear" w:color="auto" w:fill="auto"/>
            <w:noWrap/>
            <w:vAlign w:val="bottom"/>
          </w:tcPr>
          <w:p w:rsidRPr="00793CA3" w:rsidR="00050355" w:rsidP="00793CA3" w:rsidRDefault="00793CA3" w14:paraId="4E370E09" w14:textId="76B656C7">
            <w:pPr>
              <w:spacing w:after="0" w:line="240" w:lineRule="auto"/>
              <w:jc w:val="right"/>
              <w:rPr>
                <w:rFonts w:eastAsia="Times New Roman" w:cs="Arial"/>
                <w:b/>
                <w:color w:val="000000"/>
                <w:lang w:eastAsia="en-GB"/>
              </w:rPr>
            </w:pPr>
            <w:r w:rsidRPr="00793CA3">
              <w:rPr>
                <w:rFonts w:eastAsia="Times New Roman" w:cs="Arial"/>
                <w:b/>
                <w:color w:val="000000"/>
                <w:lang w:eastAsia="en-GB"/>
              </w:rPr>
              <w:t>0</w:t>
            </w:r>
          </w:p>
        </w:tc>
      </w:tr>
      <w:tr w:rsidRPr="00614894" w:rsidR="00050355" w:rsidTr="00C65763" w14:paraId="2CB1BBA1" w14:textId="77777777">
        <w:trPr>
          <w:trHeight w:val="290"/>
        </w:trPr>
        <w:tc>
          <w:tcPr>
            <w:tcW w:w="4248" w:type="dxa"/>
            <w:tcBorders>
              <w:top w:val="nil"/>
              <w:left w:val="single" w:color="auto" w:sz="4" w:space="0"/>
              <w:bottom w:val="nil"/>
              <w:right w:val="nil"/>
            </w:tcBorders>
            <w:shd w:val="clear" w:color="auto" w:fill="auto"/>
            <w:noWrap/>
            <w:vAlign w:val="center"/>
            <w:hideMark/>
          </w:tcPr>
          <w:p w:rsidRPr="00793CA3" w:rsidR="00050355" w:rsidP="00C65763" w:rsidRDefault="00050355" w14:paraId="0E32C821" w14:textId="77777777">
            <w:pPr>
              <w:spacing w:after="0" w:line="240" w:lineRule="auto"/>
              <w:rPr>
                <w:rFonts w:eastAsia="Times New Roman" w:cs="Arial"/>
                <w:color w:val="000000"/>
                <w:lang w:eastAsia="en-GB"/>
              </w:rPr>
            </w:pPr>
            <w:r w:rsidRPr="00793CA3">
              <w:rPr>
                <w:rFonts w:eastAsia="Times New Roman" w:cs="Arial"/>
                <w:color w:val="000000"/>
                <w:lang w:eastAsia="en-GB"/>
              </w:rPr>
              <w:t>Repayment of Implementation Reserve</w:t>
            </w:r>
          </w:p>
        </w:tc>
        <w:tc>
          <w:tcPr>
            <w:tcW w:w="1275" w:type="dxa"/>
            <w:tcBorders>
              <w:top w:val="nil"/>
              <w:left w:val="nil"/>
              <w:bottom w:val="nil"/>
              <w:right w:val="nil"/>
            </w:tcBorders>
            <w:shd w:val="clear" w:color="auto" w:fill="auto"/>
            <w:noWrap/>
            <w:vAlign w:val="bottom"/>
            <w:hideMark/>
          </w:tcPr>
          <w:p w:rsidRPr="00793CA3" w:rsidR="00050355" w:rsidP="00C65763" w:rsidRDefault="00050355" w14:paraId="4D344632" w14:textId="77777777">
            <w:pPr>
              <w:spacing w:after="0" w:line="240" w:lineRule="auto"/>
              <w:rPr>
                <w:rFonts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793CA3" w:rsidR="00050355" w:rsidP="00C65763" w:rsidRDefault="00050355" w14:paraId="6975CC72" w14:textId="77777777">
            <w:pPr>
              <w:spacing w:after="0" w:line="240" w:lineRule="auto"/>
              <w:rPr>
                <w:rFonts w:eastAsia="Times New Roman" w:cs="Arial"/>
                <w:lang w:eastAsia="en-GB"/>
              </w:rPr>
            </w:pPr>
          </w:p>
        </w:tc>
        <w:tc>
          <w:tcPr>
            <w:tcW w:w="1559" w:type="dxa"/>
            <w:tcBorders>
              <w:top w:val="nil"/>
              <w:left w:val="nil"/>
              <w:bottom w:val="nil"/>
              <w:right w:val="nil"/>
            </w:tcBorders>
            <w:shd w:val="clear" w:color="auto" w:fill="auto"/>
            <w:noWrap/>
            <w:vAlign w:val="bottom"/>
            <w:hideMark/>
          </w:tcPr>
          <w:p w:rsidRPr="00793CA3" w:rsidR="00050355" w:rsidP="00793CA3" w:rsidRDefault="00793CA3" w14:paraId="67311AE9" w14:textId="7C513D0F">
            <w:pPr>
              <w:spacing w:after="0" w:line="240" w:lineRule="auto"/>
              <w:jc w:val="right"/>
              <w:rPr>
                <w:rFonts w:eastAsia="Times New Roman" w:cs="Arial"/>
                <w:b/>
                <w:lang w:eastAsia="en-GB"/>
              </w:rPr>
            </w:pPr>
            <w:r w:rsidRPr="00793CA3">
              <w:rPr>
                <w:rFonts w:eastAsia="Times New Roman" w:cs="Arial"/>
                <w:b/>
                <w:lang w:eastAsia="en-GB"/>
              </w:rPr>
              <w:t>0</w:t>
            </w:r>
          </w:p>
        </w:tc>
        <w:tc>
          <w:tcPr>
            <w:tcW w:w="1134" w:type="dxa"/>
            <w:tcBorders>
              <w:top w:val="nil"/>
              <w:left w:val="nil"/>
              <w:bottom w:val="nil"/>
              <w:right w:val="nil"/>
            </w:tcBorders>
            <w:shd w:val="clear" w:color="auto" w:fill="auto"/>
            <w:noWrap/>
            <w:vAlign w:val="bottom"/>
            <w:hideMark/>
          </w:tcPr>
          <w:p w:rsidRPr="00793CA3" w:rsidR="00050355" w:rsidP="00793CA3" w:rsidRDefault="00050355" w14:paraId="61E25341"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793CA3" w:rsidRDefault="00050355" w14:paraId="42A0D30F"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793CA3" w:rsidRDefault="00793CA3" w14:paraId="2ECDB640" w14:textId="7EFDBE33">
            <w:pPr>
              <w:spacing w:after="0" w:line="240" w:lineRule="auto"/>
              <w:jc w:val="right"/>
              <w:rPr>
                <w:rFonts w:eastAsia="Times New Roman" w:cs="Arial"/>
                <w:b/>
                <w:lang w:eastAsia="en-GB"/>
              </w:rPr>
            </w:pPr>
            <w:r w:rsidRPr="00793CA3">
              <w:rPr>
                <w:rFonts w:eastAsia="Times New Roman" w:cs="Arial"/>
                <w:b/>
                <w:lang w:eastAsia="en-GB"/>
              </w:rPr>
              <w:t>0</w:t>
            </w:r>
          </w:p>
        </w:tc>
        <w:tc>
          <w:tcPr>
            <w:tcW w:w="1560" w:type="dxa"/>
            <w:tcBorders>
              <w:top w:val="nil"/>
              <w:left w:val="nil"/>
              <w:bottom w:val="nil"/>
              <w:right w:val="single" w:color="auto" w:sz="4" w:space="0"/>
            </w:tcBorders>
            <w:shd w:val="clear" w:color="auto" w:fill="auto"/>
            <w:noWrap/>
            <w:vAlign w:val="bottom"/>
          </w:tcPr>
          <w:p w:rsidRPr="00793CA3" w:rsidR="00050355" w:rsidP="00793CA3" w:rsidRDefault="00793CA3" w14:paraId="24D579E3" w14:textId="52C63CAE">
            <w:pPr>
              <w:spacing w:after="0" w:line="240" w:lineRule="auto"/>
              <w:jc w:val="right"/>
              <w:rPr>
                <w:rFonts w:eastAsia="Times New Roman" w:cs="Arial"/>
                <w:b/>
                <w:color w:val="000000"/>
                <w:lang w:eastAsia="en-GB"/>
              </w:rPr>
            </w:pPr>
            <w:r w:rsidRPr="00793CA3">
              <w:rPr>
                <w:rFonts w:eastAsia="Times New Roman" w:cs="Arial"/>
                <w:b/>
                <w:color w:val="000000"/>
                <w:lang w:eastAsia="en-GB"/>
              </w:rPr>
              <w:t>0</w:t>
            </w:r>
          </w:p>
        </w:tc>
      </w:tr>
      <w:tr w:rsidRPr="00614894" w:rsidR="00050355" w:rsidTr="00C65763" w14:paraId="3FF26B88" w14:textId="77777777">
        <w:trPr>
          <w:trHeight w:val="290"/>
        </w:trPr>
        <w:tc>
          <w:tcPr>
            <w:tcW w:w="4248" w:type="dxa"/>
            <w:tcBorders>
              <w:top w:val="nil"/>
              <w:left w:val="single" w:color="auto" w:sz="4" w:space="0"/>
              <w:bottom w:val="nil"/>
              <w:right w:val="nil"/>
            </w:tcBorders>
            <w:shd w:val="clear" w:color="auto" w:fill="auto"/>
            <w:noWrap/>
            <w:vAlign w:val="bottom"/>
            <w:hideMark/>
          </w:tcPr>
          <w:p w:rsidRPr="00793CA3" w:rsidR="00050355" w:rsidP="00C65763" w:rsidRDefault="00050355" w14:paraId="3977D1E0" w14:textId="77777777">
            <w:pPr>
              <w:spacing w:after="0" w:line="240" w:lineRule="auto"/>
              <w:rPr>
                <w:rFonts w:eastAsia="Times New Roman" w:cs="Arial"/>
                <w:color w:val="000000"/>
                <w:lang w:eastAsia="en-GB"/>
              </w:rPr>
            </w:pPr>
            <w:r w:rsidRPr="00793CA3">
              <w:rPr>
                <w:rFonts w:eastAsia="Times New Roman" w:cs="Arial"/>
                <w:color w:val="000000"/>
                <w:lang w:eastAsia="en-GB"/>
              </w:rPr>
              <w:t>Pension Interest Payable (</w:t>
            </w:r>
            <w:r w:rsidRPr="00793CA3">
              <w:rPr>
                <w:rFonts w:eastAsia="Times New Roman" w:cs="Arial"/>
                <w:b/>
                <w:bCs/>
                <w:color w:val="000000"/>
                <w:lang w:eastAsia="en-GB"/>
              </w:rPr>
              <w:t>Note 24</w:t>
            </w:r>
            <w:r w:rsidRPr="00793CA3">
              <w:rPr>
                <w:rFonts w:eastAsia="Times New Roman" w:cs="Arial"/>
                <w:color w:val="000000"/>
                <w:lang w:eastAsia="en-GB"/>
              </w:rPr>
              <w:t>)</w:t>
            </w:r>
          </w:p>
        </w:tc>
        <w:tc>
          <w:tcPr>
            <w:tcW w:w="1275" w:type="dxa"/>
            <w:tcBorders>
              <w:top w:val="nil"/>
              <w:left w:val="nil"/>
              <w:bottom w:val="nil"/>
              <w:right w:val="nil"/>
            </w:tcBorders>
            <w:shd w:val="clear" w:color="auto" w:fill="auto"/>
            <w:noWrap/>
            <w:vAlign w:val="bottom"/>
            <w:hideMark/>
          </w:tcPr>
          <w:p w:rsidRPr="00793CA3" w:rsidR="00050355" w:rsidP="00C65763" w:rsidRDefault="00050355" w14:paraId="44BB55AB" w14:textId="77777777">
            <w:pPr>
              <w:spacing w:after="0" w:line="240" w:lineRule="auto"/>
              <w:rPr>
                <w:rFonts w:eastAsia="Times New Roman" w:cs="Arial"/>
                <w:color w:val="000000"/>
                <w:lang w:eastAsia="en-GB"/>
              </w:rPr>
            </w:pPr>
          </w:p>
        </w:tc>
        <w:tc>
          <w:tcPr>
            <w:tcW w:w="1276" w:type="dxa"/>
            <w:tcBorders>
              <w:top w:val="nil"/>
              <w:left w:val="nil"/>
              <w:bottom w:val="nil"/>
              <w:right w:val="nil"/>
            </w:tcBorders>
            <w:shd w:val="clear" w:color="auto" w:fill="auto"/>
            <w:noWrap/>
            <w:vAlign w:val="bottom"/>
            <w:hideMark/>
          </w:tcPr>
          <w:p w:rsidRPr="00793CA3" w:rsidR="00050355" w:rsidP="00C65763" w:rsidRDefault="00050355" w14:paraId="61D24C0C" w14:textId="77777777">
            <w:pPr>
              <w:spacing w:after="0" w:line="240" w:lineRule="auto"/>
              <w:rPr>
                <w:rFonts w:eastAsia="Times New Roman" w:cs="Arial"/>
                <w:lang w:eastAsia="en-GB"/>
              </w:rPr>
            </w:pPr>
          </w:p>
        </w:tc>
        <w:tc>
          <w:tcPr>
            <w:tcW w:w="1559" w:type="dxa"/>
            <w:tcBorders>
              <w:top w:val="nil"/>
              <w:left w:val="nil"/>
              <w:bottom w:val="nil"/>
              <w:right w:val="nil"/>
            </w:tcBorders>
            <w:shd w:val="clear" w:color="auto" w:fill="auto"/>
            <w:noWrap/>
            <w:vAlign w:val="bottom"/>
            <w:hideMark/>
          </w:tcPr>
          <w:p w:rsidRPr="00793CA3" w:rsidR="00050355" w:rsidP="00793CA3" w:rsidRDefault="00793CA3" w14:paraId="5BBC5AC6" w14:textId="562CAA4D">
            <w:pPr>
              <w:spacing w:after="0" w:line="240" w:lineRule="auto"/>
              <w:jc w:val="right"/>
              <w:rPr>
                <w:rFonts w:eastAsia="Times New Roman" w:cs="Arial"/>
                <w:b/>
                <w:lang w:eastAsia="en-GB"/>
              </w:rPr>
            </w:pPr>
            <w:r w:rsidRPr="00793CA3">
              <w:rPr>
                <w:rFonts w:eastAsia="Times New Roman" w:cs="Arial"/>
                <w:b/>
                <w:lang w:eastAsia="en-GB"/>
              </w:rPr>
              <w:t>90</w:t>
            </w:r>
          </w:p>
        </w:tc>
        <w:tc>
          <w:tcPr>
            <w:tcW w:w="1134" w:type="dxa"/>
            <w:tcBorders>
              <w:top w:val="nil"/>
              <w:left w:val="nil"/>
              <w:bottom w:val="nil"/>
              <w:right w:val="nil"/>
            </w:tcBorders>
            <w:shd w:val="clear" w:color="auto" w:fill="auto"/>
            <w:noWrap/>
            <w:vAlign w:val="bottom"/>
            <w:hideMark/>
          </w:tcPr>
          <w:p w:rsidRPr="00793CA3" w:rsidR="00050355" w:rsidP="00793CA3" w:rsidRDefault="00050355" w14:paraId="63F345C7"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793CA3" w:rsidRDefault="00050355" w14:paraId="06C8DA0F" w14:textId="77777777">
            <w:pPr>
              <w:spacing w:after="0" w:line="240" w:lineRule="auto"/>
              <w:jc w:val="right"/>
              <w:rPr>
                <w:rFonts w:eastAsia="Times New Roman" w:cs="Arial"/>
                <w:lang w:eastAsia="en-GB"/>
              </w:rPr>
            </w:pPr>
          </w:p>
        </w:tc>
        <w:tc>
          <w:tcPr>
            <w:tcW w:w="1134" w:type="dxa"/>
            <w:tcBorders>
              <w:top w:val="nil"/>
              <w:left w:val="nil"/>
              <w:bottom w:val="nil"/>
              <w:right w:val="nil"/>
            </w:tcBorders>
            <w:shd w:val="clear" w:color="auto" w:fill="auto"/>
            <w:noWrap/>
            <w:vAlign w:val="bottom"/>
            <w:hideMark/>
          </w:tcPr>
          <w:p w:rsidRPr="00793CA3" w:rsidR="00050355" w:rsidP="00793CA3" w:rsidRDefault="00793CA3" w14:paraId="6262211A" w14:textId="3CC5A930">
            <w:pPr>
              <w:spacing w:after="0" w:line="240" w:lineRule="auto"/>
              <w:jc w:val="right"/>
              <w:rPr>
                <w:rFonts w:eastAsia="Times New Roman" w:cs="Arial"/>
                <w:b/>
                <w:lang w:eastAsia="en-GB"/>
              </w:rPr>
            </w:pPr>
            <w:r w:rsidRPr="00793CA3">
              <w:rPr>
                <w:rFonts w:eastAsia="Times New Roman" w:cs="Arial"/>
                <w:b/>
                <w:lang w:eastAsia="en-GB"/>
              </w:rPr>
              <w:t>0</w:t>
            </w:r>
          </w:p>
        </w:tc>
        <w:tc>
          <w:tcPr>
            <w:tcW w:w="1560" w:type="dxa"/>
            <w:tcBorders>
              <w:top w:val="nil"/>
              <w:left w:val="nil"/>
              <w:bottom w:val="nil"/>
              <w:right w:val="single" w:color="auto" w:sz="4" w:space="0"/>
            </w:tcBorders>
            <w:shd w:val="clear" w:color="auto" w:fill="auto"/>
            <w:noWrap/>
            <w:vAlign w:val="bottom"/>
          </w:tcPr>
          <w:p w:rsidRPr="00793CA3" w:rsidR="00050355" w:rsidP="00793CA3" w:rsidRDefault="00793CA3" w14:paraId="699CD05D" w14:textId="0DFD24CE">
            <w:pPr>
              <w:spacing w:after="0" w:line="240" w:lineRule="auto"/>
              <w:jc w:val="right"/>
              <w:rPr>
                <w:rFonts w:eastAsia="Times New Roman" w:cs="Arial"/>
                <w:b/>
                <w:color w:val="000000"/>
                <w:lang w:eastAsia="en-GB"/>
              </w:rPr>
            </w:pPr>
            <w:r w:rsidRPr="00793CA3">
              <w:rPr>
                <w:rFonts w:eastAsia="Times New Roman" w:cs="Arial"/>
                <w:b/>
                <w:color w:val="000000"/>
                <w:lang w:eastAsia="en-GB"/>
              </w:rPr>
              <w:t>90</w:t>
            </w:r>
          </w:p>
        </w:tc>
      </w:tr>
      <w:tr w:rsidRPr="00614894" w:rsidR="00050355" w:rsidTr="00C65763" w14:paraId="686EABBA" w14:textId="77777777">
        <w:trPr>
          <w:trHeight w:val="290"/>
        </w:trPr>
        <w:tc>
          <w:tcPr>
            <w:tcW w:w="5523" w:type="dxa"/>
            <w:gridSpan w:val="2"/>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793CA3" w:rsidR="00050355" w:rsidP="00C65763" w:rsidRDefault="00050355" w14:paraId="521421E3" w14:textId="77777777">
            <w:pPr>
              <w:spacing w:after="0" w:line="240" w:lineRule="auto"/>
              <w:rPr>
                <w:rFonts w:eastAsia="Times New Roman" w:cs="Arial"/>
                <w:b/>
                <w:bCs/>
                <w:color w:val="000000"/>
                <w:lang w:eastAsia="en-GB"/>
              </w:rPr>
            </w:pPr>
            <w:r w:rsidRPr="00793CA3">
              <w:rPr>
                <w:rFonts w:eastAsia="Times New Roman" w:cs="Arial"/>
                <w:b/>
                <w:bCs/>
                <w:color w:val="000000"/>
                <w:lang w:eastAsia="en-GB"/>
              </w:rPr>
              <w:t>Financing &amp; Investment Income &amp; Expenditure</w:t>
            </w:r>
          </w:p>
        </w:tc>
        <w:tc>
          <w:tcPr>
            <w:tcW w:w="1276"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C65763" w:rsidRDefault="00050355" w14:paraId="6964E75D" w14:textId="77777777">
            <w:pPr>
              <w:spacing w:after="0" w:line="240" w:lineRule="auto"/>
              <w:rPr>
                <w:rFonts w:eastAsia="Times New Roman" w:cs="Arial"/>
                <w:b/>
                <w:bCs/>
                <w:color w:val="000000"/>
                <w:lang w:eastAsia="en-GB"/>
              </w:rPr>
            </w:pPr>
            <w:r w:rsidRPr="00793CA3">
              <w:rPr>
                <w:rFonts w:eastAsia="Times New Roman" w:cs="Arial"/>
                <w:b/>
                <w:bCs/>
                <w:color w:val="000000"/>
                <w:lang w:eastAsia="en-GB"/>
              </w:rPr>
              <w:t> </w:t>
            </w:r>
          </w:p>
        </w:tc>
        <w:tc>
          <w:tcPr>
            <w:tcW w:w="1559"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793CA3" w:rsidRDefault="00793CA3" w14:paraId="5F0CDC2F" w14:textId="3C300D5B">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90</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793CA3" w:rsidRDefault="00050355" w14:paraId="0B67EB84" w14:textId="77777777">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 </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793CA3" w:rsidRDefault="00050355" w14:paraId="2CC2E4C5" w14:textId="77777777">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 </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793CA3" w:rsidRDefault="00050355" w14:paraId="4BCF2DC9" w14:textId="134FA21C">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 </w:t>
            </w:r>
            <w:r w:rsidRPr="00793CA3" w:rsidR="00793CA3">
              <w:rPr>
                <w:rFonts w:eastAsia="Times New Roman" w:cs="Arial"/>
                <w:b/>
                <w:bCs/>
                <w:color w:val="000000"/>
                <w:lang w:eastAsia="en-GB"/>
              </w:rPr>
              <w:t>(1,738)</w:t>
            </w:r>
          </w:p>
        </w:tc>
        <w:tc>
          <w:tcPr>
            <w:tcW w:w="1560"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793CA3" w:rsidR="00050355" w:rsidP="00793CA3" w:rsidRDefault="00793CA3" w14:paraId="661C5827" w14:textId="7A234EB4">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(1,648)</w:t>
            </w:r>
          </w:p>
        </w:tc>
      </w:tr>
      <w:tr w:rsidRPr="00614894" w:rsidR="00050355" w:rsidTr="00C65763" w14:paraId="5EBA36CA" w14:textId="77777777">
        <w:trPr>
          <w:trHeight w:val="300"/>
        </w:trPr>
        <w:tc>
          <w:tcPr>
            <w:tcW w:w="4248"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793CA3" w:rsidR="00050355" w:rsidP="00C65763" w:rsidRDefault="00050355" w14:paraId="78BEFD6C" w14:textId="77777777">
            <w:pPr>
              <w:spacing w:after="0" w:line="240" w:lineRule="auto"/>
              <w:rPr>
                <w:rFonts w:eastAsia="Times New Roman" w:cs="Arial"/>
                <w:b/>
                <w:bCs/>
                <w:color w:val="000000"/>
                <w:lang w:eastAsia="en-GB"/>
              </w:rPr>
            </w:pPr>
            <w:r w:rsidRPr="00793CA3">
              <w:rPr>
                <w:rFonts w:eastAsia="Times New Roman" w:cs="Arial"/>
                <w:b/>
                <w:bCs/>
                <w:color w:val="000000"/>
                <w:lang w:eastAsia="en-GB"/>
              </w:rPr>
              <w:t>(Surplus)/Deficit on Provision of Services</w:t>
            </w:r>
          </w:p>
        </w:tc>
        <w:tc>
          <w:tcPr>
            <w:tcW w:w="1275"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C65763" w:rsidRDefault="00050355" w14:paraId="520D05EE" w14:textId="77777777">
            <w:pPr>
              <w:spacing w:after="0" w:line="240" w:lineRule="auto"/>
              <w:rPr>
                <w:rFonts w:eastAsia="Times New Roman" w:cs="Arial"/>
                <w:b/>
                <w:bCs/>
                <w:color w:val="000000"/>
                <w:lang w:eastAsia="en-GB"/>
              </w:rPr>
            </w:pPr>
            <w:r w:rsidRPr="00793CA3">
              <w:rPr>
                <w:rFonts w:eastAsia="Times New Roman" w:cs="Arial"/>
                <w:b/>
                <w:bCs/>
                <w:color w:val="000000"/>
                <w:lang w:eastAsia="en-GB"/>
              </w:rPr>
              <w:t> </w:t>
            </w:r>
          </w:p>
        </w:tc>
        <w:tc>
          <w:tcPr>
            <w:tcW w:w="1276"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C65763" w:rsidRDefault="00050355" w14:paraId="58A9524D" w14:textId="77777777">
            <w:pPr>
              <w:spacing w:after="0" w:line="240" w:lineRule="auto"/>
              <w:rPr>
                <w:rFonts w:eastAsia="Times New Roman" w:cs="Arial"/>
                <w:b/>
                <w:bCs/>
                <w:color w:val="000000"/>
                <w:lang w:eastAsia="en-GB"/>
              </w:rPr>
            </w:pPr>
            <w:r w:rsidRPr="00793CA3">
              <w:rPr>
                <w:rFonts w:eastAsia="Times New Roman" w:cs="Arial"/>
                <w:b/>
                <w:bCs/>
                <w:color w:val="000000"/>
                <w:lang w:eastAsia="en-GB"/>
              </w:rPr>
              <w:t> </w:t>
            </w:r>
          </w:p>
        </w:tc>
        <w:tc>
          <w:tcPr>
            <w:tcW w:w="1559"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793CA3" w:rsidRDefault="00793CA3" w14:paraId="72C741D1" w14:textId="5268C887">
            <w:pPr>
              <w:spacing w:after="0" w:line="240" w:lineRule="auto"/>
              <w:jc w:val="right"/>
              <w:rPr>
                <w:rFonts w:eastAsia="Times New Roman" w:cs="Arial"/>
                <w:b/>
                <w:color w:val="000000"/>
                <w:lang w:eastAsia="en-GB"/>
              </w:rPr>
            </w:pPr>
            <w:r w:rsidRPr="00793CA3">
              <w:rPr>
                <w:rFonts w:eastAsia="Times New Roman" w:cs="Arial"/>
                <w:b/>
                <w:color w:val="000000"/>
                <w:lang w:eastAsia="en-GB"/>
              </w:rPr>
              <w:t>2,759</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793CA3" w:rsidRDefault="00050355" w14:paraId="6134D3B4" w14:textId="77777777">
            <w:pPr>
              <w:spacing w:after="0" w:line="240" w:lineRule="auto"/>
              <w:jc w:val="right"/>
              <w:rPr>
                <w:rFonts w:eastAsia="Times New Roman" w:cs="Arial"/>
                <w:color w:val="000000"/>
                <w:lang w:eastAsia="en-GB"/>
              </w:rPr>
            </w:pPr>
            <w:r w:rsidRPr="00793CA3">
              <w:rPr>
                <w:rFonts w:eastAsia="Times New Roman" w:cs="Arial"/>
                <w:color w:val="000000"/>
                <w:lang w:eastAsia="en-GB"/>
              </w:rPr>
              <w:t> </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793CA3" w:rsidRDefault="00050355" w14:paraId="42AA8612" w14:textId="77777777">
            <w:pPr>
              <w:spacing w:after="0" w:line="240" w:lineRule="auto"/>
              <w:jc w:val="right"/>
              <w:rPr>
                <w:rFonts w:eastAsia="Times New Roman" w:cs="Arial"/>
                <w:color w:val="000000"/>
                <w:lang w:eastAsia="en-GB"/>
              </w:rPr>
            </w:pPr>
            <w:r w:rsidRPr="00793CA3">
              <w:rPr>
                <w:rFonts w:eastAsia="Times New Roman" w:cs="Arial"/>
                <w:color w:val="000000"/>
                <w:lang w:eastAsia="en-GB"/>
              </w:rPr>
              <w:t> </w:t>
            </w:r>
          </w:p>
        </w:tc>
        <w:tc>
          <w:tcPr>
            <w:tcW w:w="1134"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050355" w:rsidP="00793CA3" w:rsidRDefault="00793CA3" w14:paraId="22E626AD" w14:textId="1DB8A2FE">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(2,408)</w:t>
            </w:r>
          </w:p>
        </w:tc>
        <w:tc>
          <w:tcPr>
            <w:tcW w:w="1560"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793CA3" w:rsidR="00050355" w:rsidP="00793CA3" w:rsidRDefault="00793CA3" w14:paraId="72666EEC" w14:textId="38805998">
            <w:pPr>
              <w:spacing w:after="0" w:line="240" w:lineRule="auto"/>
              <w:jc w:val="right"/>
              <w:rPr>
                <w:rFonts w:eastAsia="Times New Roman" w:cs="Arial"/>
                <w:b/>
                <w:bCs/>
                <w:color w:val="000000"/>
                <w:lang w:eastAsia="en-GB"/>
              </w:rPr>
            </w:pPr>
            <w:r w:rsidRPr="00793CA3">
              <w:rPr>
                <w:rFonts w:eastAsia="Times New Roman" w:cs="Arial"/>
                <w:b/>
                <w:bCs/>
                <w:color w:val="000000"/>
                <w:lang w:eastAsia="en-GB"/>
              </w:rPr>
              <w:t>351</w:t>
            </w:r>
          </w:p>
        </w:tc>
      </w:tr>
    </w:tbl>
    <w:p w:rsidR="00050355" w:rsidP="00050355" w:rsidRDefault="00050355" w14:paraId="4CE67BE4" w14:textId="77777777">
      <w:pPr>
        <w:rPr>
          <w:highlight w:val="yellow"/>
        </w:rPr>
      </w:pPr>
    </w:p>
    <w:p w:rsidR="00050355" w:rsidP="00050355" w:rsidRDefault="00050355" w14:paraId="477297F2" w14:textId="77777777">
      <w:pPr>
        <w:rPr>
          <w:highlight w:val="yellow"/>
        </w:rPr>
      </w:pPr>
    </w:p>
    <w:p w:rsidRPr="00050355" w:rsidR="00050355" w:rsidP="00050355" w:rsidRDefault="00050355" w14:paraId="4A02B8C4" w14:textId="412BC6B3">
      <w:pPr>
        <w:rPr>
          <w:rFonts w:cs="Arial"/>
          <w:highlight w:val="yellow"/>
        </w:rPr>
        <w:sectPr w:rsidRPr="00050355" w:rsidR="00050355" w:rsidSect="00BD73ED">
          <w:pgSz w:w="16838" w:h="11906" w:orient="landscape" w:code="9"/>
          <w:pgMar w:top="1440" w:right="1440" w:bottom="1440" w:left="1440" w:header="680" w:footer="680" w:gutter="0"/>
          <w:cols w:space="708"/>
          <w:titlePg/>
          <w:docGrid w:linePitch="360"/>
        </w:sectPr>
      </w:pPr>
    </w:p>
    <w:p w:rsidRPr="00793CA3" w:rsidR="00D16B49" w:rsidP="00467BBE" w:rsidRDefault="00235DA8" w14:paraId="65772353" w14:textId="77777777">
      <w:pPr>
        <w:pStyle w:val="Heading2"/>
      </w:pPr>
      <w:r w:rsidRPr="00793CA3">
        <w:lastRenderedPageBreak/>
        <w:t xml:space="preserve"> </w:t>
      </w:r>
      <w:bookmarkStart w:name="_Toc485903715" w:id="34"/>
      <w:r w:rsidRPr="00793CA3">
        <w:t xml:space="preserve">Adjustments </w:t>
      </w:r>
      <w:r w:rsidRPr="00793CA3" w:rsidR="00D01040">
        <w:t>b</w:t>
      </w:r>
      <w:r w:rsidRPr="00793CA3">
        <w:t>etween Accounting Basis and Funding Basis Analysis</w:t>
      </w:r>
      <w:bookmarkEnd w:id="34"/>
    </w:p>
    <w:tbl>
      <w:tblPr>
        <w:tblW w:w="8595" w:type="dxa"/>
        <w:tblInd w:w="93" w:type="dxa"/>
        <w:tblLayout w:type="fixed"/>
        <w:tblLook w:val="04A0" w:firstRow="1" w:lastRow="0" w:firstColumn="1" w:lastColumn="0" w:noHBand="0" w:noVBand="1"/>
      </w:tblPr>
      <w:tblGrid>
        <w:gridCol w:w="3280"/>
        <w:gridCol w:w="1113"/>
        <w:gridCol w:w="82"/>
        <w:gridCol w:w="1477"/>
        <w:gridCol w:w="1180"/>
        <w:gridCol w:w="1463"/>
      </w:tblGrid>
      <w:tr w:rsidRPr="00614894" w:rsidR="00793CA3" w:rsidTr="00793CA3" w14:paraId="23F32A83" w14:textId="77777777">
        <w:trPr>
          <w:trHeight w:val="900"/>
        </w:trPr>
        <w:tc>
          <w:tcPr>
            <w:tcW w:w="3280"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793CA3" w:rsidR="00793CA3" w:rsidP="006702D0" w:rsidRDefault="00793CA3" w14:paraId="2693051D" w14:textId="7095868A">
            <w:pPr>
              <w:spacing w:after="0" w:line="240" w:lineRule="auto"/>
              <w:rPr>
                <w:rFonts w:eastAsia="Times New Roman" w:cs="Arial"/>
                <w:b/>
                <w:bCs/>
                <w:sz w:val="20"/>
                <w:szCs w:val="20"/>
                <w:lang w:eastAsia="en-GB"/>
              </w:rPr>
            </w:pPr>
            <w:r w:rsidRPr="00793CA3">
              <w:rPr>
                <w:rFonts w:eastAsia="Times New Roman" w:cs="Arial"/>
                <w:b/>
                <w:bCs/>
                <w:sz w:val="20"/>
                <w:szCs w:val="20"/>
                <w:lang w:eastAsia="en-GB"/>
              </w:rPr>
              <w:t>2022/23</w:t>
            </w:r>
          </w:p>
        </w:tc>
        <w:tc>
          <w:tcPr>
            <w:tcW w:w="1195" w:type="dxa"/>
            <w:gridSpan w:val="2"/>
            <w:tcBorders>
              <w:top w:val="single" w:color="auto" w:sz="4" w:space="0"/>
              <w:left w:val="nil"/>
              <w:bottom w:val="single" w:color="auto" w:sz="4" w:space="0"/>
              <w:right w:val="nil"/>
            </w:tcBorders>
            <w:shd w:val="clear" w:color="auto" w:fill="DBE5F1" w:themeFill="accent1" w:themeFillTint="33"/>
            <w:vAlign w:val="bottom"/>
            <w:hideMark/>
          </w:tcPr>
          <w:p w:rsidRPr="00793CA3" w:rsidR="00793CA3" w:rsidP="006702D0" w:rsidRDefault="00793CA3" w14:paraId="7137FAD4" w14:textId="77777777">
            <w:pPr>
              <w:spacing w:after="0" w:line="240" w:lineRule="auto"/>
              <w:jc w:val="center"/>
              <w:rPr>
                <w:rFonts w:eastAsia="Times New Roman" w:cs="Arial"/>
                <w:b/>
                <w:bCs/>
                <w:sz w:val="20"/>
                <w:szCs w:val="20"/>
                <w:lang w:eastAsia="en-GB"/>
              </w:rPr>
            </w:pPr>
            <w:r w:rsidRPr="00793CA3">
              <w:rPr>
                <w:rFonts w:eastAsia="Times New Roman" w:cs="Arial"/>
                <w:b/>
                <w:bCs/>
                <w:sz w:val="20"/>
                <w:szCs w:val="20"/>
                <w:lang w:eastAsia="en-GB"/>
              </w:rPr>
              <w:t>Usable Reserves</w:t>
            </w:r>
          </w:p>
          <w:p w:rsidRPr="00793CA3" w:rsidR="00793CA3" w:rsidP="006702D0" w:rsidRDefault="00793CA3" w14:paraId="0B9E9A4B" w14:textId="77777777">
            <w:pPr>
              <w:spacing w:after="0" w:line="240" w:lineRule="auto"/>
              <w:jc w:val="center"/>
              <w:rPr>
                <w:rFonts w:eastAsia="Times New Roman" w:cs="Arial"/>
                <w:b/>
                <w:bCs/>
                <w:sz w:val="20"/>
                <w:szCs w:val="20"/>
                <w:lang w:eastAsia="en-GB"/>
              </w:rPr>
            </w:pPr>
            <w:r w:rsidRPr="00793CA3">
              <w:rPr>
                <w:rFonts w:eastAsia="Times New Roman" w:cs="Arial"/>
                <w:b/>
                <w:bCs/>
                <w:sz w:val="20"/>
                <w:szCs w:val="20"/>
                <w:lang w:eastAsia="en-GB"/>
              </w:rPr>
              <w:t>£’000</w:t>
            </w:r>
          </w:p>
        </w:tc>
        <w:tc>
          <w:tcPr>
            <w:tcW w:w="1477" w:type="dxa"/>
            <w:tcBorders>
              <w:top w:val="single" w:color="auto" w:sz="4" w:space="0"/>
              <w:left w:val="nil"/>
              <w:bottom w:val="single" w:color="auto" w:sz="4" w:space="0"/>
              <w:right w:val="nil"/>
            </w:tcBorders>
            <w:shd w:val="clear" w:color="auto" w:fill="DBE5F1" w:themeFill="accent1" w:themeFillTint="33"/>
            <w:vAlign w:val="bottom"/>
            <w:hideMark/>
          </w:tcPr>
          <w:p w:rsidRPr="00793CA3" w:rsidR="00793CA3" w:rsidP="006702D0" w:rsidRDefault="00793CA3" w14:paraId="5E91EBB6" w14:textId="77777777">
            <w:pPr>
              <w:spacing w:after="0" w:line="240" w:lineRule="auto"/>
              <w:jc w:val="center"/>
              <w:rPr>
                <w:rFonts w:eastAsia="Times New Roman" w:cs="Arial"/>
                <w:b/>
                <w:bCs/>
                <w:sz w:val="20"/>
                <w:szCs w:val="20"/>
                <w:lang w:eastAsia="en-GB"/>
              </w:rPr>
            </w:pPr>
            <w:r w:rsidRPr="00793CA3">
              <w:rPr>
                <w:rFonts w:eastAsia="Times New Roman" w:cs="Arial"/>
                <w:b/>
                <w:bCs/>
                <w:sz w:val="20"/>
                <w:szCs w:val="20"/>
                <w:lang w:eastAsia="en-GB"/>
              </w:rPr>
              <w:t>Accumulated Absence Account</w:t>
            </w:r>
          </w:p>
          <w:p w:rsidRPr="00793CA3" w:rsidR="00793CA3" w:rsidP="006702D0" w:rsidRDefault="00793CA3" w14:paraId="1F0C955D" w14:textId="77777777">
            <w:pPr>
              <w:spacing w:after="0" w:line="240" w:lineRule="auto"/>
              <w:jc w:val="center"/>
              <w:rPr>
                <w:rFonts w:eastAsia="Times New Roman" w:cs="Arial"/>
                <w:b/>
                <w:bCs/>
                <w:sz w:val="20"/>
                <w:szCs w:val="20"/>
                <w:lang w:eastAsia="en-GB"/>
              </w:rPr>
            </w:pPr>
            <w:r w:rsidRPr="00793CA3">
              <w:rPr>
                <w:rFonts w:eastAsia="Times New Roman" w:cs="Arial"/>
                <w:b/>
                <w:bCs/>
                <w:sz w:val="20"/>
                <w:szCs w:val="20"/>
                <w:lang w:eastAsia="en-GB"/>
              </w:rPr>
              <w:t>£’000</w:t>
            </w:r>
          </w:p>
        </w:tc>
        <w:tc>
          <w:tcPr>
            <w:tcW w:w="1180" w:type="dxa"/>
            <w:tcBorders>
              <w:top w:val="single" w:color="auto" w:sz="4" w:space="0"/>
              <w:left w:val="nil"/>
              <w:bottom w:val="single" w:color="auto" w:sz="4" w:space="0"/>
              <w:right w:val="nil"/>
            </w:tcBorders>
            <w:shd w:val="clear" w:color="auto" w:fill="DBE5F1" w:themeFill="accent1" w:themeFillTint="33"/>
            <w:vAlign w:val="bottom"/>
            <w:hideMark/>
          </w:tcPr>
          <w:p w:rsidRPr="00793CA3" w:rsidR="00793CA3" w:rsidP="006702D0" w:rsidRDefault="00793CA3" w14:paraId="40CAC802" w14:textId="77777777">
            <w:pPr>
              <w:spacing w:after="0" w:line="240" w:lineRule="auto"/>
              <w:jc w:val="center"/>
              <w:rPr>
                <w:rFonts w:eastAsia="Times New Roman" w:cs="Arial"/>
                <w:b/>
                <w:bCs/>
                <w:sz w:val="20"/>
                <w:szCs w:val="20"/>
                <w:lang w:eastAsia="en-GB"/>
              </w:rPr>
            </w:pPr>
            <w:r w:rsidRPr="00793CA3">
              <w:rPr>
                <w:rFonts w:eastAsia="Times New Roman" w:cs="Arial"/>
                <w:b/>
                <w:bCs/>
                <w:sz w:val="20"/>
                <w:szCs w:val="20"/>
                <w:lang w:eastAsia="en-GB"/>
              </w:rPr>
              <w:t>Pensions Reserve</w:t>
            </w:r>
          </w:p>
          <w:p w:rsidRPr="00793CA3" w:rsidR="00793CA3" w:rsidP="006702D0" w:rsidRDefault="00793CA3" w14:paraId="3E67C98C" w14:textId="77777777">
            <w:pPr>
              <w:spacing w:after="0" w:line="240" w:lineRule="auto"/>
              <w:jc w:val="center"/>
              <w:rPr>
                <w:rFonts w:eastAsia="Times New Roman" w:cs="Arial"/>
                <w:b/>
                <w:bCs/>
                <w:sz w:val="20"/>
                <w:szCs w:val="20"/>
                <w:lang w:eastAsia="en-GB"/>
              </w:rPr>
            </w:pPr>
            <w:r w:rsidRPr="00793CA3">
              <w:rPr>
                <w:rFonts w:eastAsia="Times New Roman" w:cs="Arial"/>
                <w:b/>
                <w:bCs/>
                <w:sz w:val="20"/>
                <w:szCs w:val="20"/>
                <w:lang w:eastAsia="en-GB"/>
              </w:rPr>
              <w:t>£’000</w:t>
            </w:r>
          </w:p>
        </w:tc>
        <w:tc>
          <w:tcPr>
            <w:tcW w:w="1463" w:type="dxa"/>
            <w:tcBorders>
              <w:top w:val="single" w:color="auto" w:sz="4" w:space="0"/>
              <w:left w:val="nil"/>
              <w:bottom w:val="single" w:color="auto" w:sz="4" w:space="0"/>
              <w:right w:val="single" w:color="auto" w:sz="4" w:space="0"/>
            </w:tcBorders>
            <w:shd w:val="clear" w:color="auto" w:fill="DBE5F1" w:themeFill="accent1" w:themeFillTint="33"/>
            <w:vAlign w:val="bottom"/>
            <w:hideMark/>
          </w:tcPr>
          <w:p w:rsidRPr="00793CA3" w:rsidR="00793CA3" w:rsidP="006702D0" w:rsidRDefault="00793CA3" w14:paraId="581F8ED8" w14:textId="77777777">
            <w:pPr>
              <w:spacing w:after="0" w:line="240" w:lineRule="auto"/>
              <w:jc w:val="center"/>
              <w:rPr>
                <w:rFonts w:eastAsia="Times New Roman" w:cs="Arial"/>
                <w:b/>
                <w:bCs/>
                <w:sz w:val="20"/>
                <w:szCs w:val="20"/>
                <w:lang w:eastAsia="en-GB"/>
              </w:rPr>
            </w:pPr>
            <w:r w:rsidRPr="00793CA3">
              <w:rPr>
                <w:rFonts w:eastAsia="Times New Roman" w:cs="Arial"/>
                <w:b/>
                <w:bCs/>
                <w:sz w:val="20"/>
                <w:szCs w:val="20"/>
                <w:lang w:eastAsia="en-GB"/>
              </w:rPr>
              <w:t>Total Unusable Reserves</w:t>
            </w:r>
          </w:p>
          <w:p w:rsidRPr="00793CA3" w:rsidR="00793CA3" w:rsidP="006702D0" w:rsidRDefault="00793CA3" w14:paraId="4DB7EC5A" w14:textId="77777777">
            <w:pPr>
              <w:spacing w:after="0" w:line="240" w:lineRule="auto"/>
              <w:jc w:val="center"/>
              <w:rPr>
                <w:rFonts w:eastAsia="Times New Roman" w:cs="Arial"/>
                <w:b/>
                <w:bCs/>
                <w:sz w:val="20"/>
                <w:szCs w:val="20"/>
                <w:lang w:eastAsia="en-GB"/>
              </w:rPr>
            </w:pPr>
            <w:r w:rsidRPr="00793CA3">
              <w:rPr>
                <w:rFonts w:eastAsia="Times New Roman" w:cs="Arial"/>
                <w:b/>
                <w:bCs/>
                <w:sz w:val="20"/>
                <w:szCs w:val="20"/>
                <w:lang w:eastAsia="en-GB"/>
              </w:rPr>
              <w:t>£’000</w:t>
            </w:r>
          </w:p>
        </w:tc>
      </w:tr>
      <w:tr w:rsidRPr="00614894" w:rsidR="00793CA3" w:rsidTr="00793CA3" w14:paraId="58B6E0C7" w14:textId="77777777">
        <w:trPr>
          <w:trHeight w:val="285"/>
        </w:trPr>
        <w:tc>
          <w:tcPr>
            <w:tcW w:w="3280" w:type="dxa"/>
            <w:tcBorders>
              <w:top w:val="nil"/>
              <w:left w:val="single" w:color="auto" w:sz="4" w:space="0"/>
              <w:bottom w:val="nil"/>
              <w:right w:val="nil"/>
            </w:tcBorders>
            <w:shd w:val="clear" w:color="auto" w:fill="auto"/>
            <w:vAlign w:val="bottom"/>
            <w:hideMark/>
          </w:tcPr>
          <w:p w:rsidRPr="00793CA3" w:rsidR="00793CA3" w:rsidP="006702D0" w:rsidRDefault="00793CA3" w14:paraId="42B2BA0F" w14:textId="77777777">
            <w:pPr>
              <w:spacing w:after="0" w:line="240" w:lineRule="auto"/>
              <w:rPr>
                <w:rFonts w:eastAsia="Times New Roman" w:cs="Arial"/>
                <w:sz w:val="20"/>
                <w:szCs w:val="20"/>
                <w:lang w:eastAsia="en-GB"/>
              </w:rPr>
            </w:pPr>
            <w:r w:rsidRPr="00793CA3">
              <w:rPr>
                <w:rFonts w:eastAsia="Times New Roman" w:cs="Arial"/>
                <w:sz w:val="20"/>
                <w:szCs w:val="20"/>
                <w:lang w:eastAsia="en-GB"/>
              </w:rPr>
              <w:t>Accrued Staff Annual Leave</w:t>
            </w:r>
          </w:p>
        </w:tc>
        <w:tc>
          <w:tcPr>
            <w:tcW w:w="1113" w:type="dxa"/>
            <w:tcBorders>
              <w:top w:val="nil"/>
              <w:left w:val="nil"/>
              <w:bottom w:val="nil"/>
              <w:right w:val="nil"/>
            </w:tcBorders>
            <w:shd w:val="clear" w:color="auto" w:fill="auto"/>
            <w:noWrap/>
            <w:vAlign w:val="bottom"/>
            <w:hideMark/>
          </w:tcPr>
          <w:p w:rsidRPr="00793CA3" w:rsidR="00793CA3" w:rsidP="00E25EE8" w:rsidRDefault="00793CA3" w14:paraId="5D989C73" w14:textId="13FC884A">
            <w:pPr>
              <w:spacing w:after="0" w:line="240" w:lineRule="auto"/>
              <w:jc w:val="right"/>
              <w:rPr>
                <w:rFonts w:eastAsia="Times New Roman" w:cs="Arial"/>
                <w:b/>
                <w:sz w:val="20"/>
                <w:szCs w:val="20"/>
                <w:lang w:eastAsia="en-GB"/>
              </w:rPr>
            </w:pPr>
            <w:r w:rsidRPr="00793CA3">
              <w:rPr>
                <w:rFonts w:eastAsia="Times New Roman" w:cs="Arial"/>
                <w:b/>
                <w:sz w:val="20"/>
                <w:szCs w:val="20"/>
                <w:lang w:eastAsia="en-GB"/>
              </w:rPr>
              <w:t>2</w:t>
            </w:r>
          </w:p>
        </w:tc>
        <w:tc>
          <w:tcPr>
            <w:tcW w:w="1559" w:type="dxa"/>
            <w:gridSpan w:val="2"/>
            <w:tcBorders>
              <w:top w:val="nil"/>
              <w:left w:val="nil"/>
              <w:bottom w:val="nil"/>
              <w:right w:val="nil"/>
            </w:tcBorders>
            <w:shd w:val="clear" w:color="auto" w:fill="auto"/>
            <w:noWrap/>
            <w:vAlign w:val="bottom"/>
            <w:hideMark/>
          </w:tcPr>
          <w:p w:rsidRPr="00793CA3" w:rsidR="00793CA3" w:rsidP="00E25EE8" w:rsidRDefault="009F085B" w14:paraId="42B6E129" w14:textId="20D75362">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793CA3" w:rsidR="00793CA3">
              <w:rPr>
                <w:rFonts w:eastAsia="Times New Roman" w:cs="Arial"/>
                <w:sz w:val="20"/>
                <w:szCs w:val="20"/>
                <w:lang w:eastAsia="en-GB"/>
              </w:rPr>
              <w:t>2</w:t>
            </w:r>
            <w:r>
              <w:rPr>
                <w:rFonts w:eastAsia="Times New Roman" w:cs="Arial"/>
                <w:sz w:val="20"/>
                <w:szCs w:val="20"/>
                <w:lang w:eastAsia="en-GB"/>
              </w:rPr>
              <w:t>)</w:t>
            </w:r>
          </w:p>
        </w:tc>
        <w:tc>
          <w:tcPr>
            <w:tcW w:w="1180" w:type="dxa"/>
            <w:tcBorders>
              <w:top w:val="nil"/>
              <w:left w:val="nil"/>
              <w:bottom w:val="nil"/>
              <w:right w:val="nil"/>
            </w:tcBorders>
            <w:shd w:val="clear" w:color="auto" w:fill="auto"/>
            <w:noWrap/>
            <w:vAlign w:val="bottom"/>
            <w:hideMark/>
          </w:tcPr>
          <w:p w:rsidRPr="00793CA3" w:rsidR="00793CA3" w:rsidP="00E25EE8" w:rsidRDefault="00793CA3" w14:paraId="7CE8C59F" w14:textId="2722E963">
            <w:pPr>
              <w:spacing w:after="0" w:line="240" w:lineRule="auto"/>
              <w:jc w:val="right"/>
              <w:rPr>
                <w:rFonts w:eastAsia="Times New Roman" w:cs="Arial"/>
                <w:sz w:val="20"/>
                <w:szCs w:val="20"/>
                <w:lang w:eastAsia="en-GB"/>
              </w:rPr>
            </w:pPr>
            <w:r w:rsidRPr="00793CA3">
              <w:rPr>
                <w:rFonts w:eastAsia="Times New Roman" w:cs="Arial"/>
                <w:sz w:val="20"/>
                <w:szCs w:val="20"/>
                <w:lang w:eastAsia="en-GB"/>
              </w:rPr>
              <w:t>0</w:t>
            </w:r>
          </w:p>
        </w:tc>
        <w:tc>
          <w:tcPr>
            <w:tcW w:w="1463" w:type="dxa"/>
            <w:tcBorders>
              <w:top w:val="nil"/>
              <w:left w:val="nil"/>
              <w:bottom w:val="nil"/>
              <w:right w:val="single" w:color="auto" w:sz="4" w:space="0"/>
            </w:tcBorders>
            <w:shd w:val="clear" w:color="auto" w:fill="auto"/>
            <w:noWrap/>
            <w:vAlign w:val="bottom"/>
            <w:hideMark/>
          </w:tcPr>
          <w:p w:rsidRPr="00793CA3" w:rsidR="00793CA3" w:rsidP="00E25EE8" w:rsidRDefault="009F085B" w14:paraId="54BC5933" w14:textId="72100F97">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793CA3" w:rsidR="00793CA3">
              <w:rPr>
                <w:rFonts w:eastAsia="Times New Roman" w:cs="Arial"/>
                <w:b/>
                <w:sz w:val="20"/>
                <w:szCs w:val="20"/>
                <w:lang w:eastAsia="en-GB"/>
              </w:rPr>
              <w:t>2</w:t>
            </w:r>
            <w:r>
              <w:rPr>
                <w:rFonts w:eastAsia="Times New Roman" w:cs="Arial"/>
                <w:b/>
                <w:sz w:val="20"/>
                <w:szCs w:val="20"/>
                <w:lang w:eastAsia="en-GB"/>
              </w:rPr>
              <w:t>)</w:t>
            </w:r>
          </w:p>
        </w:tc>
      </w:tr>
      <w:tr w:rsidRPr="00614894" w:rsidR="00793CA3" w:rsidTr="00793CA3" w14:paraId="291D52AD" w14:textId="77777777">
        <w:trPr>
          <w:trHeight w:val="644"/>
        </w:trPr>
        <w:tc>
          <w:tcPr>
            <w:tcW w:w="3280" w:type="dxa"/>
            <w:tcBorders>
              <w:top w:val="nil"/>
              <w:left w:val="single" w:color="auto" w:sz="4" w:space="0"/>
              <w:bottom w:val="nil"/>
              <w:right w:val="nil"/>
            </w:tcBorders>
            <w:shd w:val="clear" w:color="auto" w:fill="auto"/>
            <w:vAlign w:val="bottom"/>
            <w:hideMark/>
          </w:tcPr>
          <w:p w:rsidRPr="00793CA3" w:rsidR="00793CA3" w:rsidP="006702D0" w:rsidRDefault="00793CA3" w14:paraId="7ADA17AB" w14:textId="77777777">
            <w:pPr>
              <w:spacing w:after="0" w:line="240" w:lineRule="auto"/>
              <w:rPr>
                <w:rFonts w:eastAsia="Times New Roman" w:cs="Arial"/>
                <w:sz w:val="20"/>
                <w:szCs w:val="20"/>
                <w:lang w:eastAsia="en-GB"/>
              </w:rPr>
            </w:pPr>
          </w:p>
          <w:p w:rsidRPr="00793CA3" w:rsidR="00793CA3" w:rsidP="006702D0" w:rsidRDefault="00793CA3" w14:paraId="1BCAF21C" w14:textId="77777777">
            <w:pPr>
              <w:spacing w:after="0" w:line="240" w:lineRule="auto"/>
              <w:rPr>
                <w:rFonts w:eastAsia="Times New Roman" w:cs="Arial"/>
                <w:sz w:val="20"/>
                <w:szCs w:val="20"/>
                <w:lang w:eastAsia="en-GB"/>
              </w:rPr>
            </w:pPr>
            <w:r w:rsidRPr="00793CA3">
              <w:rPr>
                <w:rFonts w:eastAsia="Times New Roman" w:cs="Arial"/>
                <w:sz w:val="20"/>
                <w:szCs w:val="20"/>
                <w:lang w:eastAsia="en-GB"/>
              </w:rPr>
              <w:t xml:space="preserve">Reversal of Items Relating to retirement benefits debited or credited to the </w:t>
            </w:r>
            <w:proofErr w:type="gramStart"/>
            <w:r w:rsidRPr="00793CA3">
              <w:rPr>
                <w:rFonts w:eastAsia="Times New Roman" w:cs="Arial"/>
                <w:sz w:val="20"/>
                <w:szCs w:val="20"/>
                <w:lang w:eastAsia="en-GB"/>
              </w:rPr>
              <w:t>CIES</w:t>
            </w:r>
            <w:proofErr w:type="gramEnd"/>
          </w:p>
          <w:p w:rsidRPr="00793CA3" w:rsidR="00793CA3" w:rsidP="006702D0" w:rsidRDefault="00793CA3" w14:paraId="53B6E0BB" w14:textId="77777777">
            <w:pPr>
              <w:spacing w:after="0" w:line="240" w:lineRule="auto"/>
              <w:rPr>
                <w:rFonts w:eastAsia="Times New Roman" w:cs="Arial"/>
                <w:sz w:val="20"/>
                <w:szCs w:val="20"/>
                <w:lang w:eastAsia="en-GB"/>
              </w:rPr>
            </w:pPr>
          </w:p>
        </w:tc>
        <w:tc>
          <w:tcPr>
            <w:tcW w:w="1113" w:type="dxa"/>
            <w:tcBorders>
              <w:top w:val="nil"/>
              <w:left w:val="nil"/>
              <w:bottom w:val="nil"/>
              <w:right w:val="nil"/>
            </w:tcBorders>
            <w:shd w:val="clear" w:color="auto" w:fill="auto"/>
            <w:noWrap/>
            <w:vAlign w:val="bottom"/>
            <w:hideMark/>
          </w:tcPr>
          <w:p w:rsidRPr="00793CA3" w:rsidR="00793CA3" w:rsidP="00E25EE8" w:rsidRDefault="00793CA3" w14:paraId="29D8477E" w14:textId="6C210C2E">
            <w:pPr>
              <w:spacing w:after="0" w:line="240" w:lineRule="auto"/>
              <w:jc w:val="right"/>
              <w:rPr>
                <w:rFonts w:eastAsia="Times New Roman" w:cs="Arial"/>
                <w:b/>
                <w:sz w:val="20"/>
                <w:szCs w:val="20"/>
                <w:lang w:eastAsia="en-GB"/>
              </w:rPr>
            </w:pPr>
            <w:r w:rsidRPr="00793CA3">
              <w:rPr>
                <w:rFonts w:eastAsia="Times New Roman" w:cs="Arial"/>
                <w:b/>
                <w:sz w:val="20"/>
                <w:szCs w:val="20"/>
                <w:lang w:eastAsia="en-GB"/>
              </w:rPr>
              <w:t>70</w:t>
            </w:r>
            <w:r w:rsidR="009F085B">
              <w:rPr>
                <w:rFonts w:eastAsia="Times New Roman" w:cs="Arial"/>
                <w:b/>
                <w:sz w:val="20"/>
                <w:szCs w:val="20"/>
                <w:lang w:eastAsia="en-GB"/>
              </w:rPr>
              <w:t>0</w:t>
            </w:r>
          </w:p>
        </w:tc>
        <w:tc>
          <w:tcPr>
            <w:tcW w:w="1559" w:type="dxa"/>
            <w:gridSpan w:val="2"/>
            <w:tcBorders>
              <w:top w:val="nil"/>
              <w:left w:val="nil"/>
              <w:bottom w:val="nil"/>
              <w:right w:val="nil"/>
            </w:tcBorders>
            <w:shd w:val="clear" w:color="auto" w:fill="auto"/>
            <w:noWrap/>
            <w:vAlign w:val="bottom"/>
            <w:hideMark/>
          </w:tcPr>
          <w:p w:rsidRPr="00793CA3" w:rsidR="00793CA3" w:rsidP="00E25EE8" w:rsidRDefault="00793CA3" w14:paraId="693B7347" w14:textId="7BB2FFAD">
            <w:pPr>
              <w:spacing w:after="0" w:line="240" w:lineRule="auto"/>
              <w:jc w:val="right"/>
              <w:rPr>
                <w:rFonts w:eastAsia="Times New Roman" w:cs="Arial"/>
                <w:sz w:val="20"/>
                <w:szCs w:val="20"/>
                <w:lang w:eastAsia="en-GB"/>
              </w:rPr>
            </w:pPr>
            <w:r w:rsidRPr="00793CA3">
              <w:rPr>
                <w:rFonts w:eastAsia="Times New Roman" w:cs="Arial"/>
                <w:sz w:val="20"/>
                <w:szCs w:val="20"/>
                <w:lang w:eastAsia="en-GB"/>
              </w:rPr>
              <w:t>0</w:t>
            </w:r>
          </w:p>
        </w:tc>
        <w:tc>
          <w:tcPr>
            <w:tcW w:w="1180" w:type="dxa"/>
            <w:tcBorders>
              <w:top w:val="nil"/>
              <w:left w:val="nil"/>
              <w:bottom w:val="nil"/>
              <w:right w:val="nil"/>
            </w:tcBorders>
            <w:shd w:val="clear" w:color="auto" w:fill="auto"/>
            <w:noWrap/>
            <w:vAlign w:val="bottom"/>
            <w:hideMark/>
          </w:tcPr>
          <w:p w:rsidRPr="00793CA3" w:rsidR="00793CA3" w:rsidP="00E25EE8" w:rsidRDefault="009F085B" w14:paraId="28C26813" w14:textId="642ECCF5">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793CA3" w:rsidR="00793CA3">
              <w:rPr>
                <w:rFonts w:eastAsia="Times New Roman" w:cs="Arial"/>
                <w:sz w:val="20"/>
                <w:szCs w:val="20"/>
                <w:lang w:eastAsia="en-GB"/>
              </w:rPr>
              <w:t>700</w:t>
            </w:r>
            <w:r>
              <w:rPr>
                <w:rFonts w:eastAsia="Times New Roman" w:cs="Arial"/>
                <w:sz w:val="20"/>
                <w:szCs w:val="20"/>
                <w:lang w:eastAsia="en-GB"/>
              </w:rPr>
              <w:t>)</w:t>
            </w:r>
          </w:p>
        </w:tc>
        <w:tc>
          <w:tcPr>
            <w:tcW w:w="1463" w:type="dxa"/>
            <w:tcBorders>
              <w:top w:val="nil"/>
              <w:left w:val="nil"/>
              <w:bottom w:val="nil"/>
              <w:right w:val="single" w:color="auto" w:sz="4" w:space="0"/>
            </w:tcBorders>
            <w:shd w:val="clear" w:color="auto" w:fill="auto"/>
            <w:noWrap/>
            <w:vAlign w:val="bottom"/>
            <w:hideMark/>
          </w:tcPr>
          <w:p w:rsidRPr="00793CA3" w:rsidR="00793CA3" w:rsidP="00FF42AA" w:rsidRDefault="009F085B" w14:paraId="61FFB05A" w14:textId="571788ED">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793CA3" w:rsidR="00793CA3">
              <w:rPr>
                <w:rFonts w:eastAsia="Times New Roman" w:cs="Arial"/>
                <w:b/>
                <w:sz w:val="20"/>
                <w:szCs w:val="20"/>
                <w:lang w:eastAsia="en-GB"/>
              </w:rPr>
              <w:t>700</w:t>
            </w:r>
            <w:r>
              <w:rPr>
                <w:rFonts w:eastAsia="Times New Roman" w:cs="Arial"/>
                <w:b/>
                <w:sz w:val="20"/>
                <w:szCs w:val="20"/>
                <w:lang w:eastAsia="en-GB"/>
              </w:rPr>
              <w:t>)</w:t>
            </w:r>
          </w:p>
        </w:tc>
      </w:tr>
      <w:tr w:rsidRPr="00614894" w:rsidR="00793CA3" w:rsidTr="00793CA3" w14:paraId="046503B5" w14:textId="77777777">
        <w:trPr>
          <w:trHeight w:val="784"/>
        </w:trPr>
        <w:tc>
          <w:tcPr>
            <w:tcW w:w="3280" w:type="dxa"/>
            <w:tcBorders>
              <w:top w:val="nil"/>
              <w:left w:val="single" w:color="auto" w:sz="4" w:space="0"/>
              <w:bottom w:val="nil"/>
              <w:right w:val="nil"/>
            </w:tcBorders>
            <w:shd w:val="clear" w:color="auto" w:fill="auto"/>
            <w:vAlign w:val="bottom"/>
            <w:hideMark/>
          </w:tcPr>
          <w:p w:rsidRPr="00793CA3" w:rsidR="00793CA3" w:rsidP="006702D0" w:rsidRDefault="00793CA3" w14:paraId="64F9727D" w14:textId="77777777">
            <w:pPr>
              <w:spacing w:after="0" w:line="240" w:lineRule="auto"/>
              <w:rPr>
                <w:rFonts w:eastAsia="Times New Roman" w:cs="Arial"/>
                <w:sz w:val="20"/>
                <w:szCs w:val="20"/>
                <w:lang w:eastAsia="en-GB"/>
              </w:rPr>
            </w:pPr>
            <w:r w:rsidRPr="00793CA3">
              <w:rPr>
                <w:rFonts w:eastAsia="Times New Roman" w:cs="Arial"/>
                <w:sz w:val="20"/>
                <w:szCs w:val="20"/>
                <w:lang w:eastAsia="en-GB"/>
              </w:rPr>
              <w:t xml:space="preserve">Employers pension contributions and direct payments to pensions payable in </w:t>
            </w:r>
            <w:proofErr w:type="gramStart"/>
            <w:r w:rsidRPr="00793CA3">
              <w:rPr>
                <w:rFonts w:eastAsia="Times New Roman" w:cs="Arial"/>
                <w:sz w:val="20"/>
                <w:szCs w:val="20"/>
                <w:lang w:eastAsia="en-GB"/>
              </w:rPr>
              <w:t>year</w:t>
            </w:r>
            <w:proofErr w:type="gramEnd"/>
          </w:p>
          <w:p w:rsidRPr="00793CA3" w:rsidR="00793CA3" w:rsidP="006702D0" w:rsidRDefault="00793CA3" w14:paraId="50AA15BA" w14:textId="77777777">
            <w:pPr>
              <w:spacing w:after="0" w:line="240" w:lineRule="auto"/>
              <w:rPr>
                <w:rFonts w:eastAsia="Times New Roman" w:cs="Arial"/>
                <w:sz w:val="20"/>
                <w:szCs w:val="20"/>
                <w:lang w:eastAsia="en-GB"/>
              </w:rPr>
            </w:pPr>
          </w:p>
        </w:tc>
        <w:tc>
          <w:tcPr>
            <w:tcW w:w="1113" w:type="dxa"/>
            <w:tcBorders>
              <w:top w:val="nil"/>
              <w:left w:val="nil"/>
              <w:bottom w:val="nil"/>
              <w:right w:val="nil"/>
            </w:tcBorders>
            <w:shd w:val="clear" w:color="auto" w:fill="auto"/>
            <w:noWrap/>
            <w:vAlign w:val="bottom"/>
            <w:hideMark/>
          </w:tcPr>
          <w:p w:rsidRPr="00793CA3" w:rsidR="00793CA3" w:rsidP="00E25EE8" w:rsidRDefault="009F085B" w14:paraId="28106520" w14:textId="02179832">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793CA3" w:rsidR="00793CA3">
              <w:rPr>
                <w:rFonts w:eastAsia="Times New Roman" w:cs="Arial"/>
                <w:b/>
                <w:sz w:val="20"/>
                <w:szCs w:val="20"/>
                <w:lang w:eastAsia="en-GB"/>
              </w:rPr>
              <w:t>310</w:t>
            </w:r>
            <w:r>
              <w:rPr>
                <w:rFonts w:eastAsia="Times New Roman" w:cs="Arial"/>
                <w:b/>
                <w:sz w:val="20"/>
                <w:szCs w:val="20"/>
                <w:lang w:eastAsia="en-GB"/>
              </w:rPr>
              <w:t>)</w:t>
            </w:r>
          </w:p>
        </w:tc>
        <w:tc>
          <w:tcPr>
            <w:tcW w:w="1559" w:type="dxa"/>
            <w:gridSpan w:val="2"/>
            <w:tcBorders>
              <w:top w:val="nil"/>
              <w:left w:val="nil"/>
              <w:bottom w:val="nil"/>
              <w:right w:val="nil"/>
            </w:tcBorders>
            <w:shd w:val="clear" w:color="auto" w:fill="auto"/>
            <w:noWrap/>
            <w:vAlign w:val="bottom"/>
            <w:hideMark/>
          </w:tcPr>
          <w:p w:rsidRPr="00793CA3" w:rsidR="00793CA3" w:rsidP="00E25EE8" w:rsidRDefault="00793CA3" w14:paraId="18044D53" w14:textId="75FD88F0">
            <w:pPr>
              <w:spacing w:after="0" w:line="240" w:lineRule="auto"/>
              <w:jc w:val="right"/>
              <w:rPr>
                <w:rFonts w:eastAsia="Times New Roman" w:cs="Arial"/>
                <w:sz w:val="20"/>
                <w:szCs w:val="20"/>
                <w:lang w:eastAsia="en-GB"/>
              </w:rPr>
            </w:pPr>
            <w:r w:rsidRPr="00793CA3">
              <w:rPr>
                <w:rFonts w:eastAsia="Times New Roman" w:cs="Arial"/>
                <w:sz w:val="20"/>
                <w:szCs w:val="20"/>
                <w:lang w:eastAsia="en-GB"/>
              </w:rPr>
              <w:t>0</w:t>
            </w:r>
          </w:p>
        </w:tc>
        <w:tc>
          <w:tcPr>
            <w:tcW w:w="1180" w:type="dxa"/>
            <w:tcBorders>
              <w:top w:val="nil"/>
              <w:left w:val="nil"/>
              <w:bottom w:val="nil"/>
              <w:right w:val="nil"/>
            </w:tcBorders>
            <w:shd w:val="clear" w:color="auto" w:fill="auto"/>
            <w:noWrap/>
            <w:vAlign w:val="bottom"/>
            <w:hideMark/>
          </w:tcPr>
          <w:p w:rsidRPr="00793CA3" w:rsidR="00793CA3" w:rsidP="00E25EE8" w:rsidRDefault="00793CA3" w14:paraId="781734AD" w14:textId="4307F3B3">
            <w:pPr>
              <w:spacing w:after="0" w:line="240" w:lineRule="auto"/>
              <w:jc w:val="right"/>
              <w:rPr>
                <w:rFonts w:eastAsia="Times New Roman" w:cs="Arial"/>
                <w:sz w:val="20"/>
                <w:szCs w:val="20"/>
                <w:lang w:eastAsia="en-GB"/>
              </w:rPr>
            </w:pPr>
            <w:r w:rsidRPr="00793CA3">
              <w:rPr>
                <w:rFonts w:eastAsia="Times New Roman" w:cs="Arial"/>
                <w:sz w:val="20"/>
                <w:szCs w:val="20"/>
                <w:lang w:eastAsia="en-GB"/>
              </w:rPr>
              <w:t>310</w:t>
            </w:r>
          </w:p>
        </w:tc>
        <w:tc>
          <w:tcPr>
            <w:tcW w:w="1463" w:type="dxa"/>
            <w:tcBorders>
              <w:top w:val="nil"/>
              <w:left w:val="nil"/>
              <w:bottom w:val="nil"/>
              <w:right w:val="single" w:color="auto" w:sz="4" w:space="0"/>
            </w:tcBorders>
            <w:shd w:val="clear" w:color="auto" w:fill="auto"/>
            <w:noWrap/>
            <w:vAlign w:val="bottom"/>
            <w:hideMark/>
          </w:tcPr>
          <w:p w:rsidRPr="00793CA3" w:rsidR="00793CA3" w:rsidP="00E25EE8" w:rsidRDefault="00793CA3" w14:paraId="7786AB42" w14:textId="6341508C">
            <w:pPr>
              <w:spacing w:after="0" w:line="240" w:lineRule="auto"/>
              <w:jc w:val="right"/>
              <w:rPr>
                <w:rFonts w:eastAsia="Times New Roman" w:cs="Arial"/>
                <w:b/>
                <w:sz w:val="20"/>
                <w:szCs w:val="20"/>
                <w:lang w:eastAsia="en-GB"/>
              </w:rPr>
            </w:pPr>
            <w:r w:rsidRPr="00793CA3">
              <w:rPr>
                <w:rFonts w:eastAsia="Times New Roman" w:cs="Arial"/>
                <w:b/>
                <w:sz w:val="20"/>
                <w:szCs w:val="20"/>
                <w:lang w:eastAsia="en-GB"/>
              </w:rPr>
              <w:t>310</w:t>
            </w:r>
          </w:p>
        </w:tc>
      </w:tr>
      <w:tr w:rsidRPr="00614894" w:rsidR="00793CA3" w:rsidTr="00793CA3" w14:paraId="17CE649B" w14:textId="77777777">
        <w:trPr>
          <w:trHeight w:val="300"/>
        </w:trPr>
        <w:tc>
          <w:tcPr>
            <w:tcW w:w="3280"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793CA3" w:rsidR="00793CA3" w:rsidP="006702D0" w:rsidRDefault="00793CA3" w14:paraId="7E1BD43F" w14:textId="77777777">
            <w:pPr>
              <w:spacing w:after="0" w:line="240" w:lineRule="auto"/>
              <w:rPr>
                <w:rFonts w:eastAsia="Times New Roman" w:cs="Arial"/>
                <w:sz w:val="20"/>
                <w:szCs w:val="20"/>
                <w:lang w:eastAsia="en-GB"/>
              </w:rPr>
            </w:pPr>
            <w:r w:rsidRPr="00793CA3">
              <w:rPr>
                <w:rFonts w:eastAsia="Times New Roman" w:cs="Arial"/>
                <w:sz w:val="20"/>
                <w:szCs w:val="20"/>
                <w:lang w:eastAsia="en-GB"/>
              </w:rPr>
              <w:t> </w:t>
            </w:r>
          </w:p>
        </w:tc>
        <w:tc>
          <w:tcPr>
            <w:tcW w:w="1113"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793CA3" w:rsidP="00E25EE8" w:rsidRDefault="00793CA3" w14:paraId="0CAA6BA7" w14:textId="59097964">
            <w:pPr>
              <w:spacing w:after="0" w:line="240" w:lineRule="auto"/>
              <w:jc w:val="right"/>
              <w:rPr>
                <w:rFonts w:eastAsia="Times New Roman" w:cs="Arial"/>
                <w:b/>
                <w:bCs/>
                <w:sz w:val="20"/>
                <w:szCs w:val="20"/>
                <w:lang w:eastAsia="en-GB"/>
              </w:rPr>
            </w:pPr>
            <w:r w:rsidRPr="00793CA3">
              <w:rPr>
                <w:rFonts w:eastAsia="Times New Roman" w:cs="Arial"/>
                <w:b/>
                <w:bCs/>
                <w:sz w:val="20"/>
                <w:szCs w:val="20"/>
                <w:lang w:eastAsia="en-GB"/>
              </w:rPr>
              <w:t>392</w:t>
            </w:r>
          </w:p>
        </w:tc>
        <w:tc>
          <w:tcPr>
            <w:tcW w:w="1559" w:type="dxa"/>
            <w:gridSpan w:val="2"/>
            <w:tcBorders>
              <w:top w:val="single" w:color="auto" w:sz="4" w:space="0"/>
              <w:left w:val="nil"/>
              <w:bottom w:val="single" w:color="auto" w:sz="4" w:space="0"/>
              <w:right w:val="nil"/>
            </w:tcBorders>
            <w:shd w:val="clear" w:color="auto" w:fill="DBE5F1" w:themeFill="accent1" w:themeFillTint="33"/>
            <w:noWrap/>
            <w:vAlign w:val="bottom"/>
            <w:hideMark/>
          </w:tcPr>
          <w:p w:rsidRPr="00793CA3" w:rsidR="00793CA3" w:rsidP="00E25EE8" w:rsidRDefault="009F085B" w14:paraId="00F09567" w14:textId="3644EDD2">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793CA3" w:rsidR="00793CA3">
              <w:rPr>
                <w:rFonts w:eastAsia="Times New Roman" w:cs="Arial"/>
                <w:b/>
                <w:bCs/>
                <w:sz w:val="20"/>
                <w:szCs w:val="20"/>
                <w:lang w:eastAsia="en-GB"/>
              </w:rPr>
              <w:t>2</w:t>
            </w:r>
            <w:r>
              <w:rPr>
                <w:rFonts w:eastAsia="Times New Roman" w:cs="Arial"/>
                <w:b/>
                <w:bCs/>
                <w:sz w:val="20"/>
                <w:szCs w:val="20"/>
                <w:lang w:eastAsia="en-GB"/>
              </w:rPr>
              <w:t>)</w:t>
            </w:r>
          </w:p>
        </w:tc>
        <w:tc>
          <w:tcPr>
            <w:tcW w:w="1180" w:type="dxa"/>
            <w:tcBorders>
              <w:top w:val="single" w:color="auto" w:sz="4" w:space="0"/>
              <w:left w:val="nil"/>
              <w:bottom w:val="single" w:color="auto" w:sz="4" w:space="0"/>
              <w:right w:val="nil"/>
            </w:tcBorders>
            <w:shd w:val="clear" w:color="auto" w:fill="DBE5F1" w:themeFill="accent1" w:themeFillTint="33"/>
            <w:noWrap/>
            <w:vAlign w:val="bottom"/>
            <w:hideMark/>
          </w:tcPr>
          <w:p w:rsidRPr="00793CA3" w:rsidR="00793CA3" w:rsidP="00E25EE8" w:rsidRDefault="009F085B" w14:paraId="28A03895" w14:textId="26F87204">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793CA3" w:rsidR="00793CA3">
              <w:rPr>
                <w:rFonts w:eastAsia="Times New Roman" w:cs="Arial"/>
                <w:b/>
                <w:bCs/>
                <w:sz w:val="20"/>
                <w:szCs w:val="20"/>
                <w:lang w:eastAsia="en-GB"/>
              </w:rPr>
              <w:t>390</w:t>
            </w:r>
            <w:r>
              <w:rPr>
                <w:rFonts w:eastAsia="Times New Roman" w:cs="Arial"/>
                <w:b/>
                <w:bCs/>
                <w:sz w:val="20"/>
                <w:szCs w:val="20"/>
                <w:lang w:eastAsia="en-GB"/>
              </w:rPr>
              <w:t>)</w:t>
            </w:r>
          </w:p>
        </w:tc>
        <w:tc>
          <w:tcPr>
            <w:tcW w:w="1463"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793CA3" w:rsidR="00793CA3" w:rsidP="00E25EE8" w:rsidRDefault="00793CA3" w14:paraId="231C82B0" w14:textId="53B727E3">
            <w:pPr>
              <w:spacing w:after="0" w:line="240" w:lineRule="auto"/>
              <w:jc w:val="right"/>
              <w:rPr>
                <w:rFonts w:eastAsia="Times New Roman" w:cs="Arial"/>
                <w:b/>
                <w:bCs/>
                <w:sz w:val="20"/>
                <w:szCs w:val="20"/>
                <w:lang w:eastAsia="en-GB"/>
              </w:rPr>
            </w:pPr>
            <w:r w:rsidRPr="00793CA3">
              <w:rPr>
                <w:rFonts w:eastAsia="Times New Roman" w:cs="Arial"/>
                <w:b/>
                <w:bCs/>
                <w:sz w:val="20"/>
                <w:szCs w:val="20"/>
                <w:lang w:eastAsia="en-GB"/>
              </w:rPr>
              <w:t xml:space="preserve">          </w:t>
            </w:r>
            <w:r w:rsidR="009F085B">
              <w:rPr>
                <w:rFonts w:eastAsia="Times New Roman" w:cs="Arial"/>
                <w:b/>
                <w:bCs/>
                <w:sz w:val="20"/>
                <w:szCs w:val="20"/>
                <w:lang w:eastAsia="en-GB"/>
              </w:rPr>
              <w:t>(</w:t>
            </w:r>
            <w:r w:rsidRPr="00C5221F">
              <w:rPr>
                <w:rFonts w:eastAsia="Times New Roman" w:cs="Arial"/>
                <w:b/>
                <w:bCs/>
                <w:sz w:val="20"/>
                <w:szCs w:val="20"/>
                <w:lang w:eastAsia="en-GB"/>
              </w:rPr>
              <w:t>392</w:t>
            </w:r>
            <w:r w:rsidR="009F085B">
              <w:rPr>
                <w:rFonts w:eastAsia="Times New Roman" w:cs="Arial"/>
                <w:b/>
                <w:bCs/>
                <w:sz w:val="20"/>
                <w:szCs w:val="20"/>
                <w:lang w:eastAsia="en-GB"/>
              </w:rPr>
              <w:t>)</w:t>
            </w:r>
          </w:p>
        </w:tc>
      </w:tr>
    </w:tbl>
    <w:p w:rsidRPr="00614894" w:rsidR="007B23FC" w:rsidP="00E46258" w:rsidRDefault="007B23FC" w14:paraId="63F65527" w14:textId="77777777">
      <w:pPr>
        <w:rPr>
          <w:sz w:val="8"/>
          <w:szCs w:val="8"/>
          <w:highlight w:val="yellow"/>
        </w:rPr>
      </w:pPr>
    </w:p>
    <w:p w:rsidRPr="00614894" w:rsidR="00A34879" w:rsidP="00E46258" w:rsidRDefault="00A34879" w14:paraId="7C2D9C42" w14:textId="77777777">
      <w:pPr>
        <w:rPr>
          <w:sz w:val="8"/>
          <w:szCs w:val="8"/>
          <w:highlight w:val="yellow"/>
        </w:rPr>
      </w:pPr>
    </w:p>
    <w:tbl>
      <w:tblPr>
        <w:tblW w:w="8549" w:type="dxa"/>
        <w:tblInd w:w="93" w:type="dxa"/>
        <w:tblLayout w:type="fixed"/>
        <w:tblLook w:val="04A0" w:firstRow="1" w:lastRow="0" w:firstColumn="1" w:lastColumn="0" w:noHBand="0" w:noVBand="1"/>
      </w:tblPr>
      <w:tblGrid>
        <w:gridCol w:w="3280"/>
        <w:gridCol w:w="1113"/>
        <w:gridCol w:w="1472"/>
        <w:gridCol w:w="1221"/>
        <w:gridCol w:w="1463"/>
      </w:tblGrid>
      <w:tr w:rsidRPr="00614894" w:rsidR="00793CA3" w:rsidTr="00793CA3" w14:paraId="5363D41B" w14:textId="77777777">
        <w:trPr>
          <w:trHeight w:val="900"/>
        </w:trPr>
        <w:tc>
          <w:tcPr>
            <w:tcW w:w="3280"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EF4481" w:rsidR="00793CA3" w:rsidP="00685EFB" w:rsidRDefault="00793CA3" w14:paraId="7CD08576" w14:textId="6635BF0D">
            <w:pPr>
              <w:spacing w:after="0" w:line="240" w:lineRule="auto"/>
              <w:rPr>
                <w:rFonts w:eastAsia="Times New Roman" w:cs="Arial"/>
                <w:b/>
                <w:bCs/>
                <w:color w:val="FF0000"/>
                <w:sz w:val="20"/>
                <w:szCs w:val="20"/>
                <w:lang w:eastAsia="en-GB"/>
              </w:rPr>
            </w:pPr>
            <w:r w:rsidRPr="00EF4481">
              <w:rPr>
                <w:rFonts w:eastAsia="Times New Roman" w:cs="Arial"/>
                <w:b/>
                <w:bCs/>
                <w:color w:val="000000" w:themeColor="text1"/>
                <w:sz w:val="20"/>
                <w:szCs w:val="20"/>
                <w:lang w:eastAsia="en-GB"/>
              </w:rPr>
              <w:t>2021/22</w:t>
            </w:r>
          </w:p>
        </w:tc>
        <w:tc>
          <w:tcPr>
            <w:tcW w:w="1113" w:type="dxa"/>
            <w:tcBorders>
              <w:top w:val="single" w:color="auto" w:sz="4" w:space="0"/>
              <w:left w:val="nil"/>
              <w:bottom w:val="single" w:color="auto" w:sz="4" w:space="0"/>
              <w:right w:val="nil"/>
            </w:tcBorders>
            <w:shd w:val="clear" w:color="auto" w:fill="DBE5F1" w:themeFill="accent1" w:themeFillTint="33"/>
            <w:vAlign w:val="bottom"/>
            <w:hideMark/>
          </w:tcPr>
          <w:p w:rsidRPr="00EF4481" w:rsidR="00793CA3" w:rsidP="00685EFB" w:rsidRDefault="00793CA3" w14:paraId="669CF8E0" w14:textId="77777777">
            <w:pPr>
              <w:spacing w:after="0" w:line="240" w:lineRule="auto"/>
              <w:jc w:val="center"/>
              <w:rPr>
                <w:rFonts w:eastAsia="Times New Roman" w:cs="Arial"/>
                <w:b/>
                <w:bCs/>
                <w:color w:val="000000" w:themeColor="text1"/>
                <w:sz w:val="20"/>
                <w:szCs w:val="20"/>
                <w:lang w:eastAsia="en-GB"/>
              </w:rPr>
            </w:pPr>
            <w:r w:rsidRPr="00EF4481">
              <w:rPr>
                <w:rFonts w:eastAsia="Times New Roman" w:cs="Arial"/>
                <w:b/>
                <w:bCs/>
                <w:color w:val="000000" w:themeColor="text1"/>
                <w:sz w:val="20"/>
                <w:szCs w:val="20"/>
                <w:lang w:eastAsia="en-GB"/>
              </w:rPr>
              <w:t>Usable Reserves</w:t>
            </w:r>
          </w:p>
          <w:p w:rsidRPr="00EF4481" w:rsidR="00793CA3" w:rsidP="00685EFB" w:rsidRDefault="00793CA3" w14:paraId="2F0490B4" w14:textId="77777777">
            <w:pPr>
              <w:spacing w:after="0" w:line="240" w:lineRule="auto"/>
              <w:jc w:val="center"/>
              <w:rPr>
                <w:rFonts w:eastAsia="Times New Roman" w:cs="Arial"/>
                <w:b/>
                <w:bCs/>
                <w:color w:val="FF0000"/>
                <w:sz w:val="20"/>
                <w:szCs w:val="20"/>
                <w:lang w:eastAsia="en-GB"/>
              </w:rPr>
            </w:pPr>
            <w:r w:rsidRPr="00EF4481">
              <w:rPr>
                <w:rFonts w:eastAsia="Times New Roman" w:cs="Arial"/>
                <w:b/>
                <w:bCs/>
                <w:color w:val="000000" w:themeColor="text1"/>
                <w:sz w:val="20"/>
                <w:szCs w:val="20"/>
                <w:lang w:eastAsia="en-GB"/>
              </w:rPr>
              <w:t>£’000</w:t>
            </w:r>
          </w:p>
        </w:tc>
        <w:tc>
          <w:tcPr>
            <w:tcW w:w="1472" w:type="dxa"/>
            <w:tcBorders>
              <w:top w:val="single" w:color="auto" w:sz="4" w:space="0"/>
              <w:left w:val="nil"/>
              <w:bottom w:val="single" w:color="auto" w:sz="4" w:space="0"/>
              <w:right w:val="nil"/>
            </w:tcBorders>
            <w:shd w:val="clear" w:color="auto" w:fill="DBE5F1" w:themeFill="accent1" w:themeFillTint="33"/>
            <w:vAlign w:val="bottom"/>
            <w:hideMark/>
          </w:tcPr>
          <w:p w:rsidRPr="00EF4481" w:rsidR="00793CA3" w:rsidP="00685EFB" w:rsidRDefault="00793CA3" w14:paraId="5D300F5F" w14:textId="77777777">
            <w:pPr>
              <w:spacing w:after="0" w:line="240" w:lineRule="auto"/>
              <w:jc w:val="center"/>
              <w:rPr>
                <w:rFonts w:eastAsia="Times New Roman" w:cs="Arial"/>
                <w:b/>
                <w:bCs/>
                <w:color w:val="000000" w:themeColor="text1"/>
                <w:sz w:val="20"/>
                <w:szCs w:val="20"/>
                <w:lang w:eastAsia="en-GB"/>
              </w:rPr>
            </w:pPr>
            <w:r w:rsidRPr="00EF4481">
              <w:rPr>
                <w:rFonts w:eastAsia="Times New Roman" w:cs="Arial"/>
                <w:b/>
                <w:bCs/>
                <w:color w:val="000000" w:themeColor="text1"/>
                <w:sz w:val="20"/>
                <w:szCs w:val="20"/>
                <w:lang w:eastAsia="en-GB"/>
              </w:rPr>
              <w:t>Accumulated Absence Account</w:t>
            </w:r>
          </w:p>
          <w:p w:rsidRPr="00EF4481" w:rsidR="00793CA3" w:rsidP="00685EFB" w:rsidRDefault="00793CA3" w14:paraId="17CAA261" w14:textId="77777777">
            <w:pPr>
              <w:spacing w:after="0" w:line="240" w:lineRule="auto"/>
              <w:jc w:val="center"/>
              <w:rPr>
                <w:rFonts w:eastAsia="Times New Roman" w:cs="Arial"/>
                <w:b/>
                <w:bCs/>
                <w:color w:val="000000" w:themeColor="text1"/>
                <w:sz w:val="20"/>
                <w:szCs w:val="20"/>
                <w:lang w:eastAsia="en-GB"/>
              </w:rPr>
            </w:pPr>
            <w:r w:rsidRPr="00EF4481">
              <w:rPr>
                <w:rFonts w:eastAsia="Times New Roman" w:cs="Arial"/>
                <w:b/>
                <w:bCs/>
                <w:color w:val="000000" w:themeColor="text1"/>
                <w:sz w:val="20"/>
                <w:szCs w:val="20"/>
                <w:lang w:eastAsia="en-GB"/>
              </w:rPr>
              <w:t>£’000</w:t>
            </w:r>
          </w:p>
        </w:tc>
        <w:tc>
          <w:tcPr>
            <w:tcW w:w="1221" w:type="dxa"/>
            <w:tcBorders>
              <w:top w:val="single" w:color="auto" w:sz="4" w:space="0"/>
              <w:left w:val="nil"/>
              <w:bottom w:val="single" w:color="auto" w:sz="4" w:space="0"/>
              <w:right w:val="nil"/>
            </w:tcBorders>
            <w:shd w:val="clear" w:color="auto" w:fill="DBE5F1" w:themeFill="accent1" w:themeFillTint="33"/>
            <w:vAlign w:val="bottom"/>
            <w:hideMark/>
          </w:tcPr>
          <w:p w:rsidRPr="00EF4481" w:rsidR="00793CA3" w:rsidP="00685EFB" w:rsidRDefault="00793CA3" w14:paraId="53C4282C" w14:textId="77777777">
            <w:pPr>
              <w:spacing w:after="0" w:line="240" w:lineRule="auto"/>
              <w:jc w:val="center"/>
              <w:rPr>
                <w:rFonts w:eastAsia="Times New Roman" w:cs="Arial"/>
                <w:b/>
                <w:bCs/>
                <w:sz w:val="20"/>
                <w:szCs w:val="20"/>
                <w:lang w:eastAsia="en-GB"/>
              </w:rPr>
            </w:pPr>
            <w:r w:rsidRPr="00EF4481">
              <w:rPr>
                <w:rFonts w:eastAsia="Times New Roman" w:cs="Arial"/>
                <w:b/>
                <w:bCs/>
                <w:sz w:val="20"/>
                <w:szCs w:val="20"/>
                <w:lang w:eastAsia="en-GB"/>
              </w:rPr>
              <w:t>Pensions Reserve</w:t>
            </w:r>
          </w:p>
          <w:p w:rsidRPr="00EF4481" w:rsidR="00793CA3" w:rsidP="00685EFB" w:rsidRDefault="00793CA3" w14:paraId="2745FE05" w14:textId="77777777">
            <w:pPr>
              <w:spacing w:after="0" w:line="240" w:lineRule="auto"/>
              <w:jc w:val="center"/>
              <w:rPr>
                <w:rFonts w:eastAsia="Times New Roman" w:cs="Arial"/>
                <w:b/>
                <w:bCs/>
                <w:sz w:val="20"/>
                <w:szCs w:val="20"/>
                <w:lang w:eastAsia="en-GB"/>
              </w:rPr>
            </w:pPr>
            <w:r w:rsidRPr="00EF4481">
              <w:rPr>
                <w:rFonts w:eastAsia="Times New Roman" w:cs="Arial"/>
                <w:b/>
                <w:bCs/>
                <w:sz w:val="20"/>
                <w:szCs w:val="20"/>
                <w:lang w:eastAsia="en-GB"/>
              </w:rPr>
              <w:t>£’000</w:t>
            </w:r>
          </w:p>
        </w:tc>
        <w:tc>
          <w:tcPr>
            <w:tcW w:w="1463" w:type="dxa"/>
            <w:tcBorders>
              <w:top w:val="single" w:color="auto" w:sz="4" w:space="0"/>
              <w:left w:val="nil"/>
              <w:bottom w:val="single" w:color="auto" w:sz="4" w:space="0"/>
              <w:right w:val="single" w:color="auto" w:sz="4" w:space="0"/>
            </w:tcBorders>
            <w:shd w:val="clear" w:color="auto" w:fill="DBE5F1" w:themeFill="accent1" w:themeFillTint="33"/>
            <w:vAlign w:val="bottom"/>
            <w:hideMark/>
          </w:tcPr>
          <w:p w:rsidRPr="00EF4481" w:rsidR="00793CA3" w:rsidP="00685EFB" w:rsidRDefault="00793CA3" w14:paraId="4B528013" w14:textId="77777777">
            <w:pPr>
              <w:spacing w:after="0" w:line="240" w:lineRule="auto"/>
              <w:jc w:val="center"/>
              <w:rPr>
                <w:rFonts w:eastAsia="Times New Roman" w:cs="Arial"/>
                <w:b/>
                <w:bCs/>
                <w:sz w:val="20"/>
                <w:szCs w:val="20"/>
                <w:lang w:eastAsia="en-GB"/>
              </w:rPr>
            </w:pPr>
            <w:r w:rsidRPr="00EF4481">
              <w:rPr>
                <w:rFonts w:eastAsia="Times New Roman" w:cs="Arial"/>
                <w:b/>
                <w:bCs/>
                <w:sz w:val="20"/>
                <w:szCs w:val="20"/>
                <w:lang w:eastAsia="en-GB"/>
              </w:rPr>
              <w:t>Unusable Reserves</w:t>
            </w:r>
          </w:p>
          <w:p w:rsidRPr="00EF4481" w:rsidR="00793CA3" w:rsidP="00685EFB" w:rsidRDefault="00793CA3" w14:paraId="370845A0" w14:textId="77777777">
            <w:pPr>
              <w:spacing w:after="0" w:line="240" w:lineRule="auto"/>
              <w:jc w:val="center"/>
              <w:rPr>
                <w:rFonts w:eastAsia="Times New Roman" w:cs="Arial"/>
                <w:b/>
                <w:bCs/>
                <w:sz w:val="20"/>
                <w:szCs w:val="20"/>
                <w:lang w:eastAsia="en-GB"/>
              </w:rPr>
            </w:pPr>
            <w:r w:rsidRPr="00EF4481">
              <w:rPr>
                <w:rFonts w:eastAsia="Times New Roman" w:cs="Arial"/>
                <w:b/>
                <w:bCs/>
                <w:sz w:val="20"/>
                <w:szCs w:val="20"/>
                <w:lang w:eastAsia="en-GB"/>
              </w:rPr>
              <w:t>£’000</w:t>
            </w:r>
          </w:p>
        </w:tc>
      </w:tr>
      <w:tr w:rsidRPr="00614894" w:rsidR="00793CA3" w:rsidTr="00793CA3" w14:paraId="168332F9" w14:textId="77777777">
        <w:trPr>
          <w:trHeight w:val="285"/>
        </w:trPr>
        <w:tc>
          <w:tcPr>
            <w:tcW w:w="3280" w:type="dxa"/>
            <w:tcBorders>
              <w:top w:val="nil"/>
              <w:left w:val="single" w:color="auto" w:sz="4" w:space="0"/>
              <w:bottom w:val="nil"/>
              <w:right w:val="nil"/>
            </w:tcBorders>
            <w:shd w:val="clear" w:color="auto" w:fill="auto"/>
            <w:vAlign w:val="bottom"/>
            <w:hideMark/>
          </w:tcPr>
          <w:p w:rsidRPr="00EF4481" w:rsidR="00793CA3" w:rsidP="00E37272" w:rsidRDefault="00793CA3" w14:paraId="37CCE680" w14:textId="77777777">
            <w:pPr>
              <w:spacing w:after="0" w:line="240" w:lineRule="auto"/>
              <w:rPr>
                <w:rFonts w:eastAsia="Times New Roman" w:cs="Arial"/>
                <w:sz w:val="20"/>
                <w:szCs w:val="20"/>
                <w:lang w:eastAsia="en-GB"/>
              </w:rPr>
            </w:pPr>
            <w:r w:rsidRPr="00EF4481">
              <w:rPr>
                <w:rFonts w:eastAsia="Times New Roman" w:cs="Arial"/>
                <w:sz w:val="20"/>
                <w:szCs w:val="20"/>
                <w:lang w:eastAsia="en-GB"/>
              </w:rPr>
              <w:t>Accrued Staff Annual Leave</w:t>
            </w:r>
          </w:p>
        </w:tc>
        <w:tc>
          <w:tcPr>
            <w:tcW w:w="1113" w:type="dxa"/>
            <w:tcBorders>
              <w:top w:val="nil"/>
              <w:left w:val="nil"/>
              <w:bottom w:val="nil"/>
              <w:right w:val="nil"/>
            </w:tcBorders>
            <w:shd w:val="clear" w:color="auto" w:fill="auto"/>
            <w:noWrap/>
            <w:vAlign w:val="bottom"/>
            <w:hideMark/>
          </w:tcPr>
          <w:p w:rsidRPr="00EF4481" w:rsidR="00793CA3" w:rsidP="00E25EE8" w:rsidRDefault="009F085B" w14:paraId="4AB39C68" w14:textId="45AA4BEB">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EF4481" w:rsidR="00793CA3">
              <w:rPr>
                <w:rFonts w:eastAsia="Times New Roman" w:cs="Arial"/>
                <w:b/>
                <w:sz w:val="20"/>
                <w:szCs w:val="20"/>
                <w:lang w:eastAsia="en-GB"/>
              </w:rPr>
              <w:t>23</w:t>
            </w:r>
            <w:r>
              <w:rPr>
                <w:rFonts w:eastAsia="Times New Roman" w:cs="Arial"/>
                <w:b/>
                <w:sz w:val="20"/>
                <w:szCs w:val="20"/>
                <w:lang w:eastAsia="en-GB"/>
              </w:rPr>
              <w:t>)</w:t>
            </w:r>
          </w:p>
        </w:tc>
        <w:tc>
          <w:tcPr>
            <w:tcW w:w="1472" w:type="dxa"/>
            <w:tcBorders>
              <w:top w:val="nil"/>
              <w:left w:val="nil"/>
              <w:bottom w:val="nil"/>
              <w:right w:val="nil"/>
            </w:tcBorders>
            <w:shd w:val="clear" w:color="auto" w:fill="auto"/>
            <w:noWrap/>
            <w:vAlign w:val="bottom"/>
            <w:hideMark/>
          </w:tcPr>
          <w:p w:rsidRPr="00EF4481" w:rsidR="00793CA3" w:rsidP="00E37272" w:rsidRDefault="00793CA3" w14:paraId="67842ECD" w14:textId="615A580E">
            <w:pPr>
              <w:spacing w:after="0" w:line="240" w:lineRule="auto"/>
              <w:jc w:val="right"/>
              <w:rPr>
                <w:rFonts w:eastAsia="Times New Roman" w:cs="Arial"/>
                <w:sz w:val="20"/>
                <w:szCs w:val="20"/>
                <w:lang w:eastAsia="en-GB"/>
              </w:rPr>
            </w:pPr>
            <w:r w:rsidRPr="00EF4481">
              <w:rPr>
                <w:rFonts w:eastAsia="Times New Roman" w:cs="Arial"/>
                <w:sz w:val="20"/>
                <w:szCs w:val="20"/>
                <w:lang w:eastAsia="en-GB"/>
              </w:rPr>
              <w:t>23</w:t>
            </w:r>
          </w:p>
        </w:tc>
        <w:tc>
          <w:tcPr>
            <w:tcW w:w="1221" w:type="dxa"/>
            <w:tcBorders>
              <w:top w:val="nil"/>
              <w:left w:val="nil"/>
              <w:bottom w:val="nil"/>
              <w:right w:val="nil"/>
            </w:tcBorders>
            <w:shd w:val="clear" w:color="auto" w:fill="auto"/>
            <w:noWrap/>
            <w:vAlign w:val="bottom"/>
            <w:hideMark/>
          </w:tcPr>
          <w:p w:rsidRPr="00EF4481" w:rsidR="00793CA3" w:rsidP="00E37272" w:rsidRDefault="00793CA3" w14:paraId="55045353" w14:textId="77777777">
            <w:pPr>
              <w:spacing w:after="0" w:line="240" w:lineRule="auto"/>
              <w:jc w:val="right"/>
              <w:rPr>
                <w:rFonts w:eastAsia="Times New Roman" w:cs="Arial"/>
                <w:sz w:val="20"/>
                <w:szCs w:val="20"/>
                <w:lang w:eastAsia="en-GB"/>
              </w:rPr>
            </w:pPr>
            <w:r w:rsidRPr="00EF4481">
              <w:rPr>
                <w:rFonts w:eastAsia="Times New Roman" w:cs="Arial"/>
                <w:sz w:val="20"/>
                <w:szCs w:val="20"/>
                <w:lang w:eastAsia="en-GB"/>
              </w:rPr>
              <w:t>0</w:t>
            </w:r>
          </w:p>
        </w:tc>
        <w:tc>
          <w:tcPr>
            <w:tcW w:w="1463" w:type="dxa"/>
            <w:tcBorders>
              <w:top w:val="nil"/>
              <w:left w:val="nil"/>
              <w:bottom w:val="nil"/>
              <w:right w:val="single" w:color="auto" w:sz="4" w:space="0"/>
            </w:tcBorders>
            <w:shd w:val="clear" w:color="auto" w:fill="auto"/>
            <w:noWrap/>
            <w:vAlign w:val="bottom"/>
            <w:hideMark/>
          </w:tcPr>
          <w:p w:rsidRPr="00EF4481" w:rsidR="00793CA3" w:rsidP="00E37272" w:rsidRDefault="00793CA3" w14:paraId="15B3319E" w14:textId="7BCE4574">
            <w:pPr>
              <w:spacing w:after="0" w:line="240" w:lineRule="auto"/>
              <w:jc w:val="right"/>
              <w:rPr>
                <w:rFonts w:eastAsia="Times New Roman" w:cs="Arial"/>
                <w:b/>
                <w:sz w:val="20"/>
                <w:szCs w:val="20"/>
                <w:lang w:eastAsia="en-GB"/>
              </w:rPr>
            </w:pPr>
            <w:r w:rsidRPr="00EF4481">
              <w:rPr>
                <w:rFonts w:eastAsia="Times New Roman" w:cs="Arial"/>
                <w:b/>
                <w:sz w:val="20"/>
                <w:szCs w:val="20"/>
                <w:lang w:eastAsia="en-GB"/>
              </w:rPr>
              <w:t xml:space="preserve">23            </w:t>
            </w:r>
          </w:p>
        </w:tc>
      </w:tr>
      <w:tr w:rsidRPr="00614894" w:rsidR="00793CA3" w:rsidTr="00793CA3" w14:paraId="5418F8D4" w14:textId="77777777">
        <w:trPr>
          <w:trHeight w:val="742"/>
        </w:trPr>
        <w:tc>
          <w:tcPr>
            <w:tcW w:w="3280" w:type="dxa"/>
            <w:tcBorders>
              <w:top w:val="nil"/>
              <w:left w:val="single" w:color="auto" w:sz="4" w:space="0"/>
              <w:bottom w:val="nil"/>
              <w:right w:val="nil"/>
            </w:tcBorders>
            <w:shd w:val="clear" w:color="auto" w:fill="auto"/>
            <w:vAlign w:val="bottom"/>
            <w:hideMark/>
          </w:tcPr>
          <w:p w:rsidRPr="00EF4481" w:rsidR="00793CA3" w:rsidP="00E37272" w:rsidRDefault="00793CA3" w14:paraId="42473341" w14:textId="77777777">
            <w:pPr>
              <w:spacing w:after="0" w:line="240" w:lineRule="auto"/>
              <w:rPr>
                <w:rFonts w:eastAsia="Times New Roman" w:cs="Arial"/>
                <w:sz w:val="20"/>
                <w:szCs w:val="20"/>
                <w:lang w:eastAsia="en-GB"/>
              </w:rPr>
            </w:pPr>
          </w:p>
          <w:p w:rsidRPr="00EF4481" w:rsidR="00793CA3" w:rsidP="00E37272" w:rsidRDefault="00793CA3" w14:paraId="40861250" w14:textId="77777777">
            <w:pPr>
              <w:spacing w:after="0" w:line="240" w:lineRule="auto"/>
              <w:rPr>
                <w:rFonts w:eastAsia="Times New Roman" w:cs="Arial"/>
                <w:sz w:val="20"/>
                <w:szCs w:val="20"/>
                <w:lang w:eastAsia="en-GB"/>
              </w:rPr>
            </w:pPr>
            <w:r w:rsidRPr="00EF4481">
              <w:rPr>
                <w:rFonts w:eastAsia="Times New Roman" w:cs="Arial"/>
                <w:sz w:val="20"/>
                <w:szCs w:val="20"/>
                <w:lang w:eastAsia="en-GB"/>
              </w:rPr>
              <w:t>Reversal of Items Relating to retirement benefits debited or credited to the CIES</w:t>
            </w:r>
          </w:p>
        </w:tc>
        <w:tc>
          <w:tcPr>
            <w:tcW w:w="1113" w:type="dxa"/>
            <w:tcBorders>
              <w:top w:val="nil"/>
              <w:left w:val="nil"/>
              <w:bottom w:val="nil"/>
              <w:right w:val="nil"/>
            </w:tcBorders>
            <w:shd w:val="clear" w:color="auto" w:fill="auto"/>
            <w:noWrap/>
            <w:vAlign w:val="bottom"/>
            <w:hideMark/>
          </w:tcPr>
          <w:p w:rsidRPr="00EF4481" w:rsidR="00793CA3" w:rsidP="00E25EE8" w:rsidRDefault="00793CA3" w14:paraId="72796EC3" w14:textId="736C04A3">
            <w:pPr>
              <w:spacing w:after="0" w:line="240" w:lineRule="auto"/>
              <w:jc w:val="right"/>
              <w:rPr>
                <w:rFonts w:eastAsia="Times New Roman" w:cs="Arial"/>
                <w:b/>
                <w:sz w:val="20"/>
                <w:szCs w:val="20"/>
                <w:lang w:eastAsia="en-GB"/>
              </w:rPr>
            </w:pPr>
            <w:r w:rsidRPr="00EF4481">
              <w:rPr>
                <w:rFonts w:eastAsia="Times New Roman" w:cs="Arial"/>
                <w:b/>
                <w:sz w:val="20"/>
                <w:szCs w:val="20"/>
                <w:lang w:eastAsia="en-GB"/>
              </w:rPr>
              <w:t xml:space="preserve">              </w:t>
            </w:r>
            <w:r w:rsidRPr="00EF4481" w:rsidR="00EF4481">
              <w:rPr>
                <w:rFonts w:eastAsia="Times New Roman" w:cs="Arial"/>
                <w:b/>
                <w:sz w:val="20"/>
                <w:szCs w:val="20"/>
                <w:lang w:eastAsia="en-GB"/>
              </w:rPr>
              <w:t>750</w:t>
            </w:r>
            <w:r w:rsidRPr="00EF4481">
              <w:rPr>
                <w:rFonts w:eastAsia="Times New Roman" w:cs="Arial"/>
                <w:b/>
                <w:sz w:val="20"/>
                <w:szCs w:val="20"/>
                <w:lang w:eastAsia="en-GB"/>
              </w:rPr>
              <w:t xml:space="preserve">             </w:t>
            </w:r>
          </w:p>
        </w:tc>
        <w:tc>
          <w:tcPr>
            <w:tcW w:w="1472" w:type="dxa"/>
            <w:tcBorders>
              <w:top w:val="nil"/>
              <w:left w:val="nil"/>
              <w:bottom w:val="nil"/>
              <w:right w:val="nil"/>
            </w:tcBorders>
            <w:shd w:val="clear" w:color="auto" w:fill="auto"/>
            <w:noWrap/>
            <w:vAlign w:val="bottom"/>
            <w:hideMark/>
          </w:tcPr>
          <w:p w:rsidRPr="00EF4481" w:rsidR="00793CA3" w:rsidP="00E37272" w:rsidRDefault="00793CA3" w14:paraId="379B17AA" w14:textId="77777777">
            <w:pPr>
              <w:spacing w:after="0" w:line="240" w:lineRule="auto"/>
              <w:jc w:val="right"/>
              <w:rPr>
                <w:rFonts w:eastAsia="Times New Roman" w:cs="Arial"/>
                <w:sz w:val="20"/>
                <w:szCs w:val="20"/>
                <w:lang w:eastAsia="en-GB"/>
              </w:rPr>
            </w:pPr>
            <w:r w:rsidRPr="00EF4481">
              <w:rPr>
                <w:rFonts w:eastAsia="Times New Roman" w:cs="Arial"/>
                <w:sz w:val="20"/>
                <w:szCs w:val="20"/>
                <w:lang w:eastAsia="en-GB"/>
              </w:rPr>
              <w:t>0</w:t>
            </w:r>
          </w:p>
        </w:tc>
        <w:tc>
          <w:tcPr>
            <w:tcW w:w="1221" w:type="dxa"/>
            <w:tcBorders>
              <w:top w:val="nil"/>
              <w:left w:val="nil"/>
              <w:bottom w:val="nil"/>
              <w:right w:val="nil"/>
            </w:tcBorders>
            <w:shd w:val="clear" w:color="auto" w:fill="auto"/>
            <w:noWrap/>
            <w:vAlign w:val="bottom"/>
            <w:hideMark/>
          </w:tcPr>
          <w:p w:rsidRPr="00EF4481" w:rsidR="00793CA3" w:rsidP="00E37272" w:rsidRDefault="009F085B" w14:paraId="53E7B317" w14:textId="7C8B4E7D">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EF4481" w:rsidR="00EF4481">
              <w:rPr>
                <w:rFonts w:eastAsia="Times New Roman" w:cs="Arial"/>
                <w:sz w:val="20"/>
                <w:szCs w:val="20"/>
                <w:lang w:eastAsia="en-GB"/>
              </w:rPr>
              <w:t>750</w:t>
            </w:r>
            <w:r>
              <w:rPr>
                <w:rFonts w:eastAsia="Times New Roman" w:cs="Arial"/>
                <w:sz w:val="20"/>
                <w:szCs w:val="20"/>
                <w:lang w:eastAsia="en-GB"/>
              </w:rPr>
              <w:t>)</w:t>
            </w:r>
          </w:p>
        </w:tc>
        <w:tc>
          <w:tcPr>
            <w:tcW w:w="1463" w:type="dxa"/>
            <w:tcBorders>
              <w:top w:val="nil"/>
              <w:left w:val="nil"/>
              <w:bottom w:val="nil"/>
              <w:right w:val="single" w:color="auto" w:sz="4" w:space="0"/>
            </w:tcBorders>
            <w:shd w:val="clear" w:color="auto" w:fill="auto"/>
            <w:noWrap/>
            <w:vAlign w:val="bottom"/>
            <w:hideMark/>
          </w:tcPr>
          <w:p w:rsidRPr="00EF4481" w:rsidR="00793CA3" w:rsidP="00E37272" w:rsidRDefault="009F085B" w14:paraId="5C4B6971" w14:textId="6EDA1CA1">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EF4481" w:rsidR="00EF4481">
              <w:rPr>
                <w:rFonts w:eastAsia="Times New Roman" w:cs="Arial"/>
                <w:b/>
                <w:sz w:val="20"/>
                <w:szCs w:val="20"/>
                <w:lang w:eastAsia="en-GB"/>
              </w:rPr>
              <w:t>750</w:t>
            </w:r>
            <w:r>
              <w:rPr>
                <w:rFonts w:eastAsia="Times New Roman" w:cs="Arial"/>
                <w:b/>
                <w:sz w:val="20"/>
                <w:szCs w:val="20"/>
                <w:lang w:eastAsia="en-GB"/>
              </w:rPr>
              <w:t>)</w:t>
            </w:r>
          </w:p>
        </w:tc>
      </w:tr>
      <w:tr w:rsidRPr="00614894" w:rsidR="00793CA3" w:rsidTr="00793CA3" w14:paraId="66B07A69" w14:textId="77777777">
        <w:trPr>
          <w:trHeight w:val="710"/>
        </w:trPr>
        <w:tc>
          <w:tcPr>
            <w:tcW w:w="3280" w:type="dxa"/>
            <w:tcBorders>
              <w:top w:val="nil"/>
              <w:left w:val="single" w:color="auto" w:sz="4" w:space="0"/>
              <w:bottom w:val="nil"/>
              <w:right w:val="nil"/>
            </w:tcBorders>
            <w:shd w:val="clear" w:color="auto" w:fill="auto"/>
            <w:vAlign w:val="bottom"/>
            <w:hideMark/>
          </w:tcPr>
          <w:p w:rsidRPr="00EF4481" w:rsidR="00793CA3" w:rsidP="00E37272" w:rsidRDefault="00793CA3" w14:paraId="5D0EC29E" w14:textId="77777777">
            <w:pPr>
              <w:spacing w:after="0" w:line="240" w:lineRule="auto"/>
              <w:rPr>
                <w:rFonts w:eastAsia="Times New Roman" w:cs="Arial"/>
                <w:sz w:val="20"/>
                <w:szCs w:val="20"/>
                <w:lang w:eastAsia="en-GB"/>
              </w:rPr>
            </w:pPr>
          </w:p>
          <w:p w:rsidRPr="00EF4481" w:rsidR="00793CA3" w:rsidP="00E37272" w:rsidRDefault="00793CA3" w14:paraId="1A4D0CEE" w14:textId="77777777">
            <w:pPr>
              <w:spacing w:after="0" w:line="240" w:lineRule="auto"/>
              <w:rPr>
                <w:rFonts w:eastAsia="Times New Roman" w:cs="Arial"/>
                <w:sz w:val="20"/>
                <w:szCs w:val="20"/>
                <w:lang w:eastAsia="en-GB"/>
              </w:rPr>
            </w:pPr>
            <w:r w:rsidRPr="00EF4481">
              <w:rPr>
                <w:rFonts w:eastAsia="Times New Roman" w:cs="Arial"/>
                <w:sz w:val="20"/>
                <w:szCs w:val="20"/>
                <w:lang w:eastAsia="en-GB"/>
              </w:rPr>
              <w:t xml:space="preserve">Employers pension contributions and direct payments to pensions payable in </w:t>
            </w:r>
            <w:proofErr w:type="gramStart"/>
            <w:r w:rsidRPr="00EF4481">
              <w:rPr>
                <w:rFonts w:eastAsia="Times New Roman" w:cs="Arial"/>
                <w:sz w:val="20"/>
                <w:szCs w:val="20"/>
                <w:lang w:eastAsia="en-GB"/>
              </w:rPr>
              <w:t>year</w:t>
            </w:r>
            <w:proofErr w:type="gramEnd"/>
          </w:p>
          <w:p w:rsidRPr="00EF4481" w:rsidR="00793CA3" w:rsidP="00E37272" w:rsidRDefault="00793CA3" w14:paraId="18F5BEA9" w14:textId="77777777">
            <w:pPr>
              <w:spacing w:after="0" w:line="240" w:lineRule="auto"/>
              <w:rPr>
                <w:rFonts w:eastAsia="Times New Roman" w:cs="Arial"/>
                <w:sz w:val="20"/>
                <w:szCs w:val="20"/>
                <w:lang w:eastAsia="en-GB"/>
              </w:rPr>
            </w:pPr>
          </w:p>
        </w:tc>
        <w:tc>
          <w:tcPr>
            <w:tcW w:w="1113" w:type="dxa"/>
            <w:tcBorders>
              <w:top w:val="nil"/>
              <w:left w:val="nil"/>
              <w:bottom w:val="nil"/>
              <w:right w:val="nil"/>
            </w:tcBorders>
            <w:shd w:val="clear" w:color="auto" w:fill="auto"/>
            <w:noWrap/>
            <w:vAlign w:val="bottom"/>
            <w:hideMark/>
          </w:tcPr>
          <w:p w:rsidRPr="00EF4481" w:rsidR="00793CA3" w:rsidP="00F81B0B" w:rsidRDefault="00793CA3" w14:paraId="26A015B7" w14:textId="5F08B5C7">
            <w:pPr>
              <w:spacing w:after="0" w:line="240" w:lineRule="auto"/>
              <w:jc w:val="right"/>
              <w:rPr>
                <w:rFonts w:eastAsia="Times New Roman" w:cs="Arial"/>
                <w:b/>
                <w:sz w:val="20"/>
                <w:szCs w:val="20"/>
                <w:lang w:eastAsia="en-GB"/>
              </w:rPr>
            </w:pPr>
            <w:r w:rsidRPr="00EF4481">
              <w:rPr>
                <w:rFonts w:eastAsia="Times New Roman" w:cs="Arial"/>
                <w:b/>
                <w:sz w:val="20"/>
                <w:szCs w:val="20"/>
                <w:lang w:eastAsia="en-GB"/>
              </w:rPr>
              <w:t xml:space="preserve">     </w:t>
            </w:r>
            <w:r w:rsidR="009F085B">
              <w:rPr>
                <w:rFonts w:eastAsia="Times New Roman" w:cs="Arial"/>
                <w:b/>
                <w:sz w:val="20"/>
                <w:szCs w:val="20"/>
                <w:lang w:eastAsia="en-GB"/>
              </w:rPr>
              <w:t>(</w:t>
            </w:r>
            <w:r w:rsidRPr="00EF4481" w:rsidR="00EF4481">
              <w:rPr>
                <w:rFonts w:eastAsia="Times New Roman" w:cs="Arial"/>
                <w:b/>
                <w:sz w:val="20"/>
                <w:szCs w:val="20"/>
                <w:lang w:eastAsia="en-GB"/>
              </w:rPr>
              <w:t>290</w:t>
            </w:r>
            <w:r w:rsidR="009F085B">
              <w:rPr>
                <w:rFonts w:eastAsia="Times New Roman" w:cs="Arial"/>
                <w:b/>
                <w:sz w:val="20"/>
                <w:szCs w:val="20"/>
                <w:lang w:eastAsia="en-GB"/>
              </w:rPr>
              <w:t>)</w:t>
            </w:r>
          </w:p>
        </w:tc>
        <w:tc>
          <w:tcPr>
            <w:tcW w:w="1472" w:type="dxa"/>
            <w:tcBorders>
              <w:top w:val="nil"/>
              <w:left w:val="nil"/>
              <w:bottom w:val="nil"/>
              <w:right w:val="nil"/>
            </w:tcBorders>
            <w:shd w:val="clear" w:color="auto" w:fill="auto"/>
            <w:noWrap/>
            <w:vAlign w:val="bottom"/>
            <w:hideMark/>
          </w:tcPr>
          <w:p w:rsidRPr="00EF4481" w:rsidR="00793CA3" w:rsidP="00E37272" w:rsidRDefault="00793CA3" w14:paraId="666DC96C" w14:textId="77777777">
            <w:pPr>
              <w:spacing w:after="0" w:line="240" w:lineRule="auto"/>
              <w:jc w:val="right"/>
              <w:rPr>
                <w:rFonts w:eastAsia="Times New Roman" w:cs="Arial"/>
                <w:sz w:val="20"/>
                <w:szCs w:val="20"/>
                <w:lang w:eastAsia="en-GB"/>
              </w:rPr>
            </w:pPr>
            <w:r w:rsidRPr="00EF4481">
              <w:rPr>
                <w:rFonts w:eastAsia="Times New Roman" w:cs="Arial"/>
                <w:sz w:val="20"/>
                <w:szCs w:val="20"/>
                <w:lang w:eastAsia="en-GB"/>
              </w:rPr>
              <w:t>0</w:t>
            </w:r>
          </w:p>
        </w:tc>
        <w:tc>
          <w:tcPr>
            <w:tcW w:w="1221" w:type="dxa"/>
            <w:tcBorders>
              <w:top w:val="nil"/>
              <w:left w:val="nil"/>
              <w:bottom w:val="nil"/>
              <w:right w:val="nil"/>
            </w:tcBorders>
            <w:shd w:val="clear" w:color="auto" w:fill="auto"/>
            <w:noWrap/>
            <w:vAlign w:val="bottom"/>
            <w:hideMark/>
          </w:tcPr>
          <w:p w:rsidRPr="00EF4481" w:rsidR="00793CA3" w:rsidP="00322B7B" w:rsidRDefault="00793CA3" w14:paraId="1CD51A10" w14:textId="013AF094">
            <w:pPr>
              <w:spacing w:after="0" w:line="240" w:lineRule="auto"/>
              <w:jc w:val="right"/>
              <w:rPr>
                <w:rFonts w:eastAsia="Times New Roman" w:cs="Arial"/>
                <w:sz w:val="20"/>
                <w:szCs w:val="20"/>
                <w:lang w:eastAsia="en-GB"/>
              </w:rPr>
            </w:pPr>
            <w:r w:rsidRPr="00EF4481">
              <w:rPr>
                <w:rFonts w:eastAsia="Times New Roman" w:cs="Arial"/>
                <w:sz w:val="20"/>
                <w:szCs w:val="20"/>
                <w:lang w:eastAsia="en-GB"/>
              </w:rPr>
              <w:t xml:space="preserve">        </w:t>
            </w:r>
            <w:r w:rsidRPr="00EF4481" w:rsidR="00EF4481">
              <w:rPr>
                <w:rFonts w:eastAsia="Times New Roman" w:cs="Arial"/>
                <w:sz w:val="20"/>
                <w:szCs w:val="20"/>
                <w:lang w:eastAsia="en-GB"/>
              </w:rPr>
              <w:t>290</w:t>
            </w:r>
          </w:p>
        </w:tc>
        <w:tc>
          <w:tcPr>
            <w:tcW w:w="1463" w:type="dxa"/>
            <w:tcBorders>
              <w:top w:val="nil"/>
              <w:left w:val="nil"/>
              <w:bottom w:val="nil"/>
              <w:right w:val="single" w:color="auto" w:sz="4" w:space="0"/>
            </w:tcBorders>
            <w:shd w:val="clear" w:color="auto" w:fill="auto"/>
            <w:noWrap/>
            <w:vAlign w:val="bottom"/>
            <w:hideMark/>
          </w:tcPr>
          <w:p w:rsidRPr="00EF4481" w:rsidR="00793CA3" w:rsidP="00E37272" w:rsidRDefault="00793CA3" w14:paraId="0FAFCF4D" w14:textId="6CA966FB">
            <w:pPr>
              <w:spacing w:after="0" w:line="240" w:lineRule="auto"/>
              <w:jc w:val="right"/>
              <w:rPr>
                <w:rFonts w:eastAsia="Times New Roman" w:cs="Arial"/>
                <w:b/>
                <w:sz w:val="20"/>
                <w:szCs w:val="20"/>
                <w:lang w:eastAsia="en-GB"/>
              </w:rPr>
            </w:pPr>
            <w:r w:rsidRPr="00EF4481">
              <w:rPr>
                <w:rFonts w:eastAsia="Times New Roman" w:cs="Arial"/>
                <w:b/>
                <w:sz w:val="20"/>
                <w:szCs w:val="20"/>
                <w:lang w:eastAsia="en-GB"/>
              </w:rPr>
              <w:t xml:space="preserve">              290</w:t>
            </w:r>
          </w:p>
        </w:tc>
      </w:tr>
      <w:tr w:rsidRPr="00614894" w:rsidR="00793CA3" w:rsidTr="00793CA3" w14:paraId="2B3D3497" w14:textId="77777777">
        <w:trPr>
          <w:trHeight w:val="300"/>
        </w:trPr>
        <w:tc>
          <w:tcPr>
            <w:tcW w:w="3280"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EF4481" w:rsidR="00793CA3" w:rsidP="00E37272" w:rsidRDefault="00793CA3" w14:paraId="476ACB56" w14:textId="77777777">
            <w:pPr>
              <w:spacing w:after="0" w:line="240" w:lineRule="auto"/>
              <w:rPr>
                <w:rFonts w:eastAsia="Times New Roman" w:cs="Arial"/>
                <w:color w:val="FF0000"/>
                <w:sz w:val="20"/>
                <w:szCs w:val="20"/>
                <w:lang w:eastAsia="en-GB"/>
              </w:rPr>
            </w:pPr>
            <w:r w:rsidRPr="00EF4481">
              <w:rPr>
                <w:rFonts w:eastAsia="Times New Roman" w:cs="Arial"/>
                <w:color w:val="FF0000"/>
                <w:sz w:val="20"/>
                <w:szCs w:val="20"/>
                <w:lang w:eastAsia="en-GB"/>
              </w:rPr>
              <w:t> </w:t>
            </w:r>
          </w:p>
        </w:tc>
        <w:tc>
          <w:tcPr>
            <w:tcW w:w="1113" w:type="dxa"/>
            <w:tcBorders>
              <w:top w:val="single" w:color="auto" w:sz="4" w:space="0"/>
              <w:left w:val="nil"/>
              <w:bottom w:val="single" w:color="auto" w:sz="4" w:space="0"/>
              <w:right w:val="nil"/>
            </w:tcBorders>
            <w:shd w:val="clear" w:color="auto" w:fill="DBE5F1" w:themeFill="accent1" w:themeFillTint="33"/>
            <w:noWrap/>
            <w:vAlign w:val="bottom"/>
            <w:hideMark/>
          </w:tcPr>
          <w:p w:rsidRPr="00EF4481" w:rsidR="00793CA3" w:rsidP="00E25EE8" w:rsidRDefault="00EF4481" w14:paraId="67078260" w14:textId="69153A8B">
            <w:pPr>
              <w:spacing w:after="0" w:line="240" w:lineRule="auto"/>
              <w:jc w:val="right"/>
              <w:rPr>
                <w:rFonts w:eastAsia="Times New Roman" w:cs="Arial"/>
                <w:b/>
                <w:bCs/>
                <w:sz w:val="20"/>
                <w:szCs w:val="20"/>
                <w:lang w:eastAsia="en-GB"/>
              </w:rPr>
            </w:pPr>
            <w:r w:rsidRPr="00EF4481">
              <w:rPr>
                <w:rFonts w:eastAsia="Times New Roman" w:cs="Arial"/>
                <w:b/>
                <w:bCs/>
                <w:sz w:val="20"/>
                <w:szCs w:val="20"/>
                <w:lang w:eastAsia="en-GB"/>
              </w:rPr>
              <w:t>437</w:t>
            </w:r>
          </w:p>
        </w:tc>
        <w:tc>
          <w:tcPr>
            <w:tcW w:w="1472" w:type="dxa"/>
            <w:tcBorders>
              <w:top w:val="single" w:color="auto" w:sz="4" w:space="0"/>
              <w:left w:val="nil"/>
              <w:bottom w:val="single" w:color="auto" w:sz="4" w:space="0"/>
              <w:right w:val="nil"/>
            </w:tcBorders>
            <w:shd w:val="clear" w:color="auto" w:fill="DBE5F1" w:themeFill="accent1" w:themeFillTint="33"/>
            <w:noWrap/>
            <w:vAlign w:val="bottom"/>
            <w:hideMark/>
          </w:tcPr>
          <w:p w:rsidRPr="00EF4481" w:rsidR="00793CA3" w:rsidP="00E37272" w:rsidRDefault="00EF4481" w14:paraId="26217870" w14:textId="7379CBDE">
            <w:pPr>
              <w:spacing w:after="0" w:line="240" w:lineRule="auto"/>
              <w:jc w:val="right"/>
              <w:rPr>
                <w:rFonts w:eastAsia="Times New Roman" w:cs="Arial"/>
                <w:b/>
                <w:bCs/>
                <w:sz w:val="20"/>
                <w:szCs w:val="20"/>
                <w:lang w:eastAsia="en-GB"/>
              </w:rPr>
            </w:pPr>
            <w:r w:rsidRPr="00EF4481">
              <w:rPr>
                <w:rFonts w:eastAsia="Times New Roman" w:cs="Arial"/>
                <w:b/>
                <w:bCs/>
                <w:sz w:val="20"/>
                <w:szCs w:val="20"/>
                <w:lang w:eastAsia="en-GB"/>
              </w:rPr>
              <w:t>23</w:t>
            </w:r>
          </w:p>
        </w:tc>
        <w:tc>
          <w:tcPr>
            <w:tcW w:w="1221" w:type="dxa"/>
            <w:tcBorders>
              <w:top w:val="single" w:color="auto" w:sz="4" w:space="0"/>
              <w:left w:val="nil"/>
              <w:bottom w:val="single" w:color="auto" w:sz="4" w:space="0"/>
              <w:right w:val="nil"/>
            </w:tcBorders>
            <w:shd w:val="clear" w:color="auto" w:fill="DBE5F1" w:themeFill="accent1" w:themeFillTint="33"/>
            <w:noWrap/>
            <w:vAlign w:val="bottom"/>
            <w:hideMark/>
          </w:tcPr>
          <w:p w:rsidRPr="00EF4481" w:rsidR="00793CA3" w:rsidP="00E37272" w:rsidRDefault="009F085B" w14:paraId="6D16392D" w14:textId="2C0C06D0">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EF4481" w:rsidR="00EF4481">
              <w:rPr>
                <w:rFonts w:eastAsia="Times New Roman" w:cs="Arial"/>
                <w:b/>
                <w:bCs/>
                <w:sz w:val="20"/>
                <w:szCs w:val="20"/>
                <w:lang w:eastAsia="en-GB"/>
              </w:rPr>
              <w:t>460</w:t>
            </w:r>
            <w:r>
              <w:rPr>
                <w:rFonts w:eastAsia="Times New Roman" w:cs="Arial"/>
                <w:b/>
                <w:bCs/>
                <w:sz w:val="20"/>
                <w:szCs w:val="20"/>
                <w:lang w:eastAsia="en-GB"/>
              </w:rPr>
              <w:t>)</w:t>
            </w:r>
          </w:p>
        </w:tc>
        <w:tc>
          <w:tcPr>
            <w:tcW w:w="1463"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EF4481" w:rsidR="00793CA3" w:rsidP="00E37272" w:rsidRDefault="009F085B" w14:paraId="7243B9D6" w14:textId="79D6F566">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EF4481" w:rsidR="00EF4481">
              <w:rPr>
                <w:rFonts w:eastAsia="Times New Roman" w:cs="Arial"/>
                <w:b/>
                <w:bCs/>
                <w:sz w:val="20"/>
                <w:szCs w:val="20"/>
                <w:lang w:eastAsia="en-GB"/>
              </w:rPr>
              <w:t>437</w:t>
            </w:r>
            <w:r>
              <w:rPr>
                <w:rFonts w:eastAsia="Times New Roman" w:cs="Arial"/>
                <w:b/>
                <w:bCs/>
                <w:sz w:val="20"/>
                <w:szCs w:val="20"/>
                <w:lang w:eastAsia="en-GB"/>
              </w:rPr>
              <w:t>)</w:t>
            </w:r>
          </w:p>
        </w:tc>
      </w:tr>
    </w:tbl>
    <w:p w:rsidRPr="00614894" w:rsidR="009A4223" w:rsidP="00235DA8" w:rsidRDefault="009A4223" w14:paraId="6617436B" w14:textId="77777777">
      <w:pPr>
        <w:jc w:val="both"/>
        <w:rPr>
          <w:rFonts w:cs="Arial"/>
          <w:b/>
          <w:color w:val="FF0000"/>
          <w:sz w:val="20"/>
          <w:szCs w:val="20"/>
          <w:highlight w:val="yellow"/>
        </w:rPr>
      </w:pPr>
    </w:p>
    <w:p w:rsidRPr="00614894" w:rsidR="00B61959" w:rsidP="00235DA8" w:rsidRDefault="00B61959" w14:paraId="2582536A" w14:textId="77777777">
      <w:pPr>
        <w:jc w:val="both"/>
        <w:rPr>
          <w:rFonts w:cs="Arial"/>
          <w:b/>
          <w:color w:val="FF0000"/>
          <w:sz w:val="20"/>
          <w:szCs w:val="20"/>
          <w:highlight w:val="yellow"/>
        </w:rPr>
      </w:pPr>
    </w:p>
    <w:p w:rsidRPr="00614894" w:rsidR="00B61959" w:rsidP="00235DA8" w:rsidRDefault="00B61959" w14:paraId="13C6C06F" w14:textId="77777777">
      <w:pPr>
        <w:jc w:val="both"/>
        <w:rPr>
          <w:rFonts w:cs="Arial"/>
          <w:b/>
          <w:color w:val="FF0000"/>
          <w:sz w:val="20"/>
          <w:szCs w:val="20"/>
          <w:highlight w:val="yellow"/>
        </w:rPr>
      </w:pPr>
    </w:p>
    <w:p w:rsidRPr="00614894" w:rsidR="00B61959" w:rsidP="00235DA8" w:rsidRDefault="00B61959" w14:paraId="4AD11B45" w14:textId="2FDCDAE6">
      <w:pPr>
        <w:jc w:val="both"/>
        <w:rPr>
          <w:rFonts w:cs="Arial"/>
          <w:b/>
          <w:color w:val="FF0000"/>
          <w:sz w:val="20"/>
          <w:szCs w:val="20"/>
          <w:highlight w:val="yellow"/>
        </w:rPr>
      </w:pPr>
    </w:p>
    <w:p w:rsidRPr="00614894" w:rsidR="005A13F8" w:rsidP="00235DA8" w:rsidRDefault="005A13F8" w14:paraId="46C6850B" w14:textId="77777777">
      <w:pPr>
        <w:jc w:val="both"/>
        <w:rPr>
          <w:rFonts w:cs="Arial"/>
          <w:b/>
          <w:color w:val="FF0000"/>
          <w:sz w:val="20"/>
          <w:szCs w:val="20"/>
          <w:highlight w:val="yellow"/>
        </w:rPr>
      </w:pPr>
    </w:p>
    <w:p w:rsidR="004556A1" w:rsidP="00235DA8" w:rsidRDefault="004556A1" w14:paraId="531001B4" w14:textId="68980CDD">
      <w:pPr>
        <w:jc w:val="both"/>
        <w:rPr>
          <w:rFonts w:cs="Arial"/>
          <w:b/>
          <w:color w:val="FF0000"/>
          <w:sz w:val="20"/>
          <w:szCs w:val="20"/>
          <w:highlight w:val="yellow"/>
        </w:rPr>
      </w:pPr>
    </w:p>
    <w:p w:rsidR="00EF4481" w:rsidP="00235DA8" w:rsidRDefault="00EF4481" w14:paraId="2C326343" w14:textId="2416C72D">
      <w:pPr>
        <w:jc w:val="both"/>
        <w:rPr>
          <w:rFonts w:cs="Arial"/>
          <w:b/>
          <w:color w:val="FF0000"/>
          <w:sz w:val="20"/>
          <w:szCs w:val="20"/>
          <w:highlight w:val="yellow"/>
        </w:rPr>
      </w:pPr>
    </w:p>
    <w:p w:rsidR="00EF4481" w:rsidP="00235DA8" w:rsidRDefault="00EF4481" w14:paraId="18E3C7EA" w14:textId="7579292E">
      <w:pPr>
        <w:jc w:val="both"/>
        <w:rPr>
          <w:rFonts w:cs="Arial"/>
          <w:b/>
          <w:color w:val="FF0000"/>
          <w:sz w:val="20"/>
          <w:szCs w:val="20"/>
          <w:highlight w:val="yellow"/>
        </w:rPr>
      </w:pPr>
    </w:p>
    <w:p w:rsidR="00EF4481" w:rsidP="00235DA8" w:rsidRDefault="00EF4481" w14:paraId="442DCD5C" w14:textId="2C2C21CF">
      <w:pPr>
        <w:jc w:val="both"/>
        <w:rPr>
          <w:rFonts w:cs="Arial"/>
          <w:b/>
          <w:color w:val="FF0000"/>
          <w:sz w:val="20"/>
          <w:szCs w:val="20"/>
          <w:highlight w:val="yellow"/>
        </w:rPr>
      </w:pPr>
    </w:p>
    <w:p w:rsidR="00EF4481" w:rsidP="00235DA8" w:rsidRDefault="00EF4481" w14:paraId="3419BE71" w14:textId="5AABD063">
      <w:pPr>
        <w:jc w:val="both"/>
        <w:rPr>
          <w:rFonts w:cs="Arial"/>
          <w:b/>
          <w:color w:val="FF0000"/>
          <w:sz w:val="20"/>
          <w:szCs w:val="20"/>
          <w:highlight w:val="yellow"/>
        </w:rPr>
      </w:pPr>
    </w:p>
    <w:p w:rsidR="00EF4481" w:rsidP="00235DA8" w:rsidRDefault="00EF4481" w14:paraId="0C664FEB" w14:textId="4C1497B4">
      <w:pPr>
        <w:jc w:val="both"/>
        <w:rPr>
          <w:rFonts w:cs="Arial"/>
          <w:b/>
          <w:color w:val="FF0000"/>
          <w:sz w:val="20"/>
          <w:szCs w:val="20"/>
          <w:highlight w:val="yellow"/>
        </w:rPr>
      </w:pPr>
    </w:p>
    <w:p w:rsidRPr="00614894" w:rsidR="00EF4481" w:rsidP="00235DA8" w:rsidRDefault="00EF4481" w14:paraId="4D0CAA1C" w14:textId="77777777">
      <w:pPr>
        <w:jc w:val="both"/>
        <w:rPr>
          <w:rFonts w:cs="Arial"/>
          <w:b/>
          <w:color w:val="FF0000"/>
          <w:sz w:val="20"/>
          <w:szCs w:val="20"/>
          <w:highlight w:val="yellow"/>
        </w:rPr>
      </w:pPr>
    </w:p>
    <w:p w:rsidRPr="00614894" w:rsidR="00B61959" w:rsidP="00235DA8" w:rsidRDefault="00B61959" w14:paraId="281E35DA" w14:textId="77777777">
      <w:pPr>
        <w:jc w:val="both"/>
        <w:rPr>
          <w:rFonts w:cs="Arial"/>
          <w:b/>
          <w:color w:val="FF0000"/>
          <w:sz w:val="20"/>
          <w:szCs w:val="20"/>
          <w:highlight w:val="yellow"/>
        </w:rPr>
      </w:pPr>
    </w:p>
    <w:p w:rsidRPr="00D21653" w:rsidR="0085013F" w:rsidP="006A328B" w:rsidRDefault="0085013F" w14:paraId="2330FBDF" w14:textId="3E40BBB3">
      <w:pPr>
        <w:pStyle w:val="Heading2"/>
        <w:numPr>
          <w:ilvl w:val="0"/>
          <w:numId w:val="0"/>
        </w:numPr>
        <w:ind w:left="927"/>
      </w:pPr>
    </w:p>
    <w:p w:rsidRPr="00D21653" w:rsidR="00A821AE" w:rsidP="00467BBE" w:rsidRDefault="00A821AE" w14:paraId="7B6E8317" w14:textId="6DE5C7DB">
      <w:pPr>
        <w:pStyle w:val="Heading2"/>
      </w:pPr>
      <w:r w:rsidRPr="00D21653">
        <w:lastRenderedPageBreak/>
        <w:t xml:space="preserve"> </w:t>
      </w:r>
      <w:bookmarkStart w:name="_Toc485903718" w:id="35"/>
      <w:r w:rsidRPr="00D21653" w:rsidR="00883DB4">
        <w:t xml:space="preserve">    </w:t>
      </w:r>
      <w:r w:rsidRPr="00D21653">
        <w:t>Related Party Transactions</w:t>
      </w:r>
      <w:bookmarkEnd w:id="35"/>
    </w:p>
    <w:p w:rsidRPr="00D21653" w:rsidR="00A821AE" w:rsidP="00467BBE" w:rsidRDefault="00A821AE" w14:paraId="59A81133" w14:textId="77777777">
      <w:r w:rsidRPr="00D21653">
        <w:t>In accordance with IAS 24, the Joint Committee has a duty to disclose any material transactions with a related party.  This is to ensure that financial statements contain the disclosures necessary to draw attention to the possibility that the reported financial position and results may have been affected by the existence of related parties and by material transactions with them.</w:t>
      </w:r>
    </w:p>
    <w:p w:rsidRPr="00D21653" w:rsidR="00A34879" w:rsidP="0085013F" w:rsidRDefault="00A821AE" w14:paraId="2694B1DF" w14:textId="0132D182">
      <w:pPr>
        <w:rPr>
          <w:rFonts w:cs="Arial"/>
          <w:b/>
          <w:bCs/>
        </w:rPr>
      </w:pPr>
      <w:r w:rsidRPr="00D21653">
        <w:t>All cash transa</w:t>
      </w:r>
      <w:r w:rsidRPr="00D21653" w:rsidR="00F4686E">
        <w:t xml:space="preserve">ctions are administered by the </w:t>
      </w:r>
      <w:r w:rsidRPr="00D21653" w:rsidR="00EC5003">
        <w:t>Vale of Glamorgan Council (</w:t>
      </w:r>
      <w:r w:rsidRPr="00D21653" w:rsidR="00F4686E">
        <w:t>H</w:t>
      </w:r>
      <w:r w:rsidRPr="00D21653">
        <w:t>ost Authority</w:t>
      </w:r>
      <w:r w:rsidRPr="00D21653" w:rsidR="00EC5003">
        <w:t>)</w:t>
      </w:r>
      <w:r w:rsidRPr="00D21653">
        <w:t xml:space="preserve"> as </w:t>
      </w:r>
      <w:r w:rsidRPr="006A70E1" w:rsidR="00AE1CBD">
        <w:rPr>
          <w:rFonts w:cs="Arial"/>
        </w:rPr>
        <w:t xml:space="preserve">VVC </w:t>
      </w:r>
      <w:r w:rsidRPr="00D21653">
        <w:t xml:space="preserve">does not operate its own bank account.  As at the </w:t>
      </w:r>
      <w:proofErr w:type="gramStart"/>
      <w:r w:rsidRPr="00D21653">
        <w:t>31</w:t>
      </w:r>
      <w:r w:rsidRPr="00D21653">
        <w:rPr>
          <w:vertAlign w:val="superscript"/>
        </w:rPr>
        <w:t>st</w:t>
      </w:r>
      <w:proofErr w:type="gramEnd"/>
      <w:r w:rsidRPr="00D21653" w:rsidR="00B96BF7">
        <w:t xml:space="preserve"> March 20</w:t>
      </w:r>
      <w:r w:rsidRPr="00D21653" w:rsidR="0085013F">
        <w:t>2</w:t>
      </w:r>
      <w:r w:rsidRPr="00D21653" w:rsidR="00D716BD">
        <w:t>3</w:t>
      </w:r>
      <w:r w:rsidRPr="001E5BEB">
        <w:t>, the Joint Committee</w:t>
      </w:r>
      <w:r w:rsidRPr="001E5BEB" w:rsidR="009F122B">
        <w:t xml:space="preserve"> owe</w:t>
      </w:r>
      <w:r w:rsidRPr="001E5BEB" w:rsidR="001E5BEB">
        <w:t>s</w:t>
      </w:r>
      <w:r w:rsidRPr="001E5BEB" w:rsidR="00942AC6">
        <w:t xml:space="preserve"> </w:t>
      </w:r>
      <w:r w:rsidRPr="001E5BEB" w:rsidR="008E6CA0">
        <w:t>£</w:t>
      </w:r>
      <w:r w:rsidRPr="001E5BEB" w:rsidR="001E5BEB">
        <w:t>266</w:t>
      </w:r>
      <w:r w:rsidRPr="001E5BEB" w:rsidR="00997940">
        <w:t>k</w:t>
      </w:r>
      <w:r w:rsidRPr="001E5BEB" w:rsidR="002817CD">
        <w:t xml:space="preserve"> </w:t>
      </w:r>
      <w:r w:rsidRPr="001E5BEB" w:rsidR="001E5BEB">
        <w:t>to</w:t>
      </w:r>
      <w:r w:rsidRPr="001E5BEB">
        <w:t xml:space="preserve"> the </w:t>
      </w:r>
      <w:r w:rsidRPr="001E5BEB" w:rsidR="001E5BEB">
        <w:t>host authority</w:t>
      </w:r>
      <w:r w:rsidRPr="001E5BEB">
        <w:t xml:space="preserve"> relating to these transactions.</w:t>
      </w:r>
      <w:r w:rsidRPr="001E5BEB" w:rsidR="0085013F">
        <w:t xml:space="preserve">  </w:t>
      </w:r>
      <w:r w:rsidRPr="00D21653" w:rsidR="00037CD8">
        <w:rPr>
          <w:rFonts w:cs="Arial"/>
        </w:rPr>
        <w:t>D</w:t>
      </w:r>
      <w:r w:rsidRPr="00D21653" w:rsidR="00DC4DEC">
        <w:rPr>
          <w:rFonts w:cs="Arial"/>
        </w:rPr>
        <w:t>uring the year</w:t>
      </w:r>
      <w:r w:rsidRPr="00D21653" w:rsidR="000C6BE2">
        <w:rPr>
          <w:rFonts w:cs="Arial"/>
        </w:rPr>
        <w:t>,</w:t>
      </w:r>
      <w:r w:rsidRPr="00D21653" w:rsidR="00DC4DEC">
        <w:rPr>
          <w:rFonts w:cs="Arial"/>
        </w:rPr>
        <w:t xml:space="preserve"> transactions with Related Parties arose and are shown in the f</w:t>
      </w:r>
      <w:r w:rsidRPr="00D21653" w:rsidR="00437181">
        <w:rPr>
          <w:rFonts w:cs="Arial"/>
        </w:rPr>
        <w:t>o</w:t>
      </w:r>
      <w:r w:rsidRPr="00D21653" w:rsidR="00DC4DEC">
        <w:rPr>
          <w:rFonts w:cs="Arial"/>
        </w:rPr>
        <w:t>l</w:t>
      </w:r>
      <w:r w:rsidRPr="00D21653" w:rsidR="00437181">
        <w:rPr>
          <w:rFonts w:cs="Arial"/>
        </w:rPr>
        <w:t>l</w:t>
      </w:r>
      <w:r w:rsidRPr="00D21653" w:rsidR="00DC4DEC">
        <w:rPr>
          <w:rFonts w:cs="Arial"/>
        </w:rPr>
        <w:t xml:space="preserve">owing table while debtor and creditor balances at year end are detailed in </w:t>
      </w:r>
      <w:r w:rsidRPr="00D21653" w:rsidR="00DC4DEC">
        <w:rPr>
          <w:rFonts w:cs="Arial"/>
          <w:b/>
          <w:bCs/>
        </w:rPr>
        <w:t>Note</w:t>
      </w:r>
      <w:r w:rsidRPr="00D21653" w:rsidR="00997940">
        <w:rPr>
          <w:rFonts w:cs="Arial"/>
          <w:b/>
          <w:bCs/>
        </w:rPr>
        <w:t>s</w:t>
      </w:r>
      <w:r w:rsidRPr="00D21653" w:rsidR="00DC4DEC">
        <w:rPr>
          <w:rFonts w:cs="Arial"/>
          <w:b/>
          <w:bCs/>
        </w:rPr>
        <w:t xml:space="preserve"> </w:t>
      </w:r>
      <w:r w:rsidRPr="00D21653" w:rsidR="004746F7">
        <w:rPr>
          <w:rFonts w:cs="Arial"/>
          <w:b/>
          <w:bCs/>
        </w:rPr>
        <w:t>1</w:t>
      </w:r>
      <w:r w:rsidR="00D21653">
        <w:rPr>
          <w:rFonts w:cs="Arial"/>
          <w:b/>
          <w:bCs/>
        </w:rPr>
        <w:t>3</w:t>
      </w:r>
      <w:r w:rsidRPr="00D21653" w:rsidR="00DC4DEC">
        <w:rPr>
          <w:rFonts w:cs="Arial"/>
          <w:b/>
          <w:bCs/>
        </w:rPr>
        <w:t xml:space="preserve"> a</w:t>
      </w:r>
      <w:r w:rsidRPr="00D21653" w:rsidR="000C6BE2">
        <w:rPr>
          <w:rFonts w:cs="Arial"/>
          <w:b/>
          <w:bCs/>
        </w:rPr>
        <w:t>n</w:t>
      </w:r>
      <w:r w:rsidRPr="00D21653" w:rsidR="00DC4DEC">
        <w:rPr>
          <w:rFonts w:cs="Arial"/>
          <w:b/>
          <w:bCs/>
        </w:rPr>
        <w:t>d</w:t>
      </w:r>
      <w:r w:rsidRPr="00D21653" w:rsidR="004746F7">
        <w:rPr>
          <w:rFonts w:cs="Arial"/>
          <w:b/>
          <w:bCs/>
        </w:rPr>
        <w:t xml:space="preserve"> 1</w:t>
      </w:r>
      <w:r w:rsidR="00D21653">
        <w:rPr>
          <w:rFonts w:cs="Arial"/>
          <w:b/>
          <w:bCs/>
        </w:rPr>
        <w:t>4</w:t>
      </w:r>
      <w:r w:rsidRPr="00D21653" w:rsidR="00DC4DEC">
        <w:rPr>
          <w:rFonts w:cs="Arial"/>
          <w:b/>
          <w:bCs/>
        </w:rPr>
        <w:t>.</w:t>
      </w:r>
    </w:p>
    <w:tbl>
      <w:tblPr>
        <w:tblW w:w="10768" w:type="dxa"/>
        <w:tblInd w:w="-887" w:type="dxa"/>
        <w:tblLook w:val="04A0" w:firstRow="1" w:lastRow="0" w:firstColumn="1" w:lastColumn="0" w:noHBand="0" w:noVBand="1"/>
      </w:tblPr>
      <w:tblGrid>
        <w:gridCol w:w="1372"/>
        <w:gridCol w:w="917"/>
        <w:gridCol w:w="1416"/>
        <w:gridCol w:w="2812"/>
        <w:gridCol w:w="1559"/>
        <w:gridCol w:w="1276"/>
        <w:gridCol w:w="1416"/>
      </w:tblGrid>
      <w:tr w:rsidRPr="002B2258" w:rsidR="002B2258" w:rsidTr="002B2258" w14:paraId="65D3DE21" w14:textId="77777777">
        <w:trPr>
          <w:trHeight w:val="264"/>
        </w:trPr>
        <w:tc>
          <w:tcPr>
            <w:tcW w:w="3705" w:type="dxa"/>
            <w:gridSpan w:val="3"/>
            <w:tcBorders>
              <w:top w:val="single" w:color="auto" w:sz="8" w:space="0"/>
              <w:left w:val="single" w:color="auto" w:sz="8" w:space="0"/>
              <w:bottom w:val="nil"/>
              <w:right w:val="single" w:color="000000" w:sz="8" w:space="0"/>
            </w:tcBorders>
            <w:shd w:val="clear" w:color="000000" w:fill="DBE5F1"/>
            <w:noWrap/>
            <w:vAlign w:val="center"/>
            <w:hideMark/>
          </w:tcPr>
          <w:p w:rsidRPr="002B2258" w:rsidR="002B2258" w:rsidP="002B2258" w:rsidRDefault="002B2258" w14:paraId="63F00588"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 xml:space="preserve">2022/23 </w:t>
            </w:r>
          </w:p>
        </w:tc>
        <w:tc>
          <w:tcPr>
            <w:tcW w:w="2812" w:type="dxa"/>
            <w:tcBorders>
              <w:top w:val="single" w:color="auto" w:sz="8" w:space="0"/>
              <w:left w:val="nil"/>
              <w:bottom w:val="nil"/>
              <w:right w:val="nil"/>
            </w:tcBorders>
            <w:shd w:val="clear" w:color="000000" w:fill="DBE5F1"/>
            <w:noWrap/>
            <w:vAlign w:val="center"/>
            <w:hideMark/>
          </w:tcPr>
          <w:p w:rsidRPr="002B2258" w:rsidR="002B2258" w:rsidP="002B2258" w:rsidRDefault="002B2258" w14:paraId="0A112460" w14:textId="77777777">
            <w:pPr>
              <w:spacing w:after="0" w:line="240" w:lineRule="auto"/>
              <w:rPr>
                <w:rFonts w:eastAsia="Times New Roman" w:cs="Arial"/>
                <w:color w:val="000000"/>
                <w:sz w:val="20"/>
                <w:szCs w:val="20"/>
                <w:lang w:eastAsia="en-GB"/>
              </w:rPr>
            </w:pPr>
            <w:r w:rsidRPr="002B2258">
              <w:rPr>
                <w:rFonts w:eastAsia="Times New Roman" w:cs="Arial"/>
                <w:color w:val="000000"/>
                <w:sz w:val="20"/>
                <w:szCs w:val="20"/>
                <w:lang w:eastAsia="en-GB"/>
              </w:rPr>
              <w:t> </w:t>
            </w:r>
          </w:p>
        </w:tc>
        <w:tc>
          <w:tcPr>
            <w:tcW w:w="4251" w:type="dxa"/>
            <w:gridSpan w:val="3"/>
            <w:tcBorders>
              <w:top w:val="single" w:color="auto" w:sz="8" w:space="0"/>
              <w:left w:val="single" w:color="auto" w:sz="8" w:space="0"/>
              <w:bottom w:val="nil"/>
              <w:right w:val="single" w:color="000000" w:sz="8" w:space="0"/>
            </w:tcBorders>
            <w:shd w:val="clear" w:color="000000" w:fill="DBE5F1"/>
            <w:noWrap/>
            <w:vAlign w:val="center"/>
            <w:hideMark/>
          </w:tcPr>
          <w:p w:rsidRPr="002B2258" w:rsidR="002B2258" w:rsidP="002B2258" w:rsidRDefault="002B2258" w14:paraId="4EAD34EA"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2021/22</w:t>
            </w:r>
          </w:p>
        </w:tc>
      </w:tr>
      <w:tr w:rsidRPr="002B2258" w:rsidR="002B2258" w:rsidTr="002B2258" w14:paraId="493F11A7" w14:textId="77777777">
        <w:trPr>
          <w:trHeight w:val="264"/>
        </w:trPr>
        <w:tc>
          <w:tcPr>
            <w:tcW w:w="1372" w:type="dxa"/>
            <w:tcBorders>
              <w:top w:val="nil"/>
              <w:left w:val="single" w:color="auto" w:sz="8" w:space="0"/>
              <w:bottom w:val="nil"/>
              <w:right w:val="nil"/>
            </w:tcBorders>
            <w:shd w:val="clear" w:color="000000" w:fill="DBE5F1"/>
            <w:noWrap/>
            <w:vAlign w:val="center"/>
            <w:hideMark/>
          </w:tcPr>
          <w:p w:rsidRPr="002B2258" w:rsidR="002B2258" w:rsidP="002B2258" w:rsidRDefault="002B2258" w14:paraId="0BFD9220"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Expenditure</w:t>
            </w:r>
          </w:p>
        </w:tc>
        <w:tc>
          <w:tcPr>
            <w:tcW w:w="917" w:type="dxa"/>
            <w:tcBorders>
              <w:top w:val="nil"/>
              <w:left w:val="nil"/>
              <w:bottom w:val="nil"/>
              <w:right w:val="nil"/>
            </w:tcBorders>
            <w:shd w:val="clear" w:color="000000" w:fill="DBE5F1"/>
            <w:noWrap/>
            <w:vAlign w:val="center"/>
            <w:hideMark/>
          </w:tcPr>
          <w:p w:rsidRPr="002B2258" w:rsidR="002B2258" w:rsidP="002B2258" w:rsidRDefault="002B2258" w14:paraId="19DB8BF3"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Other</w:t>
            </w:r>
          </w:p>
        </w:tc>
        <w:tc>
          <w:tcPr>
            <w:tcW w:w="1416" w:type="dxa"/>
            <w:tcBorders>
              <w:top w:val="nil"/>
              <w:left w:val="nil"/>
              <w:bottom w:val="nil"/>
              <w:right w:val="single" w:color="auto" w:sz="8" w:space="0"/>
            </w:tcBorders>
            <w:shd w:val="clear" w:color="000000" w:fill="DBE5F1"/>
            <w:noWrap/>
            <w:vAlign w:val="center"/>
            <w:hideMark/>
          </w:tcPr>
          <w:p w:rsidRPr="002B2258" w:rsidR="002B2258" w:rsidP="002B2258" w:rsidRDefault="002B2258" w14:paraId="1694B735"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Contribution</w:t>
            </w:r>
          </w:p>
        </w:tc>
        <w:tc>
          <w:tcPr>
            <w:tcW w:w="2812" w:type="dxa"/>
            <w:tcBorders>
              <w:top w:val="nil"/>
              <w:left w:val="nil"/>
              <w:bottom w:val="nil"/>
              <w:right w:val="nil"/>
            </w:tcBorders>
            <w:shd w:val="clear" w:color="000000" w:fill="DBE5F1"/>
            <w:noWrap/>
            <w:vAlign w:val="center"/>
            <w:hideMark/>
          </w:tcPr>
          <w:p w:rsidRPr="002B2258" w:rsidR="002B2258" w:rsidP="002B2258" w:rsidRDefault="002B2258" w14:paraId="62451C22" w14:textId="77777777">
            <w:pPr>
              <w:spacing w:after="0" w:line="240" w:lineRule="auto"/>
              <w:jc w:val="center"/>
              <w:rPr>
                <w:rFonts w:eastAsia="Times New Roman" w:cs="Arial"/>
                <w:color w:val="000000"/>
                <w:sz w:val="20"/>
                <w:szCs w:val="20"/>
                <w:lang w:eastAsia="en-GB"/>
              </w:rPr>
            </w:pPr>
            <w:r w:rsidRPr="002B2258">
              <w:rPr>
                <w:rFonts w:eastAsia="Times New Roman" w:cs="Arial"/>
                <w:color w:val="000000"/>
                <w:sz w:val="20"/>
                <w:szCs w:val="20"/>
                <w:lang w:eastAsia="en-GB"/>
              </w:rPr>
              <w:t> </w:t>
            </w:r>
          </w:p>
        </w:tc>
        <w:tc>
          <w:tcPr>
            <w:tcW w:w="1559" w:type="dxa"/>
            <w:tcBorders>
              <w:top w:val="nil"/>
              <w:left w:val="single" w:color="auto" w:sz="8" w:space="0"/>
              <w:bottom w:val="nil"/>
              <w:right w:val="nil"/>
            </w:tcBorders>
            <w:shd w:val="clear" w:color="000000" w:fill="DBE5F1"/>
            <w:noWrap/>
            <w:vAlign w:val="center"/>
            <w:hideMark/>
          </w:tcPr>
          <w:p w:rsidRPr="002B2258" w:rsidR="002B2258" w:rsidP="002B2258" w:rsidRDefault="002B2258" w14:paraId="105520D1"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Expenditure</w:t>
            </w:r>
          </w:p>
        </w:tc>
        <w:tc>
          <w:tcPr>
            <w:tcW w:w="1276" w:type="dxa"/>
            <w:tcBorders>
              <w:top w:val="nil"/>
              <w:left w:val="nil"/>
              <w:bottom w:val="nil"/>
              <w:right w:val="nil"/>
            </w:tcBorders>
            <w:shd w:val="clear" w:color="000000" w:fill="DBE5F1"/>
            <w:noWrap/>
            <w:vAlign w:val="center"/>
            <w:hideMark/>
          </w:tcPr>
          <w:p w:rsidRPr="002B2258" w:rsidR="002B2258" w:rsidP="002B2258" w:rsidRDefault="002B2258" w14:paraId="2CD8AAF3"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Other</w:t>
            </w:r>
          </w:p>
        </w:tc>
        <w:tc>
          <w:tcPr>
            <w:tcW w:w="1416" w:type="dxa"/>
            <w:tcBorders>
              <w:top w:val="nil"/>
              <w:left w:val="nil"/>
              <w:bottom w:val="nil"/>
              <w:right w:val="single" w:color="auto" w:sz="8" w:space="0"/>
            </w:tcBorders>
            <w:shd w:val="clear" w:color="000000" w:fill="DBE5F1"/>
            <w:noWrap/>
            <w:vAlign w:val="center"/>
            <w:hideMark/>
          </w:tcPr>
          <w:p w:rsidRPr="002B2258" w:rsidR="002B2258" w:rsidP="002B2258" w:rsidRDefault="002B2258" w14:paraId="0F22E886"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Contribution</w:t>
            </w:r>
          </w:p>
        </w:tc>
      </w:tr>
      <w:tr w:rsidRPr="002B2258" w:rsidR="002B2258" w:rsidTr="002B2258" w14:paraId="14CBF1D1" w14:textId="77777777">
        <w:trPr>
          <w:trHeight w:val="264"/>
        </w:trPr>
        <w:tc>
          <w:tcPr>
            <w:tcW w:w="1372" w:type="dxa"/>
            <w:tcBorders>
              <w:top w:val="nil"/>
              <w:left w:val="single" w:color="auto" w:sz="8" w:space="0"/>
              <w:bottom w:val="nil"/>
              <w:right w:val="nil"/>
            </w:tcBorders>
            <w:shd w:val="clear" w:color="000000" w:fill="DBE5F1"/>
            <w:noWrap/>
            <w:vAlign w:val="center"/>
            <w:hideMark/>
          </w:tcPr>
          <w:p w:rsidRPr="002B2258" w:rsidR="002B2258" w:rsidP="002B2258" w:rsidRDefault="002B2258" w14:paraId="13951D9F"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 </w:t>
            </w:r>
          </w:p>
        </w:tc>
        <w:tc>
          <w:tcPr>
            <w:tcW w:w="917" w:type="dxa"/>
            <w:tcBorders>
              <w:top w:val="nil"/>
              <w:left w:val="nil"/>
              <w:bottom w:val="nil"/>
              <w:right w:val="nil"/>
            </w:tcBorders>
            <w:shd w:val="clear" w:color="000000" w:fill="DBE5F1"/>
            <w:noWrap/>
            <w:vAlign w:val="center"/>
            <w:hideMark/>
          </w:tcPr>
          <w:p w:rsidRPr="002B2258" w:rsidR="002B2258" w:rsidP="002B2258" w:rsidRDefault="002B2258" w14:paraId="5A9E0A18"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 xml:space="preserve">Income </w:t>
            </w:r>
          </w:p>
        </w:tc>
        <w:tc>
          <w:tcPr>
            <w:tcW w:w="1416" w:type="dxa"/>
            <w:tcBorders>
              <w:top w:val="nil"/>
              <w:left w:val="nil"/>
              <w:bottom w:val="nil"/>
              <w:right w:val="single" w:color="auto" w:sz="8" w:space="0"/>
            </w:tcBorders>
            <w:shd w:val="clear" w:color="000000" w:fill="DBE5F1"/>
            <w:noWrap/>
            <w:vAlign w:val="center"/>
            <w:hideMark/>
          </w:tcPr>
          <w:p w:rsidRPr="002B2258" w:rsidR="002B2258" w:rsidP="002B2258" w:rsidRDefault="002B2258" w14:paraId="7BF6106F"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 xml:space="preserve">Income </w:t>
            </w:r>
          </w:p>
        </w:tc>
        <w:tc>
          <w:tcPr>
            <w:tcW w:w="2812" w:type="dxa"/>
            <w:tcBorders>
              <w:top w:val="nil"/>
              <w:left w:val="nil"/>
              <w:bottom w:val="nil"/>
              <w:right w:val="nil"/>
            </w:tcBorders>
            <w:shd w:val="clear" w:color="000000" w:fill="DBE5F1"/>
            <w:noWrap/>
            <w:vAlign w:val="center"/>
            <w:hideMark/>
          </w:tcPr>
          <w:p w:rsidRPr="002B2258" w:rsidR="002B2258" w:rsidP="002B2258" w:rsidRDefault="002B2258" w14:paraId="29E16ABC" w14:textId="77777777">
            <w:pPr>
              <w:spacing w:after="0" w:line="240" w:lineRule="auto"/>
              <w:jc w:val="center"/>
              <w:rPr>
                <w:rFonts w:eastAsia="Times New Roman" w:cs="Arial"/>
                <w:color w:val="000000"/>
                <w:sz w:val="20"/>
                <w:szCs w:val="20"/>
                <w:lang w:eastAsia="en-GB"/>
              </w:rPr>
            </w:pPr>
            <w:r w:rsidRPr="002B2258">
              <w:rPr>
                <w:rFonts w:eastAsia="Times New Roman" w:cs="Arial"/>
                <w:color w:val="000000"/>
                <w:sz w:val="20"/>
                <w:szCs w:val="20"/>
                <w:lang w:eastAsia="en-GB"/>
              </w:rPr>
              <w:t> </w:t>
            </w:r>
          </w:p>
        </w:tc>
        <w:tc>
          <w:tcPr>
            <w:tcW w:w="1559" w:type="dxa"/>
            <w:tcBorders>
              <w:top w:val="nil"/>
              <w:left w:val="single" w:color="auto" w:sz="8" w:space="0"/>
              <w:bottom w:val="nil"/>
              <w:right w:val="nil"/>
            </w:tcBorders>
            <w:shd w:val="clear" w:color="000000" w:fill="DBE5F1"/>
            <w:noWrap/>
            <w:vAlign w:val="center"/>
            <w:hideMark/>
          </w:tcPr>
          <w:p w:rsidRPr="002B2258" w:rsidR="002B2258" w:rsidP="002B2258" w:rsidRDefault="002B2258" w14:paraId="47C8843D"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 </w:t>
            </w:r>
          </w:p>
        </w:tc>
        <w:tc>
          <w:tcPr>
            <w:tcW w:w="1276" w:type="dxa"/>
            <w:tcBorders>
              <w:top w:val="nil"/>
              <w:left w:val="nil"/>
              <w:bottom w:val="nil"/>
              <w:right w:val="nil"/>
            </w:tcBorders>
            <w:shd w:val="clear" w:color="000000" w:fill="DBE5F1"/>
            <w:noWrap/>
            <w:vAlign w:val="center"/>
            <w:hideMark/>
          </w:tcPr>
          <w:p w:rsidRPr="002B2258" w:rsidR="002B2258" w:rsidP="002B2258" w:rsidRDefault="002B2258" w14:paraId="7285FF1C"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 xml:space="preserve">Income </w:t>
            </w:r>
          </w:p>
        </w:tc>
        <w:tc>
          <w:tcPr>
            <w:tcW w:w="1416" w:type="dxa"/>
            <w:tcBorders>
              <w:top w:val="nil"/>
              <w:left w:val="nil"/>
              <w:bottom w:val="nil"/>
              <w:right w:val="single" w:color="auto" w:sz="8" w:space="0"/>
            </w:tcBorders>
            <w:shd w:val="clear" w:color="000000" w:fill="DBE5F1"/>
            <w:noWrap/>
            <w:vAlign w:val="center"/>
            <w:hideMark/>
          </w:tcPr>
          <w:p w:rsidRPr="002B2258" w:rsidR="002B2258" w:rsidP="002B2258" w:rsidRDefault="002B2258" w14:paraId="1998C50B"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 xml:space="preserve">Income </w:t>
            </w:r>
          </w:p>
        </w:tc>
      </w:tr>
      <w:tr w:rsidRPr="002B2258" w:rsidR="002B2258" w:rsidTr="002B2258" w14:paraId="57268D9D" w14:textId="77777777">
        <w:trPr>
          <w:trHeight w:val="276"/>
        </w:trPr>
        <w:tc>
          <w:tcPr>
            <w:tcW w:w="1372" w:type="dxa"/>
            <w:tcBorders>
              <w:top w:val="nil"/>
              <w:left w:val="single" w:color="auto" w:sz="8" w:space="0"/>
              <w:bottom w:val="single" w:color="auto" w:sz="8" w:space="0"/>
              <w:right w:val="nil"/>
            </w:tcBorders>
            <w:shd w:val="clear" w:color="000000" w:fill="DBE5F1"/>
            <w:noWrap/>
            <w:vAlign w:val="center"/>
            <w:hideMark/>
          </w:tcPr>
          <w:p w:rsidRPr="002B2258" w:rsidR="002B2258" w:rsidP="002B2258" w:rsidRDefault="002B2258" w14:paraId="6F08A8F4"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£'000</w:t>
            </w:r>
          </w:p>
        </w:tc>
        <w:tc>
          <w:tcPr>
            <w:tcW w:w="917" w:type="dxa"/>
            <w:tcBorders>
              <w:top w:val="nil"/>
              <w:left w:val="nil"/>
              <w:bottom w:val="single" w:color="auto" w:sz="8" w:space="0"/>
              <w:right w:val="nil"/>
            </w:tcBorders>
            <w:shd w:val="clear" w:color="000000" w:fill="DBE5F1"/>
            <w:noWrap/>
            <w:vAlign w:val="center"/>
            <w:hideMark/>
          </w:tcPr>
          <w:p w:rsidRPr="002B2258" w:rsidR="002B2258" w:rsidP="002B2258" w:rsidRDefault="002B2258" w14:paraId="3A46842A"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£'000</w:t>
            </w:r>
          </w:p>
        </w:tc>
        <w:tc>
          <w:tcPr>
            <w:tcW w:w="1416" w:type="dxa"/>
            <w:tcBorders>
              <w:top w:val="nil"/>
              <w:left w:val="nil"/>
              <w:bottom w:val="single" w:color="auto" w:sz="8" w:space="0"/>
              <w:right w:val="single" w:color="auto" w:sz="8" w:space="0"/>
            </w:tcBorders>
            <w:shd w:val="clear" w:color="000000" w:fill="DBE5F1"/>
            <w:noWrap/>
            <w:vAlign w:val="center"/>
            <w:hideMark/>
          </w:tcPr>
          <w:p w:rsidRPr="002B2258" w:rsidR="002B2258" w:rsidP="002B2258" w:rsidRDefault="002B2258" w14:paraId="3E490BE9"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£'000</w:t>
            </w:r>
          </w:p>
        </w:tc>
        <w:tc>
          <w:tcPr>
            <w:tcW w:w="2812" w:type="dxa"/>
            <w:tcBorders>
              <w:top w:val="nil"/>
              <w:left w:val="nil"/>
              <w:bottom w:val="single" w:color="auto" w:sz="8" w:space="0"/>
              <w:right w:val="nil"/>
            </w:tcBorders>
            <w:shd w:val="clear" w:color="000000" w:fill="DBE5F1"/>
            <w:noWrap/>
            <w:vAlign w:val="center"/>
            <w:hideMark/>
          </w:tcPr>
          <w:p w:rsidRPr="002B2258" w:rsidR="002B2258" w:rsidP="002B2258" w:rsidRDefault="002B2258" w14:paraId="135ABC85" w14:textId="77777777">
            <w:pPr>
              <w:spacing w:after="0" w:line="240" w:lineRule="auto"/>
              <w:jc w:val="center"/>
              <w:rPr>
                <w:rFonts w:eastAsia="Times New Roman" w:cs="Arial"/>
                <w:color w:val="000000"/>
                <w:sz w:val="20"/>
                <w:szCs w:val="20"/>
                <w:lang w:eastAsia="en-GB"/>
              </w:rPr>
            </w:pPr>
            <w:r w:rsidRPr="002B2258">
              <w:rPr>
                <w:rFonts w:eastAsia="Times New Roman" w:cs="Arial"/>
                <w:color w:val="000000"/>
                <w:sz w:val="20"/>
                <w:szCs w:val="20"/>
                <w:lang w:eastAsia="en-GB"/>
              </w:rPr>
              <w:t> </w:t>
            </w:r>
          </w:p>
        </w:tc>
        <w:tc>
          <w:tcPr>
            <w:tcW w:w="1559" w:type="dxa"/>
            <w:tcBorders>
              <w:top w:val="nil"/>
              <w:left w:val="single" w:color="auto" w:sz="8" w:space="0"/>
              <w:bottom w:val="single" w:color="auto" w:sz="8" w:space="0"/>
              <w:right w:val="nil"/>
            </w:tcBorders>
            <w:shd w:val="clear" w:color="000000" w:fill="DBE5F1"/>
            <w:noWrap/>
            <w:vAlign w:val="center"/>
            <w:hideMark/>
          </w:tcPr>
          <w:p w:rsidRPr="002B2258" w:rsidR="002B2258" w:rsidP="002B2258" w:rsidRDefault="002B2258" w14:paraId="1AFEE9C0"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£'000</w:t>
            </w:r>
          </w:p>
        </w:tc>
        <w:tc>
          <w:tcPr>
            <w:tcW w:w="1276" w:type="dxa"/>
            <w:tcBorders>
              <w:top w:val="nil"/>
              <w:left w:val="nil"/>
              <w:bottom w:val="single" w:color="auto" w:sz="8" w:space="0"/>
              <w:right w:val="nil"/>
            </w:tcBorders>
            <w:shd w:val="clear" w:color="000000" w:fill="DBE5F1"/>
            <w:noWrap/>
            <w:vAlign w:val="center"/>
            <w:hideMark/>
          </w:tcPr>
          <w:p w:rsidRPr="002B2258" w:rsidR="002B2258" w:rsidP="002B2258" w:rsidRDefault="002B2258" w14:paraId="405A1D67"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£'000</w:t>
            </w:r>
          </w:p>
        </w:tc>
        <w:tc>
          <w:tcPr>
            <w:tcW w:w="1416" w:type="dxa"/>
            <w:tcBorders>
              <w:top w:val="nil"/>
              <w:left w:val="nil"/>
              <w:bottom w:val="single" w:color="auto" w:sz="8" w:space="0"/>
              <w:right w:val="single" w:color="auto" w:sz="8" w:space="0"/>
            </w:tcBorders>
            <w:shd w:val="clear" w:color="000000" w:fill="DBE5F1"/>
            <w:noWrap/>
            <w:vAlign w:val="center"/>
            <w:hideMark/>
          </w:tcPr>
          <w:p w:rsidRPr="002B2258" w:rsidR="002B2258" w:rsidP="002B2258" w:rsidRDefault="002B2258" w14:paraId="5C26CA2A" w14:textId="77777777">
            <w:pPr>
              <w:spacing w:after="0" w:line="240" w:lineRule="auto"/>
              <w:jc w:val="center"/>
              <w:rPr>
                <w:rFonts w:eastAsia="Times New Roman" w:cs="Arial"/>
                <w:b/>
                <w:bCs/>
                <w:color w:val="000000"/>
                <w:sz w:val="20"/>
                <w:szCs w:val="20"/>
                <w:lang w:eastAsia="en-GB"/>
              </w:rPr>
            </w:pPr>
            <w:r w:rsidRPr="002B2258">
              <w:rPr>
                <w:rFonts w:eastAsia="Times New Roman" w:cs="Arial"/>
                <w:b/>
                <w:bCs/>
                <w:color w:val="000000"/>
                <w:sz w:val="20"/>
                <w:szCs w:val="20"/>
                <w:lang w:eastAsia="en-GB"/>
              </w:rPr>
              <w:t>£'000</w:t>
            </w:r>
          </w:p>
        </w:tc>
      </w:tr>
      <w:tr w:rsidRPr="002B2258" w:rsidR="002B2258" w:rsidTr="002B2258" w14:paraId="0C26C2EE" w14:textId="77777777">
        <w:trPr>
          <w:trHeight w:val="264"/>
        </w:trPr>
        <w:tc>
          <w:tcPr>
            <w:tcW w:w="1372" w:type="dxa"/>
            <w:tcBorders>
              <w:top w:val="nil"/>
              <w:left w:val="single" w:color="auto" w:sz="8" w:space="0"/>
              <w:bottom w:val="nil"/>
              <w:right w:val="nil"/>
            </w:tcBorders>
            <w:shd w:val="clear" w:color="auto" w:fill="auto"/>
            <w:noWrap/>
            <w:vAlign w:val="center"/>
            <w:hideMark/>
          </w:tcPr>
          <w:p w:rsidRPr="002B2258" w:rsidR="002B2258" w:rsidP="002B2258" w:rsidRDefault="002B2258" w14:paraId="7D13B080"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181</w:t>
            </w:r>
          </w:p>
        </w:tc>
        <w:tc>
          <w:tcPr>
            <w:tcW w:w="917" w:type="dxa"/>
            <w:tcBorders>
              <w:top w:val="nil"/>
              <w:left w:val="nil"/>
              <w:bottom w:val="nil"/>
              <w:right w:val="nil"/>
            </w:tcBorders>
            <w:shd w:val="clear" w:color="auto" w:fill="auto"/>
            <w:noWrap/>
            <w:vAlign w:val="center"/>
            <w:hideMark/>
          </w:tcPr>
          <w:p w:rsidRPr="002B2258" w:rsidR="002B2258" w:rsidP="002B2258" w:rsidRDefault="00533AE1" w14:paraId="776710FD" w14:textId="256BFC08">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555</w:t>
            </w:r>
            <w:r>
              <w:rPr>
                <w:rFonts w:eastAsia="Times New Roman" w:cs="Arial"/>
                <w:sz w:val="20"/>
                <w:szCs w:val="20"/>
                <w:lang w:eastAsia="en-GB"/>
              </w:rPr>
              <w:t>)</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533AE1" w14:paraId="4803A8BB" w14:textId="49D8534C">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778</w:t>
            </w:r>
            <w:r>
              <w:rPr>
                <w:rFonts w:eastAsia="Times New Roman" w:cs="Arial"/>
                <w:sz w:val="20"/>
                <w:szCs w:val="20"/>
                <w:lang w:eastAsia="en-GB"/>
              </w:rPr>
              <w:t>)</w:t>
            </w:r>
          </w:p>
        </w:tc>
        <w:tc>
          <w:tcPr>
            <w:tcW w:w="2812" w:type="dxa"/>
            <w:tcBorders>
              <w:top w:val="nil"/>
              <w:left w:val="nil"/>
              <w:bottom w:val="nil"/>
              <w:right w:val="nil"/>
            </w:tcBorders>
            <w:shd w:val="clear" w:color="auto" w:fill="auto"/>
            <w:noWrap/>
            <w:vAlign w:val="bottom"/>
            <w:hideMark/>
          </w:tcPr>
          <w:p w:rsidRPr="002B2258" w:rsidR="002B2258" w:rsidP="002B2258" w:rsidRDefault="002B2258" w14:paraId="4F6CDA49" w14:textId="77777777">
            <w:pPr>
              <w:spacing w:after="0" w:line="240" w:lineRule="auto"/>
              <w:rPr>
                <w:rFonts w:eastAsia="Times New Roman" w:cs="Arial"/>
                <w:sz w:val="20"/>
                <w:szCs w:val="20"/>
                <w:lang w:eastAsia="en-GB"/>
              </w:rPr>
            </w:pPr>
            <w:r w:rsidRPr="002B2258">
              <w:rPr>
                <w:rFonts w:eastAsia="Times New Roman" w:cs="Arial"/>
                <w:sz w:val="20"/>
                <w:szCs w:val="20"/>
                <w:lang w:eastAsia="en-GB"/>
              </w:rPr>
              <w:t>The City of Cardiff Council</w:t>
            </w:r>
          </w:p>
        </w:tc>
        <w:tc>
          <w:tcPr>
            <w:tcW w:w="1559" w:type="dxa"/>
            <w:tcBorders>
              <w:top w:val="nil"/>
              <w:left w:val="single" w:color="auto" w:sz="8" w:space="0"/>
              <w:bottom w:val="nil"/>
              <w:right w:val="nil"/>
            </w:tcBorders>
            <w:shd w:val="clear" w:color="auto" w:fill="auto"/>
            <w:noWrap/>
            <w:vAlign w:val="center"/>
            <w:hideMark/>
          </w:tcPr>
          <w:p w:rsidRPr="002B2258" w:rsidR="002B2258" w:rsidP="002B2258" w:rsidRDefault="002B2258" w14:paraId="1DFEFFE2"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155</w:t>
            </w:r>
          </w:p>
        </w:tc>
        <w:tc>
          <w:tcPr>
            <w:tcW w:w="1276" w:type="dxa"/>
            <w:tcBorders>
              <w:top w:val="nil"/>
              <w:left w:val="nil"/>
              <w:bottom w:val="nil"/>
              <w:right w:val="nil"/>
            </w:tcBorders>
            <w:shd w:val="clear" w:color="auto" w:fill="auto"/>
            <w:noWrap/>
            <w:vAlign w:val="center"/>
            <w:hideMark/>
          </w:tcPr>
          <w:p w:rsidRPr="002B2258" w:rsidR="002B2258" w:rsidP="002B2258" w:rsidRDefault="00533AE1" w14:paraId="5AAB4104" w14:textId="63F56AFE">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560</w:t>
            </w:r>
            <w:r>
              <w:rPr>
                <w:rFonts w:eastAsia="Times New Roman" w:cs="Arial"/>
                <w:sz w:val="20"/>
                <w:szCs w:val="20"/>
                <w:lang w:eastAsia="en-GB"/>
              </w:rPr>
              <w:t>)</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533AE1" w14:paraId="76EA0DF7" w14:textId="2BC28BC1">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699</w:t>
            </w:r>
            <w:r>
              <w:rPr>
                <w:rFonts w:eastAsia="Times New Roman" w:cs="Arial"/>
                <w:sz w:val="20"/>
                <w:szCs w:val="20"/>
                <w:lang w:eastAsia="en-GB"/>
              </w:rPr>
              <w:t>)</w:t>
            </w:r>
          </w:p>
        </w:tc>
      </w:tr>
      <w:tr w:rsidRPr="002B2258" w:rsidR="002B2258" w:rsidTr="002B2258" w14:paraId="49FFBB7B" w14:textId="77777777">
        <w:trPr>
          <w:trHeight w:val="264"/>
        </w:trPr>
        <w:tc>
          <w:tcPr>
            <w:tcW w:w="1372" w:type="dxa"/>
            <w:tcBorders>
              <w:top w:val="nil"/>
              <w:left w:val="single" w:color="auto" w:sz="8" w:space="0"/>
              <w:bottom w:val="nil"/>
              <w:right w:val="nil"/>
            </w:tcBorders>
            <w:shd w:val="clear" w:color="auto" w:fill="auto"/>
            <w:noWrap/>
            <w:vAlign w:val="bottom"/>
            <w:hideMark/>
          </w:tcPr>
          <w:p w:rsidRPr="002B2258" w:rsidR="002B2258" w:rsidP="002B2258" w:rsidRDefault="002B2258" w14:paraId="4610E43A"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101</w:t>
            </w:r>
          </w:p>
        </w:tc>
        <w:tc>
          <w:tcPr>
            <w:tcW w:w="917" w:type="dxa"/>
            <w:tcBorders>
              <w:top w:val="nil"/>
              <w:left w:val="nil"/>
              <w:bottom w:val="nil"/>
              <w:right w:val="nil"/>
            </w:tcBorders>
            <w:shd w:val="clear" w:color="auto" w:fill="auto"/>
            <w:noWrap/>
            <w:vAlign w:val="center"/>
            <w:hideMark/>
          </w:tcPr>
          <w:p w:rsidRPr="002B2258" w:rsidR="002B2258" w:rsidP="002B2258" w:rsidRDefault="002B2258" w14:paraId="11104EA7"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533AE1" w14:paraId="39A61E61" w14:textId="19927F8F">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297</w:t>
            </w:r>
            <w:r>
              <w:rPr>
                <w:rFonts w:eastAsia="Times New Roman" w:cs="Arial"/>
                <w:sz w:val="20"/>
                <w:szCs w:val="20"/>
                <w:lang w:eastAsia="en-GB"/>
              </w:rPr>
              <w:t>)</w:t>
            </w:r>
          </w:p>
        </w:tc>
        <w:tc>
          <w:tcPr>
            <w:tcW w:w="2812" w:type="dxa"/>
            <w:tcBorders>
              <w:top w:val="nil"/>
              <w:left w:val="nil"/>
              <w:bottom w:val="nil"/>
              <w:right w:val="nil"/>
            </w:tcBorders>
            <w:shd w:val="clear" w:color="auto" w:fill="auto"/>
            <w:noWrap/>
            <w:vAlign w:val="bottom"/>
            <w:hideMark/>
          </w:tcPr>
          <w:p w:rsidRPr="002B2258" w:rsidR="002B2258" w:rsidP="002B2258" w:rsidRDefault="002B2258" w14:paraId="34E8548B" w14:textId="77777777">
            <w:pPr>
              <w:spacing w:after="0" w:line="240" w:lineRule="auto"/>
              <w:rPr>
                <w:rFonts w:eastAsia="Times New Roman" w:cs="Arial"/>
                <w:sz w:val="20"/>
                <w:szCs w:val="20"/>
                <w:lang w:eastAsia="en-GB"/>
              </w:rPr>
            </w:pPr>
            <w:r w:rsidRPr="002B2258">
              <w:rPr>
                <w:rFonts w:eastAsia="Times New Roman" w:cs="Arial"/>
                <w:sz w:val="20"/>
                <w:szCs w:val="20"/>
                <w:lang w:eastAsia="en-GB"/>
              </w:rPr>
              <w:t>Vale of Glamorgan Council</w:t>
            </w:r>
          </w:p>
        </w:tc>
        <w:tc>
          <w:tcPr>
            <w:tcW w:w="1559" w:type="dxa"/>
            <w:tcBorders>
              <w:top w:val="nil"/>
              <w:left w:val="single" w:color="auto" w:sz="8" w:space="0"/>
              <w:bottom w:val="nil"/>
              <w:right w:val="nil"/>
            </w:tcBorders>
            <w:shd w:val="clear" w:color="auto" w:fill="auto"/>
            <w:noWrap/>
            <w:vAlign w:val="center"/>
            <w:hideMark/>
          </w:tcPr>
          <w:p w:rsidRPr="002B2258" w:rsidR="002B2258" w:rsidP="002B2258" w:rsidRDefault="002B2258" w14:paraId="50002226"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49</w:t>
            </w:r>
          </w:p>
        </w:tc>
        <w:tc>
          <w:tcPr>
            <w:tcW w:w="1276" w:type="dxa"/>
            <w:tcBorders>
              <w:top w:val="nil"/>
              <w:left w:val="nil"/>
              <w:bottom w:val="nil"/>
              <w:right w:val="nil"/>
            </w:tcBorders>
            <w:shd w:val="clear" w:color="auto" w:fill="auto"/>
            <w:noWrap/>
            <w:vAlign w:val="center"/>
            <w:hideMark/>
          </w:tcPr>
          <w:p w:rsidRPr="002B2258" w:rsidR="002B2258" w:rsidP="002B2258" w:rsidRDefault="002B2258" w14:paraId="302AFADA"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533AE1" w14:paraId="7BE63803" w14:textId="6C9F16DC">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266</w:t>
            </w:r>
            <w:r>
              <w:rPr>
                <w:rFonts w:eastAsia="Times New Roman" w:cs="Arial"/>
                <w:sz w:val="20"/>
                <w:szCs w:val="20"/>
                <w:lang w:eastAsia="en-GB"/>
              </w:rPr>
              <w:t>)</w:t>
            </w:r>
          </w:p>
        </w:tc>
      </w:tr>
      <w:tr w:rsidRPr="002B2258" w:rsidR="002B2258" w:rsidTr="002B2258" w14:paraId="1057A579" w14:textId="77777777">
        <w:trPr>
          <w:trHeight w:val="264"/>
        </w:trPr>
        <w:tc>
          <w:tcPr>
            <w:tcW w:w="1372" w:type="dxa"/>
            <w:tcBorders>
              <w:top w:val="nil"/>
              <w:left w:val="single" w:color="auto" w:sz="8" w:space="0"/>
              <w:bottom w:val="nil"/>
              <w:right w:val="nil"/>
            </w:tcBorders>
            <w:shd w:val="clear" w:color="auto" w:fill="auto"/>
            <w:noWrap/>
            <w:vAlign w:val="center"/>
            <w:hideMark/>
          </w:tcPr>
          <w:p w:rsidRPr="002B2258" w:rsidR="002B2258" w:rsidP="002B2258" w:rsidRDefault="002B2258" w14:paraId="72C84934"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33</w:t>
            </w:r>
          </w:p>
        </w:tc>
        <w:tc>
          <w:tcPr>
            <w:tcW w:w="917" w:type="dxa"/>
            <w:tcBorders>
              <w:top w:val="nil"/>
              <w:left w:val="nil"/>
              <w:bottom w:val="nil"/>
              <w:right w:val="nil"/>
            </w:tcBorders>
            <w:shd w:val="clear" w:color="auto" w:fill="auto"/>
            <w:noWrap/>
            <w:vAlign w:val="center"/>
            <w:hideMark/>
          </w:tcPr>
          <w:p w:rsidRPr="002B2258" w:rsidR="002B2258" w:rsidP="002B2258" w:rsidRDefault="002B2258" w14:paraId="08AD42D6"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533AE1" w14:paraId="79E9B16E" w14:textId="0B454D60">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243</w:t>
            </w:r>
            <w:r>
              <w:rPr>
                <w:rFonts w:eastAsia="Times New Roman" w:cs="Arial"/>
                <w:sz w:val="20"/>
                <w:szCs w:val="20"/>
                <w:lang w:eastAsia="en-GB"/>
              </w:rPr>
              <w:t>)</w:t>
            </w:r>
          </w:p>
        </w:tc>
        <w:tc>
          <w:tcPr>
            <w:tcW w:w="2812" w:type="dxa"/>
            <w:tcBorders>
              <w:top w:val="nil"/>
              <w:left w:val="nil"/>
              <w:bottom w:val="nil"/>
              <w:right w:val="nil"/>
            </w:tcBorders>
            <w:shd w:val="clear" w:color="auto" w:fill="auto"/>
            <w:noWrap/>
            <w:vAlign w:val="center"/>
            <w:hideMark/>
          </w:tcPr>
          <w:p w:rsidRPr="002B2258" w:rsidR="002B2258" w:rsidP="002B2258" w:rsidRDefault="002B2258" w14:paraId="1548B0D1" w14:textId="77777777">
            <w:pPr>
              <w:spacing w:after="0" w:line="240" w:lineRule="auto"/>
              <w:rPr>
                <w:rFonts w:eastAsia="Times New Roman" w:cs="Arial"/>
                <w:sz w:val="20"/>
                <w:szCs w:val="20"/>
                <w:lang w:eastAsia="en-GB"/>
              </w:rPr>
            </w:pPr>
            <w:r w:rsidRPr="002B2258">
              <w:rPr>
                <w:rFonts w:eastAsia="Times New Roman" w:cs="Arial"/>
                <w:sz w:val="20"/>
                <w:szCs w:val="20"/>
                <w:lang w:eastAsia="en-GB"/>
              </w:rPr>
              <w:t>Merthyr Tydfil Council</w:t>
            </w:r>
          </w:p>
        </w:tc>
        <w:tc>
          <w:tcPr>
            <w:tcW w:w="1559" w:type="dxa"/>
            <w:tcBorders>
              <w:top w:val="nil"/>
              <w:left w:val="single" w:color="auto" w:sz="8" w:space="0"/>
              <w:bottom w:val="nil"/>
              <w:right w:val="nil"/>
            </w:tcBorders>
            <w:shd w:val="clear" w:color="auto" w:fill="auto"/>
            <w:noWrap/>
            <w:vAlign w:val="center"/>
            <w:hideMark/>
          </w:tcPr>
          <w:p w:rsidRPr="002B2258" w:rsidR="002B2258" w:rsidP="002B2258" w:rsidRDefault="002B2258" w14:paraId="20B3EC1D"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28</w:t>
            </w:r>
          </w:p>
        </w:tc>
        <w:tc>
          <w:tcPr>
            <w:tcW w:w="1276" w:type="dxa"/>
            <w:tcBorders>
              <w:top w:val="nil"/>
              <w:left w:val="nil"/>
              <w:bottom w:val="nil"/>
              <w:right w:val="nil"/>
            </w:tcBorders>
            <w:shd w:val="clear" w:color="auto" w:fill="auto"/>
            <w:noWrap/>
            <w:vAlign w:val="center"/>
            <w:hideMark/>
          </w:tcPr>
          <w:p w:rsidRPr="002B2258" w:rsidR="002B2258" w:rsidP="002B2258" w:rsidRDefault="002B2258" w14:paraId="3175D221"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533AE1" w14:paraId="100AFB4E" w14:textId="112CD2ED">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211</w:t>
            </w:r>
            <w:r>
              <w:rPr>
                <w:rFonts w:eastAsia="Times New Roman" w:cs="Arial"/>
                <w:sz w:val="20"/>
                <w:szCs w:val="20"/>
                <w:lang w:eastAsia="en-GB"/>
              </w:rPr>
              <w:t>)</w:t>
            </w:r>
          </w:p>
        </w:tc>
      </w:tr>
      <w:tr w:rsidRPr="002B2258" w:rsidR="002B2258" w:rsidTr="002B2258" w14:paraId="05A91CE6" w14:textId="77777777">
        <w:trPr>
          <w:trHeight w:val="264"/>
        </w:trPr>
        <w:tc>
          <w:tcPr>
            <w:tcW w:w="1372" w:type="dxa"/>
            <w:tcBorders>
              <w:top w:val="nil"/>
              <w:left w:val="single" w:color="auto" w:sz="8" w:space="0"/>
              <w:bottom w:val="nil"/>
              <w:right w:val="nil"/>
            </w:tcBorders>
            <w:shd w:val="clear" w:color="auto" w:fill="auto"/>
            <w:noWrap/>
            <w:vAlign w:val="center"/>
            <w:hideMark/>
          </w:tcPr>
          <w:p w:rsidRPr="002B2258" w:rsidR="002B2258" w:rsidP="002B2258" w:rsidRDefault="002B2258" w14:paraId="0D73C709"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132</w:t>
            </w:r>
          </w:p>
        </w:tc>
        <w:tc>
          <w:tcPr>
            <w:tcW w:w="917" w:type="dxa"/>
            <w:tcBorders>
              <w:top w:val="nil"/>
              <w:left w:val="nil"/>
              <w:bottom w:val="nil"/>
              <w:right w:val="nil"/>
            </w:tcBorders>
            <w:shd w:val="clear" w:color="auto" w:fill="auto"/>
            <w:noWrap/>
            <w:vAlign w:val="center"/>
            <w:hideMark/>
          </w:tcPr>
          <w:p w:rsidRPr="002B2258" w:rsidR="002B2258" w:rsidP="002B2258" w:rsidRDefault="002B2258" w14:paraId="2DA760F7"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533AE1" w14:paraId="093F9C28" w14:textId="13C62518">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603</w:t>
            </w:r>
            <w:r>
              <w:rPr>
                <w:rFonts w:eastAsia="Times New Roman" w:cs="Arial"/>
                <w:sz w:val="20"/>
                <w:szCs w:val="20"/>
                <w:lang w:eastAsia="en-GB"/>
              </w:rPr>
              <w:t>)</w:t>
            </w:r>
          </w:p>
        </w:tc>
        <w:tc>
          <w:tcPr>
            <w:tcW w:w="2812" w:type="dxa"/>
            <w:tcBorders>
              <w:top w:val="nil"/>
              <w:left w:val="nil"/>
              <w:bottom w:val="nil"/>
              <w:right w:val="nil"/>
            </w:tcBorders>
            <w:shd w:val="clear" w:color="auto" w:fill="auto"/>
            <w:noWrap/>
            <w:vAlign w:val="center"/>
            <w:hideMark/>
          </w:tcPr>
          <w:p w:rsidRPr="002B2258" w:rsidR="002B2258" w:rsidP="002B2258" w:rsidRDefault="002B2258" w14:paraId="68565563" w14:textId="77777777">
            <w:pPr>
              <w:spacing w:after="0" w:line="240" w:lineRule="auto"/>
              <w:rPr>
                <w:rFonts w:eastAsia="Times New Roman" w:cs="Arial"/>
                <w:sz w:val="20"/>
                <w:szCs w:val="20"/>
                <w:lang w:eastAsia="en-GB"/>
              </w:rPr>
            </w:pPr>
            <w:r w:rsidRPr="002B2258">
              <w:rPr>
                <w:rFonts w:eastAsia="Times New Roman" w:cs="Arial"/>
                <w:sz w:val="20"/>
                <w:szCs w:val="20"/>
                <w:lang w:eastAsia="en-GB"/>
              </w:rPr>
              <w:t>Rhondda Cynon Taff Council</w:t>
            </w:r>
          </w:p>
        </w:tc>
        <w:tc>
          <w:tcPr>
            <w:tcW w:w="1559" w:type="dxa"/>
            <w:tcBorders>
              <w:top w:val="nil"/>
              <w:left w:val="single" w:color="auto" w:sz="8" w:space="0"/>
              <w:bottom w:val="nil"/>
              <w:right w:val="nil"/>
            </w:tcBorders>
            <w:shd w:val="clear" w:color="auto" w:fill="auto"/>
            <w:noWrap/>
            <w:vAlign w:val="center"/>
            <w:hideMark/>
          </w:tcPr>
          <w:p w:rsidRPr="002B2258" w:rsidR="002B2258" w:rsidP="002B2258" w:rsidRDefault="002B2258" w14:paraId="5316B345"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131</w:t>
            </w:r>
          </w:p>
        </w:tc>
        <w:tc>
          <w:tcPr>
            <w:tcW w:w="1276" w:type="dxa"/>
            <w:tcBorders>
              <w:top w:val="nil"/>
              <w:left w:val="nil"/>
              <w:bottom w:val="nil"/>
              <w:right w:val="nil"/>
            </w:tcBorders>
            <w:shd w:val="clear" w:color="auto" w:fill="auto"/>
            <w:noWrap/>
            <w:vAlign w:val="center"/>
            <w:hideMark/>
          </w:tcPr>
          <w:p w:rsidRPr="002B2258" w:rsidR="002B2258" w:rsidP="002B2258" w:rsidRDefault="002B2258" w14:paraId="28E84505"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533AE1" w14:paraId="71AC9A51" w14:textId="6C06C280">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2B2258" w:rsidR="002B2258">
              <w:rPr>
                <w:rFonts w:eastAsia="Times New Roman" w:cs="Arial"/>
                <w:sz w:val="20"/>
                <w:szCs w:val="20"/>
                <w:lang w:eastAsia="en-GB"/>
              </w:rPr>
              <w:t>562</w:t>
            </w:r>
            <w:r>
              <w:rPr>
                <w:rFonts w:eastAsia="Times New Roman" w:cs="Arial"/>
                <w:sz w:val="20"/>
                <w:szCs w:val="20"/>
                <w:lang w:eastAsia="en-GB"/>
              </w:rPr>
              <w:t>)</w:t>
            </w:r>
          </w:p>
        </w:tc>
      </w:tr>
      <w:tr w:rsidRPr="002B2258" w:rsidR="002B2258" w:rsidTr="002B2258" w14:paraId="66CD4911" w14:textId="77777777">
        <w:trPr>
          <w:trHeight w:val="264"/>
        </w:trPr>
        <w:tc>
          <w:tcPr>
            <w:tcW w:w="1372" w:type="dxa"/>
            <w:tcBorders>
              <w:top w:val="nil"/>
              <w:left w:val="single" w:color="auto" w:sz="8" w:space="0"/>
              <w:bottom w:val="nil"/>
              <w:right w:val="nil"/>
            </w:tcBorders>
            <w:shd w:val="clear" w:color="auto" w:fill="auto"/>
            <w:noWrap/>
            <w:vAlign w:val="center"/>
            <w:hideMark/>
          </w:tcPr>
          <w:p w:rsidRPr="002B2258" w:rsidR="002B2258" w:rsidP="002B2258" w:rsidRDefault="002B2258" w14:paraId="43C6669E"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c>
          <w:tcPr>
            <w:tcW w:w="917" w:type="dxa"/>
            <w:tcBorders>
              <w:top w:val="nil"/>
              <w:left w:val="nil"/>
              <w:bottom w:val="nil"/>
              <w:right w:val="nil"/>
            </w:tcBorders>
            <w:shd w:val="clear" w:color="auto" w:fill="auto"/>
            <w:noWrap/>
            <w:vAlign w:val="center"/>
            <w:hideMark/>
          </w:tcPr>
          <w:p w:rsidRPr="002B2258" w:rsidR="002B2258" w:rsidP="002B2258" w:rsidRDefault="00533AE1" w14:paraId="2D5B84AE" w14:textId="55626C62">
            <w:pPr>
              <w:spacing w:after="0" w:line="240" w:lineRule="auto"/>
              <w:jc w:val="right"/>
              <w:rPr>
                <w:rFonts w:eastAsia="Times New Roman" w:cs="Arial"/>
                <w:sz w:val="20"/>
                <w:szCs w:val="20"/>
                <w:lang w:eastAsia="en-GB"/>
              </w:rPr>
            </w:pPr>
            <w:r>
              <w:rPr>
                <w:rFonts w:eastAsia="Times New Roman" w:cs="Arial"/>
                <w:sz w:val="20"/>
                <w:szCs w:val="20"/>
                <w:lang w:eastAsia="en-GB"/>
              </w:rPr>
              <w:t>(95)</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2B2258" w14:paraId="2AFDD36A"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c>
          <w:tcPr>
            <w:tcW w:w="2812" w:type="dxa"/>
            <w:tcBorders>
              <w:top w:val="nil"/>
              <w:left w:val="nil"/>
              <w:bottom w:val="nil"/>
              <w:right w:val="nil"/>
            </w:tcBorders>
            <w:shd w:val="clear" w:color="auto" w:fill="auto"/>
            <w:noWrap/>
            <w:vAlign w:val="center"/>
            <w:hideMark/>
          </w:tcPr>
          <w:p w:rsidRPr="002B2258" w:rsidR="002B2258" w:rsidP="002B2258" w:rsidRDefault="00533AE1" w14:paraId="66A458EE" w14:textId="67E58759">
            <w:pPr>
              <w:spacing w:after="0" w:line="240" w:lineRule="auto"/>
              <w:rPr>
                <w:rFonts w:eastAsia="Times New Roman" w:cs="Arial"/>
                <w:sz w:val="20"/>
                <w:szCs w:val="20"/>
                <w:lang w:eastAsia="en-GB"/>
              </w:rPr>
            </w:pPr>
            <w:r>
              <w:rPr>
                <w:rFonts w:eastAsia="Times New Roman" w:cs="Arial"/>
                <w:sz w:val="20"/>
                <w:szCs w:val="20"/>
                <w:lang w:eastAsia="en-GB"/>
              </w:rPr>
              <w:t>Other Local Authorities</w:t>
            </w:r>
          </w:p>
        </w:tc>
        <w:tc>
          <w:tcPr>
            <w:tcW w:w="1559" w:type="dxa"/>
            <w:tcBorders>
              <w:top w:val="nil"/>
              <w:left w:val="single" w:color="auto" w:sz="8" w:space="0"/>
              <w:bottom w:val="nil"/>
              <w:right w:val="nil"/>
            </w:tcBorders>
            <w:shd w:val="clear" w:color="auto" w:fill="auto"/>
            <w:noWrap/>
            <w:vAlign w:val="center"/>
            <w:hideMark/>
          </w:tcPr>
          <w:p w:rsidRPr="002B2258" w:rsidR="002B2258" w:rsidP="002B2258" w:rsidRDefault="002B2258" w14:paraId="49F490FB"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c>
          <w:tcPr>
            <w:tcW w:w="1276" w:type="dxa"/>
            <w:tcBorders>
              <w:top w:val="nil"/>
              <w:left w:val="nil"/>
              <w:bottom w:val="nil"/>
              <w:right w:val="nil"/>
            </w:tcBorders>
            <w:shd w:val="clear" w:color="auto" w:fill="auto"/>
            <w:noWrap/>
            <w:vAlign w:val="center"/>
            <w:hideMark/>
          </w:tcPr>
          <w:p w:rsidRPr="002B2258" w:rsidR="002B2258" w:rsidP="002B2258" w:rsidRDefault="00533AE1" w14:paraId="466AC3F3" w14:textId="69BBD1EC">
            <w:pPr>
              <w:spacing w:after="0" w:line="240" w:lineRule="auto"/>
              <w:jc w:val="right"/>
              <w:rPr>
                <w:rFonts w:eastAsia="Times New Roman" w:cs="Arial"/>
                <w:sz w:val="20"/>
                <w:szCs w:val="20"/>
                <w:lang w:eastAsia="en-GB"/>
              </w:rPr>
            </w:pPr>
            <w:r>
              <w:rPr>
                <w:rFonts w:eastAsia="Times New Roman" w:cs="Arial"/>
                <w:sz w:val="20"/>
                <w:szCs w:val="20"/>
                <w:lang w:eastAsia="en-GB"/>
              </w:rPr>
              <w:t>(72)</w:t>
            </w:r>
          </w:p>
        </w:tc>
        <w:tc>
          <w:tcPr>
            <w:tcW w:w="1416" w:type="dxa"/>
            <w:tcBorders>
              <w:top w:val="nil"/>
              <w:left w:val="nil"/>
              <w:bottom w:val="nil"/>
              <w:right w:val="single" w:color="auto" w:sz="8" w:space="0"/>
            </w:tcBorders>
            <w:shd w:val="clear" w:color="auto" w:fill="auto"/>
            <w:noWrap/>
            <w:vAlign w:val="center"/>
            <w:hideMark/>
          </w:tcPr>
          <w:p w:rsidRPr="002B2258" w:rsidR="002B2258" w:rsidP="002B2258" w:rsidRDefault="002B2258" w14:paraId="08EC2828" w14:textId="77777777">
            <w:pPr>
              <w:spacing w:after="0" w:line="240" w:lineRule="auto"/>
              <w:jc w:val="right"/>
              <w:rPr>
                <w:rFonts w:eastAsia="Times New Roman" w:cs="Arial"/>
                <w:sz w:val="20"/>
                <w:szCs w:val="20"/>
                <w:lang w:eastAsia="en-GB"/>
              </w:rPr>
            </w:pPr>
            <w:r w:rsidRPr="002B2258">
              <w:rPr>
                <w:rFonts w:eastAsia="Times New Roman" w:cs="Arial"/>
                <w:sz w:val="20"/>
                <w:szCs w:val="20"/>
                <w:lang w:eastAsia="en-GB"/>
              </w:rPr>
              <w:t>0</w:t>
            </w:r>
          </w:p>
        </w:tc>
      </w:tr>
      <w:tr w:rsidRPr="002B2258" w:rsidR="002B2258" w:rsidTr="002B2258" w14:paraId="204D515E" w14:textId="77777777">
        <w:trPr>
          <w:trHeight w:val="276"/>
        </w:trPr>
        <w:tc>
          <w:tcPr>
            <w:tcW w:w="1372" w:type="dxa"/>
            <w:tcBorders>
              <w:top w:val="single" w:color="auto" w:sz="8" w:space="0"/>
              <w:left w:val="single" w:color="auto" w:sz="8" w:space="0"/>
              <w:bottom w:val="single" w:color="auto" w:sz="8" w:space="0"/>
              <w:right w:val="nil"/>
            </w:tcBorders>
            <w:shd w:val="clear" w:color="000000" w:fill="DBE5F1"/>
            <w:noWrap/>
            <w:vAlign w:val="center"/>
            <w:hideMark/>
          </w:tcPr>
          <w:p w:rsidRPr="002B2258" w:rsidR="002B2258" w:rsidP="002B2258" w:rsidRDefault="002B2258" w14:paraId="1FEDA1E3" w14:textId="77777777">
            <w:pPr>
              <w:spacing w:after="0" w:line="240" w:lineRule="auto"/>
              <w:jc w:val="right"/>
              <w:rPr>
                <w:rFonts w:eastAsia="Times New Roman" w:cs="Arial"/>
                <w:b/>
                <w:bCs/>
                <w:color w:val="000000"/>
                <w:sz w:val="20"/>
                <w:szCs w:val="20"/>
                <w:lang w:eastAsia="en-GB"/>
              </w:rPr>
            </w:pPr>
            <w:r w:rsidRPr="002B2258">
              <w:rPr>
                <w:rFonts w:eastAsia="Times New Roman" w:cs="Arial"/>
                <w:b/>
                <w:bCs/>
                <w:color w:val="000000"/>
                <w:sz w:val="20"/>
                <w:szCs w:val="20"/>
                <w:lang w:eastAsia="en-GB"/>
              </w:rPr>
              <w:t>447</w:t>
            </w:r>
          </w:p>
        </w:tc>
        <w:tc>
          <w:tcPr>
            <w:tcW w:w="917" w:type="dxa"/>
            <w:tcBorders>
              <w:top w:val="single" w:color="auto" w:sz="8" w:space="0"/>
              <w:left w:val="nil"/>
              <w:bottom w:val="single" w:color="auto" w:sz="8" w:space="0"/>
              <w:right w:val="nil"/>
            </w:tcBorders>
            <w:shd w:val="clear" w:color="000000" w:fill="DBE5F1"/>
            <w:noWrap/>
            <w:vAlign w:val="center"/>
            <w:hideMark/>
          </w:tcPr>
          <w:p w:rsidRPr="002B2258" w:rsidR="002B2258" w:rsidP="002B2258" w:rsidRDefault="0038373D" w14:paraId="7A684F3D" w14:textId="1F5C9017">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2B2258" w:rsidR="002B2258">
              <w:rPr>
                <w:rFonts w:eastAsia="Times New Roman" w:cs="Arial"/>
                <w:b/>
                <w:bCs/>
                <w:color w:val="000000"/>
                <w:sz w:val="20"/>
                <w:szCs w:val="20"/>
                <w:lang w:eastAsia="en-GB"/>
              </w:rPr>
              <w:t>650</w:t>
            </w:r>
            <w:r>
              <w:rPr>
                <w:rFonts w:eastAsia="Times New Roman" w:cs="Arial"/>
                <w:b/>
                <w:bCs/>
                <w:color w:val="000000"/>
                <w:sz w:val="20"/>
                <w:szCs w:val="20"/>
                <w:lang w:eastAsia="en-GB"/>
              </w:rPr>
              <w:t>)</w:t>
            </w:r>
          </w:p>
        </w:tc>
        <w:tc>
          <w:tcPr>
            <w:tcW w:w="1416" w:type="dxa"/>
            <w:tcBorders>
              <w:top w:val="single" w:color="auto" w:sz="8" w:space="0"/>
              <w:left w:val="nil"/>
              <w:bottom w:val="single" w:color="auto" w:sz="8" w:space="0"/>
              <w:right w:val="single" w:color="auto" w:sz="8" w:space="0"/>
            </w:tcBorders>
            <w:shd w:val="clear" w:color="000000" w:fill="DBE5F1"/>
            <w:noWrap/>
            <w:vAlign w:val="center"/>
            <w:hideMark/>
          </w:tcPr>
          <w:p w:rsidRPr="002B2258" w:rsidR="002B2258" w:rsidP="002B2258" w:rsidRDefault="00533AE1" w14:paraId="0EB4C5D5" w14:textId="746AD23A">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2B2258" w:rsidR="002B2258">
              <w:rPr>
                <w:rFonts w:eastAsia="Times New Roman" w:cs="Arial"/>
                <w:b/>
                <w:bCs/>
                <w:color w:val="000000"/>
                <w:sz w:val="20"/>
                <w:szCs w:val="20"/>
                <w:lang w:eastAsia="en-GB"/>
              </w:rPr>
              <w:t>1,921</w:t>
            </w:r>
            <w:r>
              <w:rPr>
                <w:rFonts w:eastAsia="Times New Roman" w:cs="Arial"/>
                <w:b/>
                <w:bCs/>
                <w:color w:val="000000"/>
                <w:sz w:val="20"/>
                <w:szCs w:val="20"/>
                <w:lang w:eastAsia="en-GB"/>
              </w:rPr>
              <w:t>)</w:t>
            </w:r>
          </w:p>
        </w:tc>
        <w:tc>
          <w:tcPr>
            <w:tcW w:w="2812" w:type="dxa"/>
            <w:tcBorders>
              <w:top w:val="single" w:color="auto" w:sz="8" w:space="0"/>
              <w:left w:val="nil"/>
              <w:bottom w:val="single" w:color="auto" w:sz="8" w:space="0"/>
              <w:right w:val="nil"/>
            </w:tcBorders>
            <w:shd w:val="clear" w:color="000000" w:fill="DBE5F1"/>
            <w:noWrap/>
            <w:vAlign w:val="center"/>
            <w:hideMark/>
          </w:tcPr>
          <w:p w:rsidRPr="002B2258" w:rsidR="002B2258" w:rsidP="002B2258" w:rsidRDefault="002B2258" w14:paraId="48163ACB" w14:textId="77777777">
            <w:pPr>
              <w:spacing w:after="0" w:line="240" w:lineRule="auto"/>
              <w:rPr>
                <w:rFonts w:eastAsia="Times New Roman" w:cs="Arial"/>
                <w:b/>
                <w:bCs/>
                <w:color w:val="000000"/>
                <w:sz w:val="20"/>
                <w:szCs w:val="20"/>
                <w:lang w:eastAsia="en-GB"/>
              </w:rPr>
            </w:pPr>
            <w:r w:rsidRPr="002B2258">
              <w:rPr>
                <w:rFonts w:eastAsia="Times New Roman" w:cs="Arial"/>
                <w:b/>
                <w:bCs/>
                <w:color w:val="000000"/>
                <w:sz w:val="20"/>
                <w:szCs w:val="20"/>
                <w:lang w:eastAsia="en-GB"/>
              </w:rPr>
              <w:t xml:space="preserve">Total </w:t>
            </w:r>
          </w:p>
        </w:tc>
        <w:tc>
          <w:tcPr>
            <w:tcW w:w="1559" w:type="dxa"/>
            <w:tcBorders>
              <w:top w:val="single" w:color="auto" w:sz="8" w:space="0"/>
              <w:left w:val="single" w:color="auto" w:sz="8" w:space="0"/>
              <w:bottom w:val="single" w:color="auto" w:sz="8" w:space="0"/>
              <w:right w:val="nil"/>
            </w:tcBorders>
            <w:shd w:val="clear" w:color="000000" w:fill="DBE5F1"/>
            <w:noWrap/>
            <w:vAlign w:val="center"/>
            <w:hideMark/>
          </w:tcPr>
          <w:p w:rsidRPr="002B2258" w:rsidR="002B2258" w:rsidP="002B2258" w:rsidRDefault="002B2258" w14:paraId="17DA635A" w14:textId="77777777">
            <w:pPr>
              <w:spacing w:after="0" w:line="240" w:lineRule="auto"/>
              <w:jc w:val="right"/>
              <w:rPr>
                <w:rFonts w:eastAsia="Times New Roman" w:cs="Arial"/>
                <w:b/>
                <w:bCs/>
                <w:color w:val="000000"/>
                <w:sz w:val="20"/>
                <w:szCs w:val="20"/>
                <w:lang w:eastAsia="en-GB"/>
              </w:rPr>
            </w:pPr>
            <w:r w:rsidRPr="002B2258">
              <w:rPr>
                <w:rFonts w:eastAsia="Times New Roman" w:cs="Arial"/>
                <w:b/>
                <w:bCs/>
                <w:color w:val="000000"/>
                <w:sz w:val="20"/>
                <w:szCs w:val="20"/>
                <w:lang w:eastAsia="en-GB"/>
              </w:rPr>
              <w:t>363</w:t>
            </w:r>
          </w:p>
        </w:tc>
        <w:tc>
          <w:tcPr>
            <w:tcW w:w="1276" w:type="dxa"/>
            <w:tcBorders>
              <w:top w:val="single" w:color="auto" w:sz="8" w:space="0"/>
              <w:left w:val="nil"/>
              <w:bottom w:val="single" w:color="auto" w:sz="8" w:space="0"/>
              <w:right w:val="nil"/>
            </w:tcBorders>
            <w:shd w:val="clear" w:color="000000" w:fill="DBE5F1"/>
            <w:noWrap/>
            <w:vAlign w:val="center"/>
            <w:hideMark/>
          </w:tcPr>
          <w:p w:rsidRPr="002B2258" w:rsidR="002B2258" w:rsidP="002B2258" w:rsidRDefault="00533AE1" w14:paraId="302232DC" w14:textId="1CF7E386">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2B2258" w:rsidR="002B2258">
              <w:rPr>
                <w:rFonts w:eastAsia="Times New Roman" w:cs="Arial"/>
                <w:b/>
                <w:bCs/>
                <w:color w:val="000000"/>
                <w:sz w:val="20"/>
                <w:szCs w:val="20"/>
                <w:lang w:eastAsia="en-GB"/>
              </w:rPr>
              <w:t>632</w:t>
            </w:r>
            <w:r>
              <w:rPr>
                <w:rFonts w:eastAsia="Times New Roman" w:cs="Arial"/>
                <w:b/>
                <w:bCs/>
                <w:color w:val="000000"/>
                <w:sz w:val="20"/>
                <w:szCs w:val="20"/>
                <w:lang w:eastAsia="en-GB"/>
              </w:rPr>
              <w:t>)</w:t>
            </w:r>
          </w:p>
        </w:tc>
        <w:tc>
          <w:tcPr>
            <w:tcW w:w="1416" w:type="dxa"/>
            <w:tcBorders>
              <w:top w:val="single" w:color="auto" w:sz="8" w:space="0"/>
              <w:left w:val="nil"/>
              <w:bottom w:val="single" w:color="auto" w:sz="8" w:space="0"/>
              <w:right w:val="single" w:color="auto" w:sz="8" w:space="0"/>
            </w:tcBorders>
            <w:shd w:val="clear" w:color="000000" w:fill="DBE5F1"/>
            <w:noWrap/>
            <w:vAlign w:val="center"/>
            <w:hideMark/>
          </w:tcPr>
          <w:p w:rsidRPr="002B2258" w:rsidR="002B2258" w:rsidP="002B2258" w:rsidRDefault="00533AE1" w14:paraId="2B06007C" w14:textId="3E9832D9">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2B2258" w:rsidR="002B2258">
              <w:rPr>
                <w:rFonts w:eastAsia="Times New Roman" w:cs="Arial"/>
                <w:b/>
                <w:bCs/>
                <w:color w:val="000000"/>
                <w:sz w:val="20"/>
                <w:szCs w:val="20"/>
                <w:lang w:eastAsia="en-GB"/>
              </w:rPr>
              <w:t>1,738</w:t>
            </w:r>
            <w:r>
              <w:rPr>
                <w:rFonts w:eastAsia="Times New Roman" w:cs="Arial"/>
                <w:b/>
                <w:bCs/>
                <w:color w:val="000000"/>
                <w:sz w:val="20"/>
                <w:szCs w:val="20"/>
                <w:lang w:eastAsia="en-GB"/>
              </w:rPr>
              <w:t>)</w:t>
            </w:r>
          </w:p>
        </w:tc>
      </w:tr>
    </w:tbl>
    <w:p w:rsidR="001E5BEB" w:rsidP="001D6161" w:rsidRDefault="001E5BEB" w14:paraId="76767479" w14:textId="77777777">
      <w:pPr>
        <w:jc w:val="both"/>
        <w:rPr>
          <w:rFonts w:cs="Arial"/>
        </w:rPr>
      </w:pPr>
    </w:p>
    <w:p w:rsidRPr="00BB5943" w:rsidR="00F0431C" w:rsidP="001D6161" w:rsidRDefault="004972D0" w14:paraId="20D653B6" w14:textId="215289A0">
      <w:pPr>
        <w:jc w:val="both"/>
        <w:rPr>
          <w:rFonts w:cs="Arial"/>
          <w:sz w:val="24"/>
          <w:szCs w:val="24"/>
        </w:rPr>
      </w:pPr>
      <w:r w:rsidRPr="008357EE">
        <w:rPr>
          <w:rFonts w:cs="Arial"/>
        </w:rPr>
        <w:t>Pension contributions are made to Cardiff and the Vale Pension Fund in respect of Joint Committee Employees.</w:t>
      </w:r>
      <w:r w:rsidRPr="008357EE" w:rsidR="00583082">
        <w:rPr>
          <w:rFonts w:cs="Arial"/>
        </w:rPr>
        <w:t xml:space="preserve">  </w:t>
      </w:r>
      <w:r w:rsidRPr="008357EE">
        <w:rPr>
          <w:rFonts w:cs="Arial"/>
        </w:rPr>
        <w:t>Interests of Members of the Joint Committee are maintained in a register held by their own Local Authority</w:t>
      </w:r>
      <w:r w:rsidRPr="008357EE">
        <w:rPr>
          <w:rFonts w:cs="Arial"/>
          <w:sz w:val="24"/>
          <w:szCs w:val="24"/>
        </w:rPr>
        <w:t>.</w:t>
      </w:r>
    </w:p>
    <w:p w:rsidRPr="001E5BEB" w:rsidR="00F0431C" w:rsidP="001D6161" w:rsidRDefault="000B1965" w14:paraId="5D5A5D45" w14:textId="42BFE714">
      <w:pPr>
        <w:jc w:val="both"/>
        <w:rPr>
          <w:rFonts w:cs="Arial"/>
          <w:sz w:val="24"/>
          <w:szCs w:val="24"/>
        </w:rPr>
      </w:pPr>
      <w:r w:rsidRPr="001E5BEB">
        <w:rPr>
          <w:rFonts w:cs="Arial"/>
          <w:sz w:val="24"/>
          <w:szCs w:val="24"/>
        </w:rPr>
        <w:t xml:space="preserve">In 2022/23 </w:t>
      </w:r>
      <w:r w:rsidRPr="006A70E1" w:rsidR="00AE1CBD">
        <w:rPr>
          <w:rFonts w:cs="Arial"/>
        </w:rPr>
        <w:t xml:space="preserve">VVC </w:t>
      </w:r>
      <w:r w:rsidRPr="001E5BEB">
        <w:rPr>
          <w:rFonts w:cs="Arial"/>
          <w:sz w:val="24"/>
          <w:szCs w:val="24"/>
        </w:rPr>
        <w:t xml:space="preserve">received two grants </w:t>
      </w:r>
      <w:r w:rsidRPr="001E5BEB" w:rsidR="001E5BEB">
        <w:rPr>
          <w:rFonts w:cs="Arial"/>
          <w:sz w:val="24"/>
          <w:szCs w:val="24"/>
        </w:rPr>
        <w:t xml:space="preserve">totalling £555k </w:t>
      </w:r>
      <w:r w:rsidRPr="001E5BEB">
        <w:rPr>
          <w:rFonts w:cs="Arial"/>
          <w:sz w:val="24"/>
          <w:szCs w:val="24"/>
        </w:rPr>
        <w:t>from the National Adoption Service</w:t>
      </w:r>
      <w:r w:rsidRPr="001E5BEB" w:rsidR="001E5BEB">
        <w:rPr>
          <w:rFonts w:cs="Arial"/>
          <w:sz w:val="24"/>
          <w:szCs w:val="24"/>
        </w:rPr>
        <w:t xml:space="preserve"> that is administered by Cardiff County Council, </w:t>
      </w:r>
      <w:r w:rsidRPr="001E5BEB">
        <w:rPr>
          <w:rFonts w:cs="Arial"/>
          <w:sz w:val="24"/>
          <w:szCs w:val="24"/>
        </w:rPr>
        <w:t xml:space="preserve"> </w:t>
      </w:r>
      <w:r w:rsidRPr="001E5BEB" w:rsidR="001E5BEB">
        <w:rPr>
          <w:rFonts w:cs="Arial"/>
          <w:sz w:val="24"/>
          <w:szCs w:val="24"/>
        </w:rPr>
        <w:t>these are included in the table above.</w:t>
      </w:r>
    </w:p>
    <w:p w:rsidRPr="00C54D54" w:rsidR="004972D0" w:rsidP="00467BBE" w:rsidRDefault="004972D0" w14:paraId="6C17F90D" w14:textId="77777777">
      <w:pPr>
        <w:pStyle w:val="Heading2"/>
      </w:pPr>
      <w:r w:rsidRPr="00C54D54">
        <w:t xml:space="preserve"> </w:t>
      </w:r>
      <w:bookmarkStart w:name="_Toc485903719" w:id="36"/>
      <w:r w:rsidRPr="00C54D54" w:rsidR="00883DB4">
        <w:t xml:space="preserve">     </w:t>
      </w:r>
      <w:r w:rsidRPr="00C54D54">
        <w:t>Audit Fees</w:t>
      </w:r>
      <w:bookmarkEnd w:id="36"/>
    </w:p>
    <w:tbl>
      <w:tblPr>
        <w:tblW w:w="9211" w:type="dxa"/>
        <w:tblInd w:w="-5" w:type="dxa"/>
        <w:tblLook w:val="04A0" w:firstRow="1" w:lastRow="0" w:firstColumn="1" w:lastColumn="0" w:noHBand="0" w:noVBand="1"/>
      </w:tblPr>
      <w:tblGrid>
        <w:gridCol w:w="2410"/>
        <w:gridCol w:w="4253"/>
        <w:gridCol w:w="2548"/>
      </w:tblGrid>
      <w:tr w:rsidRPr="00C54D54" w:rsidR="000463B7" w:rsidTr="00BF4AB4" w14:paraId="5512C844" w14:textId="77777777">
        <w:trPr>
          <w:trHeight w:val="300"/>
        </w:trPr>
        <w:tc>
          <w:tcPr>
            <w:tcW w:w="2410" w:type="dxa"/>
            <w:tcBorders>
              <w:top w:val="single" w:color="auto" w:sz="4" w:space="0"/>
              <w:left w:val="single" w:color="auto" w:sz="4" w:space="0"/>
              <w:bottom w:val="nil"/>
              <w:right w:val="single" w:color="auto" w:sz="4" w:space="0"/>
            </w:tcBorders>
            <w:shd w:val="clear" w:color="auto" w:fill="DBE5F1" w:themeFill="accent1" w:themeFillTint="33"/>
            <w:vAlign w:val="bottom"/>
          </w:tcPr>
          <w:p w:rsidRPr="00C54D54" w:rsidR="000463B7" w:rsidP="00AC3740" w:rsidRDefault="00077570" w14:paraId="6EBA6573" w14:textId="6068DFA0">
            <w:pPr>
              <w:spacing w:after="0" w:line="240" w:lineRule="auto"/>
              <w:jc w:val="center"/>
              <w:rPr>
                <w:rFonts w:eastAsia="Times New Roman" w:cs="Arial"/>
                <w:b/>
                <w:bCs/>
                <w:color w:val="000000"/>
                <w:sz w:val="20"/>
                <w:szCs w:val="20"/>
                <w:lang w:eastAsia="en-GB"/>
              </w:rPr>
            </w:pPr>
            <w:r w:rsidRPr="00C54D54">
              <w:rPr>
                <w:rFonts w:eastAsia="Times New Roman" w:cs="Arial"/>
                <w:b/>
                <w:bCs/>
                <w:color w:val="000000"/>
                <w:sz w:val="20"/>
                <w:szCs w:val="20"/>
                <w:lang w:eastAsia="en-GB"/>
              </w:rPr>
              <w:t>202</w:t>
            </w:r>
            <w:r w:rsidRPr="00C54D54" w:rsidR="00CC439E">
              <w:rPr>
                <w:rFonts w:eastAsia="Times New Roman" w:cs="Arial"/>
                <w:b/>
                <w:bCs/>
                <w:color w:val="000000"/>
                <w:sz w:val="20"/>
                <w:szCs w:val="20"/>
                <w:lang w:eastAsia="en-GB"/>
              </w:rPr>
              <w:t>2</w:t>
            </w:r>
            <w:r w:rsidRPr="00C54D54">
              <w:rPr>
                <w:rFonts w:eastAsia="Times New Roman" w:cs="Arial"/>
                <w:b/>
                <w:bCs/>
                <w:color w:val="000000"/>
                <w:sz w:val="20"/>
                <w:szCs w:val="20"/>
                <w:lang w:eastAsia="en-GB"/>
              </w:rPr>
              <w:t>/2</w:t>
            </w:r>
            <w:r w:rsidRPr="00C54D54" w:rsidR="00CC439E">
              <w:rPr>
                <w:rFonts w:eastAsia="Times New Roman" w:cs="Arial"/>
                <w:b/>
                <w:bCs/>
                <w:color w:val="000000"/>
                <w:sz w:val="20"/>
                <w:szCs w:val="20"/>
                <w:lang w:eastAsia="en-GB"/>
              </w:rPr>
              <w:t>3</w:t>
            </w:r>
          </w:p>
        </w:tc>
        <w:tc>
          <w:tcPr>
            <w:tcW w:w="4253"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C54D54" w:rsidR="000463B7" w:rsidP="00AC3740" w:rsidRDefault="000463B7" w14:paraId="7FD2E52F" w14:textId="77777777">
            <w:pPr>
              <w:spacing w:after="0" w:line="240" w:lineRule="auto"/>
              <w:rPr>
                <w:rFonts w:eastAsia="Times New Roman" w:cs="Arial"/>
                <w:color w:val="000000"/>
                <w:sz w:val="20"/>
                <w:szCs w:val="20"/>
                <w:lang w:eastAsia="en-GB"/>
              </w:rPr>
            </w:pPr>
            <w:r w:rsidRPr="00C54D54">
              <w:rPr>
                <w:rFonts w:eastAsia="Times New Roman" w:cs="Arial"/>
                <w:color w:val="000000"/>
                <w:sz w:val="20"/>
                <w:szCs w:val="20"/>
                <w:lang w:eastAsia="en-GB"/>
              </w:rPr>
              <w:t> </w:t>
            </w:r>
          </w:p>
        </w:tc>
        <w:tc>
          <w:tcPr>
            <w:tcW w:w="2548"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C54D54" w:rsidR="000463B7" w:rsidP="00AC3740" w:rsidRDefault="00077570" w14:paraId="58AF3861" w14:textId="54B15056">
            <w:pPr>
              <w:spacing w:after="0" w:line="240" w:lineRule="auto"/>
              <w:jc w:val="center"/>
              <w:rPr>
                <w:rFonts w:eastAsia="Times New Roman" w:cs="Arial"/>
                <w:b/>
                <w:bCs/>
                <w:color w:val="000000"/>
                <w:sz w:val="20"/>
                <w:szCs w:val="20"/>
                <w:lang w:eastAsia="en-GB"/>
              </w:rPr>
            </w:pPr>
            <w:r w:rsidRPr="00C54D54">
              <w:rPr>
                <w:rFonts w:eastAsia="Times New Roman" w:cs="Arial"/>
                <w:b/>
                <w:bCs/>
                <w:color w:val="000000"/>
                <w:sz w:val="20"/>
                <w:szCs w:val="20"/>
                <w:lang w:eastAsia="en-GB"/>
              </w:rPr>
              <w:t>202</w:t>
            </w:r>
            <w:r w:rsidRPr="00C54D54" w:rsidR="00CC439E">
              <w:rPr>
                <w:rFonts w:eastAsia="Times New Roman" w:cs="Arial"/>
                <w:b/>
                <w:bCs/>
                <w:color w:val="000000"/>
                <w:sz w:val="20"/>
                <w:szCs w:val="20"/>
                <w:lang w:eastAsia="en-GB"/>
              </w:rPr>
              <w:t>1</w:t>
            </w:r>
            <w:r w:rsidRPr="00C54D54">
              <w:rPr>
                <w:rFonts w:eastAsia="Times New Roman" w:cs="Arial"/>
                <w:b/>
                <w:bCs/>
                <w:color w:val="000000"/>
                <w:sz w:val="20"/>
                <w:szCs w:val="20"/>
                <w:lang w:eastAsia="en-GB"/>
              </w:rPr>
              <w:t>/2</w:t>
            </w:r>
            <w:r w:rsidRPr="00C54D54" w:rsidR="00CC439E">
              <w:rPr>
                <w:rFonts w:eastAsia="Times New Roman" w:cs="Arial"/>
                <w:b/>
                <w:bCs/>
                <w:color w:val="000000"/>
                <w:sz w:val="20"/>
                <w:szCs w:val="20"/>
                <w:lang w:eastAsia="en-GB"/>
              </w:rPr>
              <w:t>22</w:t>
            </w:r>
          </w:p>
        </w:tc>
      </w:tr>
      <w:tr w:rsidRPr="00C54D54" w:rsidR="000463B7" w:rsidTr="00BF4AB4" w14:paraId="78F826F7" w14:textId="77777777">
        <w:trPr>
          <w:trHeight w:val="300"/>
        </w:trPr>
        <w:tc>
          <w:tcPr>
            <w:tcW w:w="2410" w:type="dxa"/>
            <w:tcBorders>
              <w:top w:val="nil"/>
              <w:left w:val="single" w:color="auto" w:sz="4" w:space="0"/>
              <w:bottom w:val="single" w:color="auto" w:sz="4" w:space="0"/>
              <w:right w:val="nil"/>
            </w:tcBorders>
            <w:shd w:val="clear" w:color="auto" w:fill="DBE5F1" w:themeFill="accent1" w:themeFillTint="33"/>
            <w:vAlign w:val="bottom"/>
          </w:tcPr>
          <w:p w:rsidRPr="00C54D54" w:rsidR="000463B7" w:rsidP="00AC3740" w:rsidRDefault="000463B7" w14:paraId="4C99A92D" w14:textId="77777777">
            <w:pPr>
              <w:spacing w:after="0" w:line="240" w:lineRule="auto"/>
              <w:jc w:val="center"/>
              <w:rPr>
                <w:rFonts w:eastAsia="Times New Roman" w:cs="Arial"/>
                <w:b/>
                <w:bCs/>
                <w:color w:val="000000"/>
                <w:sz w:val="20"/>
                <w:szCs w:val="20"/>
                <w:lang w:eastAsia="en-GB"/>
              </w:rPr>
            </w:pPr>
            <w:r w:rsidRPr="00C54D54">
              <w:rPr>
                <w:rFonts w:eastAsia="Times New Roman" w:cs="Arial"/>
                <w:b/>
                <w:bCs/>
                <w:color w:val="000000"/>
                <w:sz w:val="20"/>
                <w:szCs w:val="20"/>
                <w:lang w:eastAsia="en-GB"/>
              </w:rPr>
              <w:t>£'000</w:t>
            </w:r>
          </w:p>
        </w:tc>
        <w:tc>
          <w:tcPr>
            <w:tcW w:w="4253"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C54D54" w:rsidR="000463B7" w:rsidP="00AC3740" w:rsidRDefault="000463B7" w14:paraId="3DFC0056" w14:textId="77777777">
            <w:pPr>
              <w:spacing w:after="0" w:line="240" w:lineRule="auto"/>
              <w:rPr>
                <w:rFonts w:eastAsia="Times New Roman" w:cs="Arial"/>
                <w:color w:val="000000"/>
                <w:sz w:val="20"/>
                <w:szCs w:val="20"/>
                <w:lang w:eastAsia="en-GB"/>
              </w:rPr>
            </w:pPr>
            <w:r w:rsidRPr="00C54D54">
              <w:rPr>
                <w:rFonts w:eastAsia="Times New Roman" w:cs="Arial"/>
                <w:color w:val="000000"/>
                <w:sz w:val="20"/>
                <w:szCs w:val="20"/>
                <w:lang w:eastAsia="en-GB"/>
              </w:rPr>
              <w:t> </w:t>
            </w:r>
          </w:p>
        </w:tc>
        <w:tc>
          <w:tcPr>
            <w:tcW w:w="2548"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C54D54" w:rsidR="000463B7" w:rsidP="00AC3740" w:rsidRDefault="000463B7" w14:paraId="07A5A6AE" w14:textId="77777777">
            <w:pPr>
              <w:spacing w:after="0" w:line="240" w:lineRule="auto"/>
              <w:jc w:val="center"/>
              <w:rPr>
                <w:rFonts w:eastAsia="Times New Roman" w:cs="Arial"/>
                <w:b/>
                <w:bCs/>
                <w:color w:val="000000"/>
                <w:sz w:val="20"/>
                <w:szCs w:val="20"/>
                <w:lang w:eastAsia="en-GB"/>
              </w:rPr>
            </w:pPr>
            <w:r w:rsidRPr="00C54D54">
              <w:rPr>
                <w:rFonts w:eastAsia="Times New Roman" w:cs="Arial"/>
                <w:b/>
                <w:bCs/>
                <w:color w:val="000000"/>
                <w:sz w:val="20"/>
                <w:szCs w:val="20"/>
                <w:lang w:eastAsia="en-GB"/>
              </w:rPr>
              <w:t>£'000</w:t>
            </w:r>
          </w:p>
        </w:tc>
      </w:tr>
      <w:tr w:rsidRPr="00C54D54" w:rsidR="000463B7" w:rsidTr="00CC439E" w14:paraId="4F0A1C5A" w14:textId="77777777">
        <w:trPr>
          <w:trHeight w:val="300"/>
        </w:trPr>
        <w:tc>
          <w:tcPr>
            <w:tcW w:w="2410" w:type="dxa"/>
            <w:tcBorders>
              <w:top w:val="nil"/>
              <w:left w:val="single" w:color="auto" w:sz="4" w:space="0"/>
              <w:bottom w:val="nil"/>
              <w:right w:val="single" w:color="auto" w:sz="4" w:space="0"/>
            </w:tcBorders>
            <w:shd w:val="clear" w:color="auto" w:fill="auto"/>
            <w:vAlign w:val="bottom"/>
          </w:tcPr>
          <w:p w:rsidRPr="00C54D54" w:rsidR="000463B7" w:rsidP="00AC3740" w:rsidRDefault="00C54D54" w14:paraId="62FBD60D" w14:textId="07B2DDF9">
            <w:pPr>
              <w:spacing w:after="0"/>
              <w:jc w:val="right"/>
              <w:rPr>
                <w:rFonts w:cs="Arial"/>
                <w:color w:val="000000"/>
                <w:sz w:val="20"/>
                <w:szCs w:val="20"/>
              </w:rPr>
            </w:pPr>
            <w:r w:rsidRPr="00C54D54">
              <w:rPr>
                <w:rFonts w:cs="Arial"/>
                <w:color w:val="000000"/>
                <w:sz w:val="20"/>
                <w:szCs w:val="20"/>
              </w:rPr>
              <w:t>1</w:t>
            </w:r>
            <w:r w:rsidR="00B6353C">
              <w:rPr>
                <w:rFonts w:cs="Arial"/>
                <w:color w:val="000000"/>
                <w:sz w:val="20"/>
                <w:szCs w:val="20"/>
              </w:rPr>
              <w:t>6</w:t>
            </w:r>
          </w:p>
        </w:tc>
        <w:tc>
          <w:tcPr>
            <w:tcW w:w="4253" w:type="dxa"/>
            <w:tcBorders>
              <w:top w:val="nil"/>
              <w:left w:val="single" w:color="auto" w:sz="4" w:space="0"/>
              <w:bottom w:val="nil"/>
              <w:right w:val="single" w:color="auto" w:sz="4" w:space="0"/>
            </w:tcBorders>
            <w:shd w:val="clear" w:color="auto" w:fill="auto"/>
            <w:noWrap/>
            <w:vAlign w:val="bottom"/>
            <w:hideMark/>
          </w:tcPr>
          <w:p w:rsidRPr="00C54D54" w:rsidR="000463B7" w:rsidP="00535444" w:rsidRDefault="000463B7" w14:paraId="724FA888" w14:textId="68999DD0">
            <w:pPr>
              <w:spacing w:after="0" w:line="240" w:lineRule="auto"/>
              <w:rPr>
                <w:rFonts w:eastAsia="Times New Roman" w:cs="Arial"/>
                <w:color w:val="000000"/>
                <w:sz w:val="20"/>
                <w:szCs w:val="20"/>
                <w:lang w:eastAsia="en-GB"/>
              </w:rPr>
            </w:pPr>
            <w:r w:rsidRPr="00C54D54">
              <w:rPr>
                <w:rFonts w:eastAsia="Times New Roman" w:cs="Arial"/>
                <w:color w:val="000000"/>
                <w:sz w:val="20"/>
                <w:szCs w:val="20"/>
                <w:lang w:eastAsia="en-GB"/>
              </w:rPr>
              <w:t>Audit</w:t>
            </w:r>
            <w:r w:rsidRPr="00C54D54" w:rsidR="00535444">
              <w:rPr>
                <w:rFonts w:eastAsia="Times New Roman" w:cs="Arial"/>
                <w:color w:val="000000"/>
                <w:sz w:val="20"/>
                <w:szCs w:val="20"/>
                <w:lang w:eastAsia="en-GB"/>
              </w:rPr>
              <w:t xml:space="preserve"> Wales</w:t>
            </w:r>
            <w:r w:rsidRPr="00C54D54">
              <w:rPr>
                <w:rFonts w:eastAsia="Times New Roman" w:cs="Arial"/>
                <w:color w:val="000000"/>
                <w:sz w:val="20"/>
                <w:szCs w:val="20"/>
                <w:lang w:eastAsia="en-GB"/>
              </w:rPr>
              <w:t xml:space="preserve"> Fees</w:t>
            </w:r>
          </w:p>
        </w:tc>
        <w:tc>
          <w:tcPr>
            <w:tcW w:w="2548" w:type="dxa"/>
            <w:tcBorders>
              <w:top w:val="nil"/>
              <w:left w:val="single" w:color="auto" w:sz="4" w:space="0"/>
              <w:bottom w:val="nil"/>
              <w:right w:val="single" w:color="auto" w:sz="4" w:space="0"/>
            </w:tcBorders>
            <w:shd w:val="clear" w:color="auto" w:fill="auto"/>
            <w:noWrap/>
            <w:vAlign w:val="bottom"/>
          </w:tcPr>
          <w:p w:rsidRPr="00C54D54" w:rsidR="000463B7" w:rsidP="00BF4AB4" w:rsidRDefault="000463B7" w14:paraId="75015440" w14:textId="09B257DA">
            <w:pPr>
              <w:spacing w:after="0"/>
              <w:jc w:val="right"/>
              <w:rPr>
                <w:rFonts w:cs="Arial"/>
                <w:color w:val="000000"/>
                <w:sz w:val="20"/>
                <w:szCs w:val="20"/>
              </w:rPr>
            </w:pPr>
            <w:r w:rsidRPr="00C54D54">
              <w:rPr>
                <w:rFonts w:cs="Arial"/>
                <w:color w:val="000000"/>
                <w:sz w:val="20"/>
                <w:szCs w:val="20"/>
              </w:rPr>
              <w:t xml:space="preserve">                   1    </w:t>
            </w:r>
          </w:p>
        </w:tc>
      </w:tr>
      <w:tr w:rsidRPr="00C54D54" w:rsidR="000463B7" w:rsidTr="00BF4AB4" w14:paraId="13F6CD09" w14:textId="77777777">
        <w:trPr>
          <w:trHeight w:val="300"/>
        </w:trPr>
        <w:tc>
          <w:tcPr>
            <w:tcW w:w="241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Pr="00C54D54" w:rsidR="000463B7" w:rsidP="00AC3740" w:rsidRDefault="00C54D54" w14:paraId="51EE8156" w14:textId="73FA5BFE">
            <w:pPr>
              <w:spacing w:after="0"/>
              <w:jc w:val="right"/>
              <w:rPr>
                <w:rFonts w:cs="Arial"/>
                <w:b/>
                <w:color w:val="000000"/>
                <w:sz w:val="20"/>
                <w:szCs w:val="20"/>
              </w:rPr>
            </w:pPr>
            <w:r w:rsidRPr="00C54D54">
              <w:rPr>
                <w:rFonts w:cs="Arial"/>
                <w:b/>
                <w:color w:val="000000"/>
                <w:sz w:val="20"/>
                <w:szCs w:val="20"/>
              </w:rPr>
              <w:t>1</w:t>
            </w:r>
            <w:r w:rsidR="00B6353C">
              <w:rPr>
                <w:rFonts w:cs="Arial"/>
                <w:b/>
                <w:color w:val="000000"/>
                <w:sz w:val="20"/>
                <w:szCs w:val="20"/>
              </w:rPr>
              <w:t>6</w:t>
            </w:r>
          </w:p>
        </w:tc>
        <w:tc>
          <w:tcPr>
            <w:tcW w:w="4253"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C54D54" w:rsidR="000463B7" w:rsidP="00AC3740" w:rsidRDefault="000463B7" w14:paraId="45E49583" w14:textId="77777777">
            <w:pPr>
              <w:spacing w:after="0" w:line="240" w:lineRule="auto"/>
              <w:rPr>
                <w:rFonts w:eastAsia="Times New Roman" w:cs="Arial"/>
                <w:color w:val="000000"/>
                <w:sz w:val="20"/>
                <w:szCs w:val="20"/>
                <w:lang w:eastAsia="en-GB"/>
              </w:rPr>
            </w:pPr>
            <w:r w:rsidRPr="00C54D54">
              <w:rPr>
                <w:rFonts w:eastAsia="Times New Roman" w:cs="Arial"/>
                <w:b/>
                <w:bCs/>
                <w:color w:val="000000"/>
                <w:sz w:val="20"/>
                <w:szCs w:val="20"/>
                <w:lang w:eastAsia="en-GB"/>
              </w:rPr>
              <w:t>Total</w:t>
            </w:r>
          </w:p>
        </w:tc>
        <w:tc>
          <w:tcPr>
            <w:tcW w:w="254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C54D54" w:rsidR="000463B7" w:rsidP="00AC3740" w:rsidRDefault="000463B7" w14:paraId="6D489130" w14:textId="19E10E47">
            <w:pPr>
              <w:spacing w:after="0"/>
              <w:jc w:val="right"/>
              <w:rPr>
                <w:rFonts w:cs="Arial"/>
                <w:b/>
                <w:color w:val="000000"/>
                <w:sz w:val="20"/>
                <w:szCs w:val="20"/>
              </w:rPr>
            </w:pPr>
            <w:r w:rsidRPr="00C54D54">
              <w:rPr>
                <w:rFonts w:cs="Arial"/>
                <w:b/>
                <w:color w:val="000000"/>
                <w:sz w:val="20"/>
                <w:szCs w:val="20"/>
              </w:rPr>
              <w:t>1</w:t>
            </w:r>
          </w:p>
        </w:tc>
      </w:tr>
    </w:tbl>
    <w:p w:rsidRPr="00C54D54" w:rsidR="003C5888" w:rsidP="000463B7" w:rsidRDefault="003C5888" w14:paraId="36FF8A8F" w14:textId="77777777"/>
    <w:p w:rsidRPr="00F0431C" w:rsidR="00A821AE" w:rsidP="00467BBE" w:rsidRDefault="00883DB4" w14:paraId="5AC13B55" w14:textId="77777777">
      <w:pPr>
        <w:pStyle w:val="Heading2"/>
      </w:pPr>
      <w:bookmarkStart w:name="_Toc485903720" w:id="37"/>
      <w:r w:rsidRPr="00F0431C">
        <w:t xml:space="preserve">      </w:t>
      </w:r>
      <w:r w:rsidRPr="00F0431C" w:rsidR="004972D0">
        <w:t>Leases</w:t>
      </w:r>
      <w:bookmarkEnd w:id="37"/>
    </w:p>
    <w:p w:rsidR="005B2636" w:rsidP="001D6161" w:rsidRDefault="004972D0" w14:paraId="420E154E" w14:textId="5710CFDE">
      <w:pPr>
        <w:jc w:val="both"/>
        <w:rPr>
          <w:rFonts w:cs="Arial"/>
        </w:rPr>
      </w:pPr>
      <w:r w:rsidRPr="00F0431C">
        <w:rPr>
          <w:rFonts w:cs="Arial"/>
        </w:rPr>
        <w:t xml:space="preserve">There are no </w:t>
      </w:r>
      <w:r w:rsidRPr="00F0431C" w:rsidR="00832EA9">
        <w:rPr>
          <w:rFonts w:cs="Arial"/>
        </w:rPr>
        <w:t>long-term</w:t>
      </w:r>
      <w:r w:rsidRPr="00F0431C" w:rsidR="00C4681D">
        <w:rPr>
          <w:rFonts w:cs="Arial"/>
        </w:rPr>
        <w:t xml:space="preserve"> agreements </w:t>
      </w:r>
      <w:r w:rsidRPr="00F0431C" w:rsidR="003C6EEE">
        <w:rPr>
          <w:rFonts w:cs="Arial"/>
        </w:rPr>
        <w:t xml:space="preserve">as </w:t>
      </w:r>
      <w:r w:rsidRPr="00F0431C" w:rsidR="00C4681D">
        <w:rPr>
          <w:rFonts w:cs="Arial"/>
        </w:rPr>
        <w:t>at the Balance Sheet date.</w:t>
      </w:r>
      <w:r w:rsidRPr="00F0431C" w:rsidR="00DA349F">
        <w:rPr>
          <w:rFonts w:cs="Arial"/>
        </w:rPr>
        <w:t xml:space="preserve">  </w:t>
      </w:r>
      <w:r w:rsidR="001E2079">
        <w:rPr>
          <w:rFonts w:cs="Arial"/>
        </w:rPr>
        <w:t>VVC</w:t>
      </w:r>
      <w:r w:rsidRPr="00F0431C" w:rsidR="00C4681D">
        <w:rPr>
          <w:rFonts w:cs="Arial"/>
        </w:rPr>
        <w:t xml:space="preserve"> holds no </w:t>
      </w:r>
      <w:r w:rsidRPr="00F0431C" w:rsidR="003C6EEE">
        <w:rPr>
          <w:rFonts w:cs="Arial"/>
        </w:rPr>
        <w:t xml:space="preserve">leased </w:t>
      </w:r>
      <w:r w:rsidRPr="00F0431C" w:rsidR="00C4681D">
        <w:rPr>
          <w:rFonts w:cs="Arial"/>
        </w:rPr>
        <w:t>assets</w:t>
      </w:r>
      <w:r w:rsidRPr="00F0431C" w:rsidR="00DA349F">
        <w:rPr>
          <w:rFonts w:cs="Arial"/>
        </w:rPr>
        <w:t>.</w:t>
      </w:r>
    </w:p>
    <w:p w:rsidR="00A2163C" w:rsidP="001D6161" w:rsidRDefault="00A2163C" w14:paraId="4007DA36" w14:textId="084B2110">
      <w:pPr>
        <w:jc w:val="both"/>
        <w:rPr>
          <w:rFonts w:cs="Arial"/>
        </w:rPr>
      </w:pPr>
    </w:p>
    <w:p w:rsidR="00A2163C" w:rsidP="001D6161" w:rsidRDefault="00A2163C" w14:paraId="45401550" w14:textId="45345EF9">
      <w:pPr>
        <w:jc w:val="both"/>
        <w:rPr>
          <w:rFonts w:cs="Arial"/>
        </w:rPr>
      </w:pPr>
    </w:p>
    <w:p w:rsidR="009F085B" w:rsidP="001D6161" w:rsidRDefault="009F085B" w14:paraId="052C4DC1" w14:textId="0FAF89AE">
      <w:pPr>
        <w:jc w:val="both"/>
        <w:rPr>
          <w:rFonts w:cs="Arial"/>
        </w:rPr>
      </w:pPr>
    </w:p>
    <w:p w:rsidRPr="00F0431C" w:rsidR="009F085B" w:rsidP="001D6161" w:rsidRDefault="009F085B" w14:paraId="5C41A443" w14:textId="77777777">
      <w:pPr>
        <w:jc w:val="both"/>
        <w:rPr>
          <w:rFonts w:cs="Arial"/>
        </w:rPr>
      </w:pPr>
    </w:p>
    <w:p w:rsidRPr="00BD5721" w:rsidR="00C4681D" w:rsidP="00467BBE" w:rsidRDefault="00883DB4" w14:paraId="31541A9E" w14:textId="77777777">
      <w:pPr>
        <w:pStyle w:val="Heading2"/>
      </w:pPr>
      <w:bookmarkStart w:name="_Ref485738371" w:id="38"/>
      <w:bookmarkStart w:name="_Toc485903721" w:id="39"/>
      <w:r w:rsidRPr="00BD5721">
        <w:lastRenderedPageBreak/>
        <w:t xml:space="preserve">      </w:t>
      </w:r>
      <w:r w:rsidRPr="00BD5721" w:rsidR="00C4681D">
        <w:t>Debtors</w:t>
      </w:r>
      <w:bookmarkEnd w:id="38"/>
      <w:bookmarkEnd w:id="39"/>
    </w:p>
    <w:tbl>
      <w:tblPr>
        <w:tblW w:w="9211" w:type="dxa"/>
        <w:tblInd w:w="-5" w:type="dxa"/>
        <w:tblLook w:val="04A0" w:firstRow="1" w:lastRow="0" w:firstColumn="1" w:lastColumn="0" w:noHBand="0" w:noVBand="1"/>
      </w:tblPr>
      <w:tblGrid>
        <w:gridCol w:w="1701"/>
        <w:gridCol w:w="5812"/>
        <w:gridCol w:w="1698"/>
      </w:tblGrid>
      <w:tr w:rsidRPr="00BD5721" w:rsidR="00140BC8" w:rsidTr="00BF4AB4" w14:paraId="3EB0D3E4" w14:textId="77777777">
        <w:trPr>
          <w:trHeight w:val="300"/>
        </w:trPr>
        <w:tc>
          <w:tcPr>
            <w:tcW w:w="1701" w:type="dxa"/>
            <w:tcBorders>
              <w:top w:val="single" w:color="auto" w:sz="4" w:space="0"/>
              <w:left w:val="single" w:color="auto" w:sz="4" w:space="0"/>
              <w:bottom w:val="nil"/>
              <w:right w:val="single" w:color="auto" w:sz="4" w:space="0"/>
            </w:tcBorders>
            <w:shd w:val="clear" w:color="auto" w:fill="DBE5F1" w:themeFill="accent1" w:themeFillTint="33"/>
            <w:vAlign w:val="bottom"/>
          </w:tcPr>
          <w:p w:rsidRPr="00BD5721" w:rsidR="00140BC8" w:rsidP="00140BC8" w:rsidRDefault="00CE63CB" w14:paraId="028DEB9B" w14:textId="581955A3">
            <w:pPr>
              <w:spacing w:after="0" w:line="240" w:lineRule="auto"/>
              <w:jc w:val="center"/>
              <w:rPr>
                <w:rFonts w:eastAsia="Times New Roman" w:cs="Arial"/>
                <w:b/>
                <w:bCs/>
                <w:color w:val="000000"/>
                <w:sz w:val="20"/>
                <w:szCs w:val="20"/>
                <w:lang w:eastAsia="en-GB"/>
              </w:rPr>
            </w:pPr>
            <w:r w:rsidRPr="00BD5721">
              <w:rPr>
                <w:rFonts w:eastAsia="Times New Roman" w:cs="Arial"/>
                <w:b/>
                <w:bCs/>
                <w:color w:val="000000"/>
                <w:sz w:val="20"/>
                <w:szCs w:val="20"/>
                <w:lang w:eastAsia="en-GB"/>
              </w:rPr>
              <w:t>202</w:t>
            </w:r>
            <w:r w:rsidRPr="00BD5721" w:rsidR="00CC439E">
              <w:rPr>
                <w:rFonts w:eastAsia="Times New Roman" w:cs="Arial"/>
                <w:b/>
                <w:bCs/>
                <w:color w:val="000000"/>
                <w:sz w:val="20"/>
                <w:szCs w:val="20"/>
                <w:lang w:eastAsia="en-GB"/>
              </w:rPr>
              <w:t>2</w:t>
            </w:r>
            <w:r w:rsidRPr="00BD5721">
              <w:rPr>
                <w:rFonts w:eastAsia="Times New Roman" w:cs="Arial"/>
                <w:b/>
                <w:bCs/>
                <w:color w:val="000000"/>
                <w:sz w:val="20"/>
                <w:szCs w:val="20"/>
                <w:lang w:eastAsia="en-GB"/>
              </w:rPr>
              <w:t>/2</w:t>
            </w:r>
            <w:r w:rsidRPr="00BD5721" w:rsidR="00CC439E">
              <w:rPr>
                <w:rFonts w:eastAsia="Times New Roman" w:cs="Arial"/>
                <w:b/>
                <w:bCs/>
                <w:color w:val="000000"/>
                <w:sz w:val="20"/>
                <w:szCs w:val="20"/>
                <w:lang w:eastAsia="en-GB"/>
              </w:rPr>
              <w:t>3</w:t>
            </w:r>
          </w:p>
        </w:tc>
        <w:tc>
          <w:tcPr>
            <w:tcW w:w="5812"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BD5721" w:rsidR="00140BC8" w:rsidP="00140BC8" w:rsidRDefault="00140BC8" w14:paraId="1994425F" w14:textId="77777777">
            <w:pPr>
              <w:spacing w:after="0" w:line="240" w:lineRule="auto"/>
              <w:rPr>
                <w:rFonts w:eastAsia="Times New Roman" w:cs="Arial"/>
                <w:color w:val="000000"/>
                <w:sz w:val="20"/>
                <w:szCs w:val="20"/>
                <w:lang w:eastAsia="en-GB"/>
              </w:rPr>
            </w:pPr>
            <w:r w:rsidRPr="00BD5721">
              <w:rPr>
                <w:rFonts w:eastAsia="Times New Roman" w:cs="Arial"/>
                <w:color w:val="000000"/>
                <w:sz w:val="20"/>
                <w:szCs w:val="20"/>
                <w:lang w:eastAsia="en-GB"/>
              </w:rPr>
              <w:t> </w:t>
            </w:r>
          </w:p>
        </w:tc>
        <w:tc>
          <w:tcPr>
            <w:tcW w:w="1698"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BD5721" w:rsidR="00140BC8" w:rsidP="00140BC8" w:rsidRDefault="00CE63CB" w14:paraId="67C2FEAB" w14:textId="25EEDED3">
            <w:pPr>
              <w:spacing w:after="0" w:line="240" w:lineRule="auto"/>
              <w:jc w:val="center"/>
              <w:rPr>
                <w:rFonts w:eastAsia="Times New Roman" w:cs="Arial"/>
                <w:b/>
                <w:bCs/>
                <w:color w:val="000000"/>
                <w:sz w:val="20"/>
                <w:szCs w:val="20"/>
                <w:lang w:eastAsia="en-GB"/>
              </w:rPr>
            </w:pPr>
            <w:r w:rsidRPr="00BD5721">
              <w:rPr>
                <w:rFonts w:eastAsia="Times New Roman" w:cs="Arial"/>
                <w:b/>
                <w:bCs/>
                <w:color w:val="000000"/>
                <w:sz w:val="20"/>
                <w:szCs w:val="20"/>
                <w:lang w:eastAsia="en-GB"/>
              </w:rPr>
              <w:t>202</w:t>
            </w:r>
            <w:r w:rsidRPr="00BD5721" w:rsidR="00CC439E">
              <w:rPr>
                <w:rFonts w:eastAsia="Times New Roman" w:cs="Arial"/>
                <w:b/>
                <w:bCs/>
                <w:color w:val="000000"/>
                <w:sz w:val="20"/>
                <w:szCs w:val="20"/>
                <w:lang w:eastAsia="en-GB"/>
              </w:rPr>
              <w:t>1</w:t>
            </w:r>
            <w:r w:rsidRPr="00BD5721">
              <w:rPr>
                <w:rFonts w:eastAsia="Times New Roman" w:cs="Arial"/>
                <w:b/>
                <w:bCs/>
                <w:color w:val="000000"/>
                <w:sz w:val="20"/>
                <w:szCs w:val="20"/>
                <w:lang w:eastAsia="en-GB"/>
              </w:rPr>
              <w:t>/2</w:t>
            </w:r>
            <w:r w:rsidRPr="00BD5721" w:rsidR="00CC439E">
              <w:rPr>
                <w:rFonts w:eastAsia="Times New Roman" w:cs="Arial"/>
                <w:b/>
                <w:bCs/>
                <w:color w:val="000000"/>
                <w:sz w:val="20"/>
                <w:szCs w:val="20"/>
                <w:lang w:eastAsia="en-GB"/>
              </w:rPr>
              <w:t>2</w:t>
            </w:r>
          </w:p>
        </w:tc>
      </w:tr>
      <w:tr w:rsidRPr="00BD5721" w:rsidR="00DE7162" w:rsidTr="00BF4AB4" w14:paraId="58BCC8AF" w14:textId="77777777">
        <w:trPr>
          <w:trHeight w:val="300"/>
        </w:trPr>
        <w:tc>
          <w:tcPr>
            <w:tcW w:w="1701" w:type="dxa"/>
            <w:tcBorders>
              <w:top w:val="nil"/>
              <w:left w:val="single" w:color="auto" w:sz="4" w:space="0"/>
              <w:bottom w:val="single" w:color="auto" w:sz="4" w:space="0"/>
              <w:right w:val="nil"/>
            </w:tcBorders>
            <w:shd w:val="clear" w:color="auto" w:fill="DBE5F1" w:themeFill="accent1" w:themeFillTint="33"/>
            <w:vAlign w:val="bottom"/>
          </w:tcPr>
          <w:p w:rsidRPr="00BD5721" w:rsidR="00DE7162" w:rsidP="009F36F6" w:rsidRDefault="00DE7162" w14:paraId="20BDAFA4" w14:textId="77777777">
            <w:pPr>
              <w:spacing w:after="0" w:line="240" w:lineRule="auto"/>
              <w:jc w:val="center"/>
              <w:rPr>
                <w:rFonts w:eastAsia="Times New Roman" w:cs="Arial"/>
                <w:b/>
                <w:bCs/>
                <w:color w:val="000000"/>
                <w:sz w:val="20"/>
                <w:szCs w:val="20"/>
                <w:lang w:eastAsia="en-GB"/>
              </w:rPr>
            </w:pPr>
            <w:r w:rsidRPr="00BD5721">
              <w:rPr>
                <w:rFonts w:eastAsia="Times New Roman" w:cs="Arial"/>
                <w:b/>
                <w:bCs/>
                <w:color w:val="000000"/>
                <w:sz w:val="20"/>
                <w:szCs w:val="20"/>
                <w:lang w:eastAsia="en-GB"/>
              </w:rPr>
              <w:t>£'000</w:t>
            </w:r>
          </w:p>
        </w:tc>
        <w:tc>
          <w:tcPr>
            <w:tcW w:w="5812"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BD5721" w:rsidR="00DE7162" w:rsidP="00786138" w:rsidRDefault="00DE7162" w14:paraId="2807E9F1" w14:textId="77777777">
            <w:pPr>
              <w:spacing w:after="0" w:line="240" w:lineRule="auto"/>
              <w:rPr>
                <w:rFonts w:eastAsia="Times New Roman" w:cs="Arial"/>
                <w:color w:val="000000"/>
                <w:sz w:val="20"/>
                <w:szCs w:val="20"/>
                <w:lang w:eastAsia="en-GB"/>
              </w:rPr>
            </w:pPr>
            <w:r w:rsidRPr="00BD5721">
              <w:rPr>
                <w:rFonts w:eastAsia="Times New Roman" w:cs="Arial"/>
                <w:color w:val="000000"/>
                <w:sz w:val="20"/>
                <w:szCs w:val="20"/>
                <w:lang w:eastAsia="en-GB"/>
              </w:rPr>
              <w:t> </w:t>
            </w:r>
          </w:p>
        </w:tc>
        <w:tc>
          <w:tcPr>
            <w:tcW w:w="1698"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BD5721" w:rsidR="00DE7162" w:rsidP="009F36F6" w:rsidRDefault="00DE7162" w14:paraId="52A68157" w14:textId="77777777">
            <w:pPr>
              <w:spacing w:after="0" w:line="240" w:lineRule="auto"/>
              <w:jc w:val="center"/>
              <w:rPr>
                <w:rFonts w:eastAsia="Times New Roman" w:cs="Arial"/>
                <w:b/>
                <w:bCs/>
                <w:color w:val="000000"/>
                <w:sz w:val="20"/>
                <w:szCs w:val="20"/>
                <w:lang w:eastAsia="en-GB"/>
              </w:rPr>
            </w:pPr>
            <w:r w:rsidRPr="00BD5721">
              <w:rPr>
                <w:rFonts w:eastAsia="Times New Roman" w:cs="Arial"/>
                <w:b/>
                <w:bCs/>
                <w:color w:val="000000"/>
                <w:sz w:val="20"/>
                <w:szCs w:val="20"/>
                <w:lang w:eastAsia="en-GB"/>
              </w:rPr>
              <w:t>£'000</w:t>
            </w:r>
          </w:p>
        </w:tc>
      </w:tr>
      <w:tr w:rsidRPr="00614894" w:rsidR="00140BC8" w:rsidTr="001D6161" w14:paraId="5437D45B"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723227" w:rsidR="00140BC8" w:rsidP="00140BC8" w:rsidRDefault="00BD5721" w14:paraId="5D6BD8DC" w14:textId="49868A4B">
            <w:pPr>
              <w:spacing w:after="0"/>
              <w:jc w:val="right"/>
              <w:rPr>
                <w:rFonts w:cs="Arial"/>
                <w:color w:val="000000"/>
                <w:sz w:val="20"/>
                <w:szCs w:val="20"/>
              </w:rPr>
            </w:pPr>
            <w:r w:rsidRPr="00723227">
              <w:rPr>
                <w:rFonts w:cs="Arial"/>
                <w:color w:val="000000"/>
                <w:sz w:val="20"/>
                <w:szCs w:val="20"/>
              </w:rPr>
              <w:t>0</w:t>
            </w:r>
          </w:p>
        </w:tc>
        <w:tc>
          <w:tcPr>
            <w:tcW w:w="5812" w:type="dxa"/>
            <w:tcBorders>
              <w:top w:val="nil"/>
              <w:left w:val="single" w:color="auto" w:sz="4" w:space="0"/>
              <w:bottom w:val="nil"/>
              <w:right w:val="single" w:color="auto" w:sz="4" w:space="0"/>
            </w:tcBorders>
            <w:shd w:val="clear" w:color="auto" w:fill="auto"/>
            <w:noWrap/>
            <w:vAlign w:val="bottom"/>
            <w:hideMark/>
          </w:tcPr>
          <w:p w:rsidRPr="000F1036" w:rsidR="00140BC8" w:rsidP="00140BC8" w:rsidRDefault="000F1036" w14:paraId="0D6B505C" w14:textId="7B3B4894">
            <w:pPr>
              <w:spacing w:after="0" w:line="240" w:lineRule="auto"/>
              <w:rPr>
                <w:rFonts w:eastAsia="Times New Roman" w:cs="Arial"/>
                <w:color w:val="000000"/>
                <w:sz w:val="20"/>
                <w:szCs w:val="20"/>
                <w:lang w:eastAsia="en-GB"/>
              </w:rPr>
            </w:pPr>
            <w:r w:rsidRPr="000F1036">
              <w:rPr>
                <w:rFonts w:eastAsia="Times New Roman" w:cs="Arial"/>
                <w:color w:val="000000"/>
                <w:sz w:val="20"/>
                <w:szCs w:val="20"/>
                <w:lang w:eastAsia="en-GB"/>
              </w:rPr>
              <w:t>General</w:t>
            </w:r>
            <w:r w:rsidRPr="000F1036" w:rsidR="00140BC8">
              <w:rPr>
                <w:rFonts w:eastAsia="Times New Roman" w:cs="Arial"/>
                <w:color w:val="000000"/>
                <w:sz w:val="20"/>
                <w:szCs w:val="20"/>
                <w:lang w:eastAsia="en-GB"/>
              </w:rPr>
              <w:t xml:space="preserve">     </w:t>
            </w:r>
          </w:p>
        </w:tc>
        <w:tc>
          <w:tcPr>
            <w:tcW w:w="1698" w:type="dxa"/>
            <w:tcBorders>
              <w:top w:val="nil"/>
              <w:left w:val="single" w:color="auto" w:sz="4" w:space="0"/>
              <w:bottom w:val="nil"/>
              <w:right w:val="single" w:color="auto" w:sz="4" w:space="0"/>
            </w:tcBorders>
            <w:shd w:val="clear" w:color="auto" w:fill="auto"/>
            <w:noWrap/>
            <w:vAlign w:val="bottom"/>
          </w:tcPr>
          <w:p w:rsidRPr="00946CFA" w:rsidR="00140BC8" w:rsidP="00AA6A5A" w:rsidRDefault="00140BC8" w14:paraId="68F68421" w14:textId="46FA925E">
            <w:pPr>
              <w:spacing w:after="0"/>
              <w:jc w:val="right"/>
              <w:rPr>
                <w:rFonts w:cs="Arial"/>
                <w:color w:val="000000"/>
                <w:sz w:val="20"/>
                <w:szCs w:val="20"/>
              </w:rPr>
            </w:pPr>
            <w:r w:rsidRPr="00946CFA">
              <w:rPr>
                <w:rFonts w:cs="Arial"/>
                <w:color w:val="000000"/>
                <w:sz w:val="20"/>
                <w:szCs w:val="20"/>
              </w:rPr>
              <w:t xml:space="preserve">           </w:t>
            </w:r>
            <w:r w:rsidRPr="00946CFA" w:rsidR="00946CFA">
              <w:rPr>
                <w:rFonts w:cs="Arial"/>
                <w:color w:val="000000"/>
                <w:sz w:val="20"/>
                <w:szCs w:val="20"/>
              </w:rPr>
              <w:t>0</w:t>
            </w:r>
            <w:r w:rsidRPr="00946CFA">
              <w:rPr>
                <w:rFonts w:cs="Arial"/>
                <w:color w:val="000000"/>
                <w:sz w:val="20"/>
                <w:szCs w:val="20"/>
              </w:rPr>
              <w:t xml:space="preserve">        </w:t>
            </w:r>
            <w:r w:rsidRPr="00946CFA" w:rsidR="00AA6A5A">
              <w:rPr>
                <w:rFonts w:cs="Arial"/>
                <w:color w:val="000000"/>
                <w:sz w:val="20"/>
                <w:szCs w:val="20"/>
              </w:rPr>
              <w:t xml:space="preserve">   </w:t>
            </w:r>
            <w:r w:rsidRPr="00946CFA">
              <w:rPr>
                <w:rFonts w:cs="Arial"/>
                <w:color w:val="000000"/>
                <w:sz w:val="20"/>
                <w:szCs w:val="20"/>
              </w:rPr>
              <w:t xml:space="preserve"> </w:t>
            </w:r>
          </w:p>
        </w:tc>
      </w:tr>
      <w:tr w:rsidRPr="00614894" w:rsidR="00154743" w:rsidTr="001D6161" w14:paraId="291668E5"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00154743" w:rsidP="00140BC8" w:rsidRDefault="00DE45F5" w14:paraId="33FA63A1" w14:textId="7DCC33C4">
            <w:pPr>
              <w:spacing w:after="0"/>
              <w:jc w:val="right"/>
              <w:rPr>
                <w:rFonts w:cs="Arial"/>
                <w:sz w:val="20"/>
                <w:szCs w:val="20"/>
              </w:rPr>
            </w:pPr>
            <w:r>
              <w:rPr>
                <w:rFonts w:cs="Arial"/>
                <w:sz w:val="20"/>
                <w:szCs w:val="20"/>
              </w:rPr>
              <w:t>121</w:t>
            </w:r>
          </w:p>
        </w:tc>
        <w:tc>
          <w:tcPr>
            <w:tcW w:w="5812" w:type="dxa"/>
            <w:tcBorders>
              <w:top w:val="nil"/>
              <w:left w:val="single" w:color="auto" w:sz="4" w:space="0"/>
              <w:bottom w:val="nil"/>
              <w:right w:val="single" w:color="auto" w:sz="4" w:space="0"/>
            </w:tcBorders>
            <w:shd w:val="clear" w:color="auto" w:fill="auto"/>
            <w:noWrap/>
            <w:vAlign w:val="bottom"/>
          </w:tcPr>
          <w:p w:rsidRPr="000F1036" w:rsidR="00154743" w:rsidP="00140BC8" w:rsidRDefault="00154743" w14:paraId="27CCF8D2" w14:textId="2DC5D542">
            <w:pPr>
              <w:spacing w:after="0" w:line="240" w:lineRule="auto"/>
              <w:rPr>
                <w:rFonts w:eastAsia="Times New Roman" w:cs="Arial"/>
                <w:sz w:val="20"/>
                <w:szCs w:val="20"/>
                <w:lang w:eastAsia="en-GB"/>
              </w:rPr>
            </w:pPr>
            <w:r>
              <w:rPr>
                <w:rFonts w:eastAsia="Times New Roman" w:cs="Arial"/>
                <w:sz w:val="20"/>
                <w:szCs w:val="20"/>
                <w:lang w:eastAsia="en-GB"/>
              </w:rPr>
              <w:t>Merthyr Tydfil County Borough Council</w:t>
            </w:r>
          </w:p>
        </w:tc>
        <w:tc>
          <w:tcPr>
            <w:tcW w:w="1698" w:type="dxa"/>
            <w:tcBorders>
              <w:top w:val="nil"/>
              <w:left w:val="single" w:color="auto" w:sz="4" w:space="0"/>
              <w:bottom w:val="nil"/>
              <w:right w:val="single" w:color="auto" w:sz="4" w:space="0"/>
            </w:tcBorders>
            <w:shd w:val="clear" w:color="auto" w:fill="auto"/>
            <w:noWrap/>
            <w:vAlign w:val="bottom"/>
          </w:tcPr>
          <w:p w:rsidR="00154743" w:rsidP="00AA6A5A" w:rsidRDefault="00DE45F5" w14:paraId="7D726840" w14:textId="7BD58CE6">
            <w:pPr>
              <w:spacing w:after="0"/>
              <w:jc w:val="right"/>
              <w:rPr>
                <w:rFonts w:cs="Arial"/>
                <w:sz w:val="20"/>
                <w:szCs w:val="20"/>
              </w:rPr>
            </w:pPr>
            <w:r>
              <w:rPr>
                <w:rFonts w:cs="Arial"/>
                <w:sz w:val="20"/>
                <w:szCs w:val="20"/>
              </w:rPr>
              <w:t>53</w:t>
            </w:r>
          </w:p>
        </w:tc>
      </w:tr>
      <w:tr w:rsidRPr="00614894" w:rsidR="00154743" w:rsidTr="001D6161" w14:paraId="6B6627B3"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00154743" w:rsidP="00140BC8" w:rsidRDefault="00455265" w14:paraId="6E241D01" w14:textId="06A2A75E">
            <w:pPr>
              <w:spacing w:after="0"/>
              <w:jc w:val="right"/>
              <w:rPr>
                <w:rFonts w:cs="Arial"/>
                <w:sz w:val="20"/>
                <w:szCs w:val="20"/>
              </w:rPr>
            </w:pPr>
            <w:r>
              <w:rPr>
                <w:rFonts w:cs="Arial"/>
                <w:sz w:val="20"/>
                <w:szCs w:val="20"/>
              </w:rPr>
              <w:t>350</w:t>
            </w:r>
          </w:p>
        </w:tc>
        <w:tc>
          <w:tcPr>
            <w:tcW w:w="5812" w:type="dxa"/>
            <w:tcBorders>
              <w:top w:val="nil"/>
              <w:left w:val="single" w:color="auto" w:sz="4" w:space="0"/>
              <w:bottom w:val="nil"/>
              <w:right w:val="single" w:color="auto" w:sz="4" w:space="0"/>
            </w:tcBorders>
            <w:shd w:val="clear" w:color="auto" w:fill="auto"/>
            <w:noWrap/>
            <w:vAlign w:val="bottom"/>
          </w:tcPr>
          <w:p w:rsidRPr="000F1036" w:rsidR="00154743" w:rsidP="00140BC8" w:rsidRDefault="00154743" w14:paraId="7A7990FE" w14:textId="48F5955D">
            <w:pPr>
              <w:spacing w:after="0" w:line="240" w:lineRule="auto"/>
              <w:rPr>
                <w:rFonts w:eastAsia="Times New Roman" w:cs="Arial"/>
                <w:sz w:val="20"/>
                <w:szCs w:val="20"/>
                <w:lang w:eastAsia="en-GB"/>
              </w:rPr>
            </w:pPr>
            <w:r>
              <w:rPr>
                <w:rFonts w:eastAsia="Times New Roman" w:cs="Arial"/>
                <w:sz w:val="20"/>
                <w:szCs w:val="20"/>
                <w:lang w:eastAsia="en-GB"/>
              </w:rPr>
              <w:t>Cardiff Council</w:t>
            </w:r>
          </w:p>
        </w:tc>
        <w:tc>
          <w:tcPr>
            <w:tcW w:w="1698" w:type="dxa"/>
            <w:tcBorders>
              <w:top w:val="nil"/>
              <w:left w:val="single" w:color="auto" w:sz="4" w:space="0"/>
              <w:bottom w:val="nil"/>
              <w:right w:val="single" w:color="auto" w:sz="4" w:space="0"/>
            </w:tcBorders>
            <w:shd w:val="clear" w:color="auto" w:fill="auto"/>
            <w:noWrap/>
            <w:vAlign w:val="bottom"/>
          </w:tcPr>
          <w:p w:rsidR="00154743" w:rsidP="00AA6A5A" w:rsidRDefault="00DE45F5" w14:paraId="24BC6B1E" w14:textId="59FA5E01">
            <w:pPr>
              <w:spacing w:after="0"/>
              <w:jc w:val="right"/>
              <w:rPr>
                <w:rFonts w:cs="Arial"/>
                <w:sz w:val="20"/>
                <w:szCs w:val="20"/>
              </w:rPr>
            </w:pPr>
            <w:r>
              <w:rPr>
                <w:rFonts w:cs="Arial"/>
                <w:sz w:val="20"/>
                <w:szCs w:val="20"/>
              </w:rPr>
              <w:t>557</w:t>
            </w:r>
          </w:p>
        </w:tc>
      </w:tr>
      <w:tr w:rsidRPr="00614894" w:rsidR="00154743" w:rsidTr="001D6161" w14:paraId="18EB855E"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00154743" w:rsidP="00140BC8" w:rsidRDefault="00455265" w14:paraId="72E0D208" w14:textId="1817EDAA">
            <w:pPr>
              <w:spacing w:after="0"/>
              <w:jc w:val="right"/>
              <w:rPr>
                <w:rFonts w:cs="Arial"/>
                <w:sz w:val="20"/>
                <w:szCs w:val="20"/>
              </w:rPr>
            </w:pPr>
            <w:r>
              <w:rPr>
                <w:rFonts w:cs="Arial"/>
                <w:sz w:val="20"/>
                <w:szCs w:val="20"/>
              </w:rPr>
              <w:t>302</w:t>
            </w:r>
          </w:p>
        </w:tc>
        <w:tc>
          <w:tcPr>
            <w:tcW w:w="5812" w:type="dxa"/>
            <w:tcBorders>
              <w:top w:val="nil"/>
              <w:left w:val="single" w:color="auto" w:sz="4" w:space="0"/>
              <w:bottom w:val="nil"/>
              <w:right w:val="single" w:color="auto" w:sz="4" w:space="0"/>
            </w:tcBorders>
            <w:shd w:val="clear" w:color="auto" w:fill="auto"/>
            <w:noWrap/>
            <w:vAlign w:val="bottom"/>
          </w:tcPr>
          <w:p w:rsidRPr="000F1036" w:rsidR="00154743" w:rsidP="00140BC8" w:rsidRDefault="00154743" w14:paraId="35E66D00" w14:textId="5FA1967D">
            <w:pPr>
              <w:spacing w:after="0" w:line="240" w:lineRule="auto"/>
              <w:rPr>
                <w:rFonts w:eastAsia="Times New Roman" w:cs="Arial"/>
                <w:sz w:val="20"/>
                <w:szCs w:val="20"/>
                <w:lang w:eastAsia="en-GB"/>
              </w:rPr>
            </w:pPr>
            <w:r>
              <w:rPr>
                <w:rFonts w:eastAsia="Times New Roman" w:cs="Arial"/>
                <w:sz w:val="20"/>
                <w:szCs w:val="20"/>
                <w:lang w:eastAsia="en-GB"/>
              </w:rPr>
              <w:t>Rhondda Cynon Taf County Borough Council</w:t>
            </w:r>
          </w:p>
        </w:tc>
        <w:tc>
          <w:tcPr>
            <w:tcW w:w="1698" w:type="dxa"/>
            <w:tcBorders>
              <w:top w:val="nil"/>
              <w:left w:val="single" w:color="auto" w:sz="4" w:space="0"/>
              <w:bottom w:val="nil"/>
              <w:right w:val="single" w:color="auto" w:sz="4" w:space="0"/>
            </w:tcBorders>
            <w:shd w:val="clear" w:color="auto" w:fill="auto"/>
            <w:noWrap/>
            <w:vAlign w:val="bottom"/>
          </w:tcPr>
          <w:p w:rsidR="00154743" w:rsidP="00AA6A5A" w:rsidRDefault="00DE45F5" w14:paraId="63F068A6" w14:textId="5919791B">
            <w:pPr>
              <w:spacing w:after="0"/>
              <w:jc w:val="right"/>
              <w:rPr>
                <w:rFonts w:cs="Arial"/>
                <w:sz w:val="20"/>
                <w:szCs w:val="20"/>
              </w:rPr>
            </w:pPr>
            <w:r>
              <w:rPr>
                <w:rFonts w:cs="Arial"/>
                <w:sz w:val="20"/>
                <w:szCs w:val="20"/>
              </w:rPr>
              <w:t>140</w:t>
            </w:r>
          </w:p>
        </w:tc>
      </w:tr>
      <w:tr w:rsidRPr="00614894" w:rsidR="00154743" w:rsidTr="001D6161" w14:paraId="261A9EC6"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00154743" w:rsidP="00140BC8" w:rsidRDefault="00455265" w14:paraId="1E68318E" w14:textId="690550CC">
            <w:pPr>
              <w:spacing w:after="0"/>
              <w:jc w:val="right"/>
              <w:rPr>
                <w:rFonts w:cs="Arial"/>
                <w:sz w:val="20"/>
                <w:szCs w:val="20"/>
              </w:rPr>
            </w:pPr>
            <w:r>
              <w:rPr>
                <w:rFonts w:cs="Arial"/>
                <w:sz w:val="20"/>
                <w:szCs w:val="20"/>
              </w:rPr>
              <w:t>0</w:t>
            </w:r>
          </w:p>
        </w:tc>
        <w:tc>
          <w:tcPr>
            <w:tcW w:w="5812" w:type="dxa"/>
            <w:tcBorders>
              <w:top w:val="nil"/>
              <w:left w:val="single" w:color="auto" w:sz="4" w:space="0"/>
              <w:bottom w:val="nil"/>
              <w:right w:val="single" w:color="auto" w:sz="4" w:space="0"/>
            </w:tcBorders>
            <w:shd w:val="clear" w:color="auto" w:fill="auto"/>
            <w:noWrap/>
            <w:vAlign w:val="bottom"/>
          </w:tcPr>
          <w:p w:rsidRPr="000F1036" w:rsidR="00154743" w:rsidP="00140BC8" w:rsidRDefault="00154743" w14:paraId="1E41D63A" w14:textId="1F1F7F03">
            <w:pPr>
              <w:spacing w:after="0" w:line="240" w:lineRule="auto"/>
              <w:rPr>
                <w:rFonts w:eastAsia="Times New Roman" w:cs="Arial"/>
                <w:sz w:val="20"/>
                <w:szCs w:val="20"/>
                <w:lang w:eastAsia="en-GB"/>
              </w:rPr>
            </w:pPr>
            <w:r>
              <w:rPr>
                <w:rFonts w:eastAsia="Times New Roman" w:cs="Arial"/>
                <w:sz w:val="20"/>
                <w:szCs w:val="20"/>
                <w:lang w:eastAsia="en-GB"/>
              </w:rPr>
              <w:t>Vale of Glamorgan Council</w:t>
            </w:r>
          </w:p>
        </w:tc>
        <w:tc>
          <w:tcPr>
            <w:tcW w:w="1698" w:type="dxa"/>
            <w:tcBorders>
              <w:top w:val="nil"/>
              <w:left w:val="single" w:color="auto" w:sz="4" w:space="0"/>
              <w:bottom w:val="nil"/>
              <w:right w:val="single" w:color="auto" w:sz="4" w:space="0"/>
            </w:tcBorders>
            <w:shd w:val="clear" w:color="auto" w:fill="auto"/>
            <w:noWrap/>
            <w:vAlign w:val="bottom"/>
          </w:tcPr>
          <w:p w:rsidR="00154743" w:rsidP="00AA6A5A" w:rsidRDefault="00455265" w14:paraId="5EC4270A" w14:textId="0BF98B3D">
            <w:pPr>
              <w:spacing w:after="0"/>
              <w:jc w:val="right"/>
              <w:rPr>
                <w:rFonts w:cs="Arial"/>
                <w:sz w:val="20"/>
                <w:szCs w:val="20"/>
              </w:rPr>
            </w:pPr>
            <w:r>
              <w:rPr>
                <w:rFonts w:cs="Arial"/>
                <w:sz w:val="20"/>
                <w:szCs w:val="20"/>
              </w:rPr>
              <w:t>0</w:t>
            </w:r>
          </w:p>
        </w:tc>
      </w:tr>
      <w:tr w:rsidRPr="00614894" w:rsidR="00154743" w:rsidTr="001D6161" w14:paraId="5B098A42"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00154743" w:rsidP="00140BC8" w:rsidRDefault="00154743" w14:paraId="7AF63918" w14:textId="7C0BAC77">
            <w:pPr>
              <w:spacing w:after="0"/>
              <w:jc w:val="right"/>
              <w:rPr>
                <w:rFonts w:cs="Arial"/>
                <w:sz w:val="20"/>
                <w:szCs w:val="20"/>
              </w:rPr>
            </w:pPr>
            <w:r>
              <w:rPr>
                <w:rFonts w:cs="Arial"/>
                <w:sz w:val="20"/>
                <w:szCs w:val="20"/>
              </w:rPr>
              <w:t>34</w:t>
            </w:r>
          </w:p>
        </w:tc>
        <w:tc>
          <w:tcPr>
            <w:tcW w:w="5812" w:type="dxa"/>
            <w:tcBorders>
              <w:top w:val="nil"/>
              <w:left w:val="single" w:color="auto" w:sz="4" w:space="0"/>
              <w:bottom w:val="nil"/>
              <w:right w:val="single" w:color="auto" w:sz="4" w:space="0"/>
            </w:tcBorders>
            <w:shd w:val="clear" w:color="auto" w:fill="auto"/>
            <w:noWrap/>
            <w:vAlign w:val="bottom"/>
          </w:tcPr>
          <w:p w:rsidRPr="000F1036" w:rsidR="00154743" w:rsidP="00140BC8" w:rsidRDefault="00DE45F5" w14:paraId="52F948FA" w14:textId="38F4E78B">
            <w:pPr>
              <w:spacing w:after="0" w:line="240" w:lineRule="auto"/>
              <w:rPr>
                <w:rFonts w:eastAsia="Times New Roman" w:cs="Arial"/>
                <w:sz w:val="20"/>
                <w:szCs w:val="20"/>
                <w:lang w:eastAsia="en-GB"/>
              </w:rPr>
            </w:pPr>
            <w:r>
              <w:rPr>
                <w:rFonts w:eastAsia="Times New Roman" w:cs="Arial"/>
                <w:sz w:val="20"/>
                <w:szCs w:val="20"/>
                <w:lang w:eastAsia="en-GB"/>
              </w:rPr>
              <w:t>Other Local Authorities</w:t>
            </w:r>
          </w:p>
        </w:tc>
        <w:tc>
          <w:tcPr>
            <w:tcW w:w="1698" w:type="dxa"/>
            <w:tcBorders>
              <w:top w:val="nil"/>
              <w:left w:val="single" w:color="auto" w:sz="4" w:space="0"/>
              <w:bottom w:val="nil"/>
              <w:right w:val="single" w:color="auto" w:sz="4" w:space="0"/>
            </w:tcBorders>
            <w:shd w:val="clear" w:color="auto" w:fill="auto"/>
            <w:noWrap/>
            <w:vAlign w:val="bottom"/>
          </w:tcPr>
          <w:p w:rsidR="00154743" w:rsidP="00AA6A5A" w:rsidRDefault="00DE45F5" w14:paraId="40717104" w14:textId="7E28CF24">
            <w:pPr>
              <w:spacing w:after="0"/>
              <w:jc w:val="right"/>
              <w:rPr>
                <w:rFonts w:cs="Arial"/>
                <w:sz w:val="20"/>
                <w:szCs w:val="20"/>
              </w:rPr>
            </w:pPr>
            <w:r>
              <w:rPr>
                <w:rFonts w:cs="Arial"/>
                <w:sz w:val="20"/>
                <w:szCs w:val="20"/>
              </w:rPr>
              <w:t>41</w:t>
            </w:r>
          </w:p>
        </w:tc>
      </w:tr>
      <w:tr w:rsidRPr="00614894" w:rsidR="00140BC8" w:rsidTr="001D6161" w14:paraId="06F3B2A8"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723227" w:rsidR="00140BC8" w:rsidP="00140BC8" w:rsidRDefault="00723227" w14:paraId="21589525" w14:textId="39C6ECA7">
            <w:pPr>
              <w:spacing w:after="0"/>
              <w:jc w:val="right"/>
              <w:rPr>
                <w:rFonts w:cs="Arial"/>
                <w:color w:val="000000"/>
                <w:sz w:val="20"/>
                <w:szCs w:val="20"/>
              </w:rPr>
            </w:pPr>
            <w:r w:rsidRPr="00723227">
              <w:rPr>
                <w:rFonts w:cs="Arial"/>
                <w:color w:val="000000"/>
                <w:sz w:val="20"/>
                <w:szCs w:val="20"/>
              </w:rPr>
              <w:t>0</w:t>
            </w:r>
          </w:p>
        </w:tc>
        <w:tc>
          <w:tcPr>
            <w:tcW w:w="5812" w:type="dxa"/>
            <w:tcBorders>
              <w:top w:val="nil"/>
              <w:left w:val="single" w:color="auto" w:sz="4" w:space="0"/>
              <w:bottom w:val="nil"/>
              <w:right w:val="single" w:color="auto" w:sz="4" w:space="0"/>
            </w:tcBorders>
            <w:shd w:val="clear" w:color="auto" w:fill="auto"/>
            <w:noWrap/>
            <w:vAlign w:val="bottom"/>
          </w:tcPr>
          <w:p w:rsidRPr="000F1036" w:rsidR="00140BC8" w:rsidP="00140BC8" w:rsidRDefault="000F1036" w14:paraId="5E5E61CA" w14:textId="7A4662BB">
            <w:pPr>
              <w:spacing w:after="0" w:line="240" w:lineRule="auto"/>
              <w:rPr>
                <w:rFonts w:eastAsia="Times New Roman" w:cs="Arial"/>
                <w:color w:val="000000"/>
                <w:sz w:val="20"/>
                <w:szCs w:val="20"/>
                <w:lang w:eastAsia="en-GB"/>
              </w:rPr>
            </w:pPr>
            <w:r w:rsidRPr="000F1036">
              <w:rPr>
                <w:rFonts w:eastAsia="Times New Roman" w:cs="Arial"/>
                <w:color w:val="000000"/>
                <w:sz w:val="20"/>
                <w:szCs w:val="20"/>
                <w:lang w:eastAsia="en-GB"/>
              </w:rPr>
              <w:t>Central Government Bodies</w:t>
            </w:r>
          </w:p>
        </w:tc>
        <w:tc>
          <w:tcPr>
            <w:tcW w:w="1698" w:type="dxa"/>
            <w:tcBorders>
              <w:top w:val="nil"/>
              <w:left w:val="single" w:color="auto" w:sz="4" w:space="0"/>
              <w:bottom w:val="nil"/>
              <w:right w:val="single" w:color="auto" w:sz="4" w:space="0"/>
            </w:tcBorders>
            <w:shd w:val="clear" w:color="auto" w:fill="auto"/>
            <w:noWrap/>
            <w:vAlign w:val="bottom"/>
          </w:tcPr>
          <w:p w:rsidRPr="00946CFA" w:rsidR="00140BC8" w:rsidP="00AA6A5A" w:rsidRDefault="00946CFA" w14:paraId="65DA68CF" w14:textId="6FDFAB96">
            <w:pPr>
              <w:spacing w:after="0"/>
              <w:jc w:val="right"/>
              <w:rPr>
                <w:rFonts w:cs="Arial"/>
                <w:color w:val="000000"/>
                <w:sz w:val="20"/>
                <w:szCs w:val="20"/>
              </w:rPr>
            </w:pPr>
            <w:r w:rsidRPr="00946CFA">
              <w:rPr>
                <w:rFonts w:cs="Arial"/>
                <w:color w:val="000000"/>
                <w:sz w:val="20"/>
                <w:szCs w:val="20"/>
              </w:rPr>
              <w:t>0</w:t>
            </w:r>
          </w:p>
        </w:tc>
      </w:tr>
      <w:tr w:rsidRPr="00614894" w:rsidR="00140BC8" w:rsidTr="00BF4AB4" w14:paraId="501B7836" w14:textId="77777777">
        <w:trPr>
          <w:trHeight w:val="300"/>
        </w:trPr>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Pr="00BD5721" w:rsidR="00140BC8" w:rsidP="00140BC8" w:rsidRDefault="000F1036" w14:paraId="16660D3F" w14:textId="0EC21242">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80</w:t>
            </w:r>
            <w:r w:rsidR="00D764FE">
              <w:rPr>
                <w:rFonts w:eastAsia="Times New Roman" w:cs="Arial"/>
                <w:b/>
                <w:bCs/>
                <w:color w:val="000000"/>
                <w:sz w:val="20"/>
                <w:szCs w:val="20"/>
                <w:lang w:eastAsia="en-GB"/>
              </w:rPr>
              <w:t>7</w:t>
            </w:r>
          </w:p>
        </w:tc>
        <w:tc>
          <w:tcPr>
            <w:tcW w:w="5812"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BD5721" w:rsidR="00140BC8" w:rsidP="00140BC8" w:rsidRDefault="00140BC8" w14:paraId="6416EAD9" w14:textId="77777777">
            <w:pPr>
              <w:spacing w:after="0" w:line="240" w:lineRule="auto"/>
              <w:rPr>
                <w:rFonts w:eastAsia="Times New Roman" w:cs="Arial"/>
                <w:b/>
                <w:bCs/>
                <w:color w:val="000000"/>
                <w:sz w:val="20"/>
                <w:szCs w:val="20"/>
                <w:lang w:eastAsia="en-GB"/>
              </w:rPr>
            </w:pPr>
            <w:r w:rsidRPr="00BD5721">
              <w:rPr>
                <w:rFonts w:eastAsia="Times New Roman" w:cs="Arial"/>
                <w:b/>
                <w:bCs/>
                <w:color w:val="000000"/>
                <w:sz w:val="20"/>
                <w:szCs w:val="20"/>
                <w:lang w:eastAsia="en-GB"/>
              </w:rPr>
              <w:t xml:space="preserve">Balance as </w:t>
            </w:r>
            <w:proofErr w:type="gramStart"/>
            <w:r w:rsidRPr="00BD5721">
              <w:rPr>
                <w:rFonts w:eastAsia="Times New Roman" w:cs="Arial"/>
                <w:b/>
                <w:bCs/>
                <w:color w:val="000000"/>
                <w:sz w:val="20"/>
                <w:szCs w:val="20"/>
                <w:lang w:eastAsia="en-GB"/>
              </w:rPr>
              <w:t>at</w:t>
            </w:r>
            <w:proofErr w:type="gramEnd"/>
            <w:r w:rsidRPr="00BD5721">
              <w:rPr>
                <w:rFonts w:eastAsia="Times New Roman" w:cs="Arial"/>
                <w:b/>
                <w:bCs/>
                <w:color w:val="000000"/>
                <w:sz w:val="20"/>
                <w:szCs w:val="20"/>
                <w:lang w:eastAsia="en-GB"/>
              </w:rPr>
              <w:t xml:space="preserve"> 31</w:t>
            </w:r>
            <w:r w:rsidRPr="00BD5721">
              <w:rPr>
                <w:rFonts w:eastAsia="Times New Roman" w:cs="Arial"/>
                <w:b/>
                <w:bCs/>
                <w:color w:val="000000"/>
                <w:sz w:val="20"/>
                <w:szCs w:val="20"/>
                <w:vertAlign w:val="superscript"/>
                <w:lang w:eastAsia="en-GB"/>
              </w:rPr>
              <w:t>st</w:t>
            </w:r>
            <w:r w:rsidRPr="00BD5721">
              <w:rPr>
                <w:rFonts w:eastAsia="Times New Roman" w:cs="Arial"/>
                <w:b/>
                <w:bCs/>
                <w:color w:val="000000"/>
                <w:sz w:val="20"/>
                <w:szCs w:val="20"/>
                <w:lang w:eastAsia="en-GB"/>
              </w:rPr>
              <w:t xml:space="preserve"> March </w:t>
            </w:r>
          </w:p>
        </w:tc>
        <w:tc>
          <w:tcPr>
            <w:tcW w:w="169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614894" w:rsidR="00140BC8" w:rsidP="00AA6A5A" w:rsidRDefault="000F1036" w14:paraId="5E3C732D" w14:textId="50BBAF8C">
            <w:pPr>
              <w:spacing w:after="0" w:line="240" w:lineRule="auto"/>
              <w:jc w:val="right"/>
              <w:rPr>
                <w:rFonts w:eastAsia="Times New Roman" w:cs="Arial"/>
                <w:b/>
                <w:bCs/>
                <w:color w:val="000000"/>
                <w:sz w:val="20"/>
                <w:szCs w:val="20"/>
                <w:highlight w:val="yellow"/>
                <w:lang w:eastAsia="en-GB"/>
              </w:rPr>
            </w:pPr>
            <w:r w:rsidRPr="00946CFA">
              <w:rPr>
                <w:rFonts w:eastAsia="Times New Roman" w:cs="Arial"/>
                <w:b/>
                <w:bCs/>
                <w:color w:val="000000"/>
                <w:sz w:val="20"/>
                <w:szCs w:val="20"/>
                <w:lang w:eastAsia="en-GB"/>
              </w:rPr>
              <w:t>791</w:t>
            </w:r>
          </w:p>
        </w:tc>
      </w:tr>
    </w:tbl>
    <w:p w:rsidRPr="00614894" w:rsidR="00BF4AB4" w:rsidP="001D6161" w:rsidRDefault="00BF4AB4" w14:paraId="45CC118D" w14:textId="77777777">
      <w:pPr>
        <w:rPr>
          <w:highlight w:val="yellow"/>
        </w:rPr>
      </w:pPr>
      <w:bookmarkStart w:name="_Ref485738382" w:id="40"/>
      <w:bookmarkStart w:name="_Toc485903722" w:id="41"/>
    </w:p>
    <w:p w:rsidRPr="002B2258" w:rsidR="00BD5721" w:rsidP="001D6161" w:rsidRDefault="00140BB8" w14:paraId="711C2F3E" w14:textId="0B43B806">
      <w:r w:rsidRPr="00BD5721">
        <w:t>There</w:t>
      </w:r>
      <w:r w:rsidRPr="00BD5721" w:rsidR="004620C1">
        <w:t xml:space="preserve"> are </w:t>
      </w:r>
      <w:r w:rsidRPr="00BD5721" w:rsidR="00BD5721">
        <w:t>no</w:t>
      </w:r>
      <w:r w:rsidRPr="00BD5721" w:rsidR="004620C1">
        <w:t xml:space="preserve"> </w:t>
      </w:r>
      <w:r w:rsidRPr="00BD5721" w:rsidR="00DD7C0B">
        <w:t>unpaid d</w:t>
      </w:r>
      <w:r w:rsidRPr="00BD5721">
        <w:t xml:space="preserve">ebtor balances that are in excess of a year old, therefore, </w:t>
      </w:r>
      <w:r w:rsidRPr="00BD5721" w:rsidR="00DD7C0B">
        <w:t>a</w:t>
      </w:r>
      <w:r w:rsidRPr="00BD5721">
        <w:t xml:space="preserve"> provi</w:t>
      </w:r>
      <w:r w:rsidRPr="00BD5721" w:rsidR="00DD7C0B">
        <w:t xml:space="preserve">sion for Bad and Doubtful Debt has </w:t>
      </w:r>
      <w:r w:rsidRPr="00BD5721" w:rsidR="00BD5721">
        <w:t xml:space="preserve">not been included </w:t>
      </w:r>
      <w:r w:rsidRPr="00BD5721" w:rsidR="00DD7C0B">
        <w:t>within the 202</w:t>
      </w:r>
      <w:r w:rsidRPr="00BD5721" w:rsidR="00BD5721">
        <w:t>2</w:t>
      </w:r>
      <w:r w:rsidRPr="00BD5721" w:rsidR="00DD7C0B">
        <w:t>/2</w:t>
      </w:r>
      <w:r w:rsidRPr="00BD5721" w:rsidR="00BD5721">
        <w:t>3</w:t>
      </w:r>
      <w:r w:rsidRPr="00BD5721" w:rsidR="00DD7C0B">
        <w:t xml:space="preserve"> accounts.</w:t>
      </w:r>
    </w:p>
    <w:p w:rsidRPr="00BD5721" w:rsidR="00CF1900" w:rsidP="00467BBE" w:rsidRDefault="00987ED3" w14:paraId="2DD25222" w14:textId="77777777">
      <w:pPr>
        <w:pStyle w:val="Heading2"/>
      </w:pPr>
      <w:r w:rsidRPr="00BD5721">
        <w:t xml:space="preserve">      </w:t>
      </w:r>
      <w:r w:rsidRPr="00BD5721" w:rsidR="00767C39">
        <w:t>Creditors</w:t>
      </w:r>
      <w:bookmarkEnd w:id="40"/>
      <w:bookmarkEnd w:id="41"/>
    </w:p>
    <w:tbl>
      <w:tblPr>
        <w:tblW w:w="9211" w:type="dxa"/>
        <w:tblInd w:w="-5" w:type="dxa"/>
        <w:tblLook w:val="04A0" w:firstRow="1" w:lastRow="0" w:firstColumn="1" w:lastColumn="0" w:noHBand="0" w:noVBand="1"/>
      </w:tblPr>
      <w:tblGrid>
        <w:gridCol w:w="1701"/>
        <w:gridCol w:w="5812"/>
        <w:gridCol w:w="1698"/>
      </w:tblGrid>
      <w:tr w:rsidRPr="00614894" w:rsidR="00140BC8" w:rsidTr="007C40F8" w14:paraId="1878D1F6" w14:textId="77777777">
        <w:trPr>
          <w:trHeight w:val="300"/>
        </w:trPr>
        <w:tc>
          <w:tcPr>
            <w:tcW w:w="1701" w:type="dxa"/>
            <w:tcBorders>
              <w:top w:val="single" w:color="auto" w:sz="4" w:space="0"/>
              <w:left w:val="single" w:color="auto" w:sz="4" w:space="0"/>
              <w:bottom w:val="nil"/>
              <w:right w:val="single" w:color="auto" w:sz="4" w:space="0"/>
            </w:tcBorders>
            <w:shd w:val="clear" w:color="auto" w:fill="DBE5F1" w:themeFill="accent1" w:themeFillTint="33"/>
            <w:vAlign w:val="bottom"/>
          </w:tcPr>
          <w:p w:rsidRPr="00BD5721" w:rsidR="00140BC8" w:rsidP="00140BC8" w:rsidRDefault="00CE63CB" w14:paraId="78A59F31" w14:textId="24AAAA5F">
            <w:pPr>
              <w:spacing w:after="0" w:line="240" w:lineRule="auto"/>
              <w:jc w:val="center"/>
              <w:rPr>
                <w:rFonts w:eastAsia="Times New Roman" w:cs="Arial"/>
                <w:b/>
                <w:bCs/>
                <w:color w:val="000000"/>
                <w:sz w:val="20"/>
                <w:szCs w:val="20"/>
                <w:lang w:eastAsia="en-GB"/>
              </w:rPr>
            </w:pPr>
            <w:r w:rsidRPr="00BD5721">
              <w:rPr>
                <w:rFonts w:eastAsia="Times New Roman" w:cs="Arial"/>
                <w:b/>
                <w:bCs/>
                <w:color w:val="000000"/>
                <w:sz w:val="20"/>
                <w:szCs w:val="20"/>
                <w:lang w:eastAsia="en-GB"/>
              </w:rPr>
              <w:t>202</w:t>
            </w:r>
            <w:r w:rsidRPr="00BD5721" w:rsidR="00BC3E0B">
              <w:rPr>
                <w:rFonts w:eastAsia="Times New Roman" w:cs="Arial"/>
                <w:b/>
                <w:bCs/>
                <w:color w:val="000000"/>
                <w:sz w:val="20"/>
                <w:szCs w:val="20"/>
                <w:lang w:eastAsia="en-GB"/>
              </w:rPr>
              <w:t>2</w:t>
            </w:r>
            <w:r w:rsidRPr="00BD5721">
              <w:rPr>
                <w:rFonts w:eastAsia="Times New Roman" w:cs="Arial"/>
                <w:b/>
                <w:bCs/>
                <w:color w:val="000000"/>
                <w:sz w:val="20"/>
                <w:szCs w:val="20"/>
                <w:lang w:eastAsia="en-GB"/>
              </w:rPr>
              <w:t>/2</w:t>
            </w:r>
            <w:r w:rsidRPr="00BD5721" w:rsidR="00BC3E0B">
              <w:rPr>
                <w:rFonts w:eastAsia="Times New Roman" w:cs="Arial"/>
                <w:b/>
                <w:bCs/>
                <w:color w:val="000000"/>
                <w:sz w:val="20"/>
                <w:szCs w:val="20"/>
                <w:lang w:eastAsia="en-GB"/>
              </w:rPr>
              <w:t>3</w:t>
            </w:r>
          </w:p>
        </w:tc>
        <w:tc>
          <w:tcPr>
            <w:tcW w:w="5812"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BD5721" w:rsidR="00140BC8" w:rsidP="00140BC8" w:rsidRDefault="00140BC8" w14:paraId="04D90787" w14:textId="77777777">
            <w:pPr>
              <w:spacing w:after="0" w:line="240" w:lineRule="auto"/>
              <w:jc w:val="center"/>
              <w:rPr>
                <w:rFonts w:eastAsia="Times New Roman" w:cs="Arial"/>
                <w:color w:val="000000"/>
                <w:sz w:val="20"/>
                <w:szCs w:val="20"/>
                <w:lang w:eastAsia="en-GB"/>
              </w:rPr>
            </w:pPr>
          </w:p>
        </w:tc>
        <w:tc>
          <w:tcPr>
            <w:tcW w:w="1698"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BD5721" w:rsidR="00140BC8" w:rsidP="00CE63CB" w:rsidRDefault="00CE63CB" w14:paraId="150268BD" w14:textId="067F6DD7">
            <w:pPr>
              <w:spacing w:after="0" w:line="240" w:lineRule="auto"/>
              <w:jc w:val="center"/>
              <w:rPr>
                <w:rFonts w:eastAsia="Times New Roman" w:cs="Arial"/>
                <w:b/>
                <w:bCs/>
                <w:color w:val="000000"/>
                <w:sz w:val="20"/>
                <w:szCs w:val="20"/>
                <w:lang w:eastAsia="en-GB"/>
              </w:rPr>
            </w:pPr>
            <w:r w:rsidRPr="00BD5721">
              <w:rPr>
                <w:rFonts w:eastAsia="Times New Roman" w:cs="Arial"/>
                <w:b/>
                <w:bCs/>
                <w:color w:val="000000"/>
                <w:sz w:val="20"/>
                <w:szCs w:val="20"/>
                <w:lang w:eastAsia="en-GB"/>
              </w:rPr>
              <w:t>202</w:t>
            </w:r>
            <w:r w:rsidRPr="00BD5721" w:rsidR="00BC3E0B">
              <w:rPr>
                <w:rFonts w:eastAsia="Times New Roman" w:cs="Arial"/>
                <w:b/>
                <w:bCs/>
                <w:color w:val="000000"/>
                <w:sz w:val="20"/>
                <w:szCs w:val="20"/>
                <w:lang w:eastAsia="en-GB"/>
              </w:rPr>
              <w:t>1</w:t>
            </w:r>
            <w:r w:rsidRPr="00BD5721">
              <w:rPr>
                <w:rFonts w:eastAsia="Times New Roman" w:cs="Arial"/>
                <w:b/>
                <w:bCs/>
                <w:color w:val="000000"/>
                <w:sz w:val="20"/>
                <w:szCs w:val="20"/>
                <w:lang w:eastAsia="en-GB"/>
              </w:rPr>
              <w:t>/2</w:t>
            </w:r>
            <w:r w:rsidRPr="00BD5721" w:rsidR="00BC3E0B">
              <w:rPr>
                <w:rFonts w:eastAsia="Times New Roman" w:cs="Arial"/>
                <w:b/>
                <w:bCs/>
                <w:color w:val="000000"/>
                <w:sz w:val="20"/>
                <w:szCs w:val="20"/>
                <w:lang w:eastAsia="en-GB"/>
              </w:rPr>
              <w:t>2</w:t>
            </w:r>
          </w:p>
        </w:tc>
      </w:tr>
      <w:tr w:rsidRPr="00614894" w:rsidR="00140BC8" w:rsidTr="007C40F8" w14:paraId="25CF9618" w14:textId="77777777">
        <w:trPr>
          <w:trHeight w:val="300"/>
        </w:trPr>
        <w:tc>
          <w:tcPr>
            <w:tcW w:w="1701" w:type="dxa"/>
            <w:tcBorders>
              <w:top w:val="nil"/>
              <w:left w:val="single" w:color="auto" w:sz="4" w:space="0"/>
              <w:bottom w:val="single" w:color="auto" w:sz="4" w:space="0"/>
              <w:right w:val="single" w:color="auto" w:sz="4" w:space="0"/>
            </w:tcBorders>
            <w:shd w:val="clear" w:color="auto" w:fill="DBE5F1" w:themeFill="accent1" w:themeFillTint="33"/>
            <w:vAlign w:val="bottom"/>
          </w:tcPr>
          <w:p w:rsidRPr="00BD5721" w:rsidR="00140BC8" w:rsidP="00140BC8" w:rsidRDefault="00140BC8" w14:paraId="6E1B7FCA" w14:textId="77777777">
            <w:pPr>
              <w:spacing w:after="0" w:line="240" w:lineRule="auto"/>
              <w:jc w:val="center"/>
              <w:rPr>
                <w:rFonts w:eastAsia="Times New Roman" w:cs="Arial"/>
                <w:b/>
                <w:bCs/>
                <w:color w:val="000000"/>
                <w:sz w:val="20"/>
                <w:szCs w:val="20"/>
                <w:lang w:eastAsia="en-GB"/>
              </w:rPr>
            </w:pPr>
            <w:r w:rsidRPr="00BD5721">
              <w:rPr>
                <w:rFonts w:eastAsia="Times New Roman" w:cs="Arial"/>
                <w:b/>
                <w:bCs/>
                <w:color w:val="000000"/>
                <w:sz w:val="20"/>
                <w:szCs w:val="20"/>
                <w:lang w:eastAsia="en-GB"/>
              </w:rPr>
              <w:t>£'000</w:t>
            </w:r>
          </w:p>
        </w:tc>
        <w:tc>
          <w:tcPr>
            <w:tcW w:w="5812"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BD5721" w:rsidR="00140BC8" w:rsidP="00140BC8" w:rsidRDefault="00140BC8" w14:paraId="300255C8" w14:textId="77777777">
            <w:pPr>
              <w:spacing w:after="0" w:line="240" w:lineRule="auto"/>
              <w:jc w:val="center"/>
              <w:rPr>
                <w:rFonts w:eastAsia="Times New Roman" w:cs="Arial"/>
                <w:color w:val="000000"/>
                <w:sz w:val="20"/>
                <w:szCs w:val="20"/>
                <w:lang w:eastAsia="en-GB"/>
              </w:rPr>
            </w:pPr>
          </w:p>
        </w:tc>
        <w:tc>
          <w:tcPr>
            <w:tcW w:w="1698"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BD5721" w:rsidR="00140BC8" w:rsidP="00140BC8" w:rsidRDefault="00140BC8" w14:paraId="64A1949F" w14:textId="77777777">
            <w:pPr>
              <w:spacing w:after="0" w:line="240" w:lineRule="auto"/>
              <w:jc w:val="center"/>
              <w:rPr>
                <w:rFonts w:eastAsia="Times New Roman" w:cs="Arial"/>
                <w:b/>
                <w:bCs/>
                <w:color w:val="000000"/>
                <w:sz w:val="20"/>
                <w:szCs w:val="20"/>
                <w:lang w:eastAsia="en-GB"/>
              </w:rPr>
            </w:pPr>
            <w:r w:rsidRPr="00BD5721">
              <w:rPr>
                <w:rFonts w:eastAsia="Times New Roman" w:cs="Arial"/>
                <w:b/>
                <w:bCs/>
                <w:color w:val="000000"/>
                <w:sz w:val="20"/>
                <w:szCs w:val="20"/>
                <w:lang w:eastAsia="en-GB"/>
              </w:rPr>
              <w:t>£'000</w:t>
            </w:r>
          </w:p>
        </w:tc>
      </w:tr>
      <w:tr w:rsidRPr="00614894" w:rsidR="000F1036" w:rsidTr="001D6161" w14:paraId="019EB821"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723227" w:rsidR="000F1036" w:rsidP="000F1036" w:rsidRDefault="000F1036" w14:paraId="27BDD3A3" w14:textId="57FC923A">
            <w:pPr>
              <w:spacing w:after="0" w:line="240" w:lineRule="auto"/>
              <w:jc w:val="right"/>
              <w:rPr>
                <w:rFonts w:eastAsia="Times New Roman" w:cs="Arial"/>
                <w:color w:val="000000"/>
                <w:sz w:val="20"/>
                <w:szCs w:val="20"/>
                <w:lang w:eastAsia="en-GB"/>
              </w:rPr>
            </w:pPr>
            <w:r w:rsidRPr="00723227">
              <w:rPr>
                <w:rFonts w:eastAsia="Times New Roman" w:cs="Arial"/>
                <w:color w:val="000000"/>
                <w:sz w:val="20"/>
                <w:szCs w:val="20"/>
                <w:lang w:eastAsia="en-GB"/>
              </w:rPr>
              <w:t>(</w:t>
            </w:r>
            <w:r w:rsidRPr="00723227" w:rsidR="003642AF">
              <w:rPr>
                <w:rFonts w:eastAsia="Times New Roman" w:cs="Arial"/>
                <w:color w:val="000000"/>
                <w:sz w:val="20"/>
                <w:szCs w:val="20"/>
                <w:lang w:eastAsia="en-GB"/>
              </w:rPr>
              <w:t>9</w:t>
            </w:r>
            <w:r w:rsidRPr="00723227">
              <w:rPr>
                <w:rFonts w:eastAsia="Times New Roman" w:cs="Arial"/>
                <w:color w:val="000000"/>
                <w:sz w:val="20"/>
                <w:szCs w:val="20"/>
                <w:lang w:eastAsia="en-GB"/>
              </w:rPr>
              <w:t>)</w:t>
            </w:r>
          </w:p>
        </w:tc>
        <w:tc>
          <w:tcPr>
            <w:tcW w:w="5812" w:type="dxa"/>
            <w:tcBorders>
              <w:top w:val="nil"/>
              <w:left w:val="single" w:color="auto" w:sz="4" w:space="0"/>
              <w:bottom w:val="nil"/>
              <w:right w:val="single" w:color="auto" w:sz="4" w:space="0"/>
            </w:tcBorders>
            <w:shd w:val="clear" w:color="auto" w:fill="auto"/>
            <w:noWrap/>
            <w:vAlign w:val="bottom"/>
            <w:hideMark/>
          </w:tcPr>
          <w:p w:rsidRPr="000F1036" w:rsidR="000F1036" w:rsidP="000F1036" w:rsidRDefault="000F1036" w14:paraId="386CE18B" w14:textId="7F1BA351">
            <w:pPr>
              <w:spacing w:after="0" w:line="240" w:lineRule="auto"/>
              <w:rPr>
                <w:rFonts w:eastAsia="Times New Roman" w:cs="Arial"/>
                <w:color w:val="000000"/>
                <w:sz w:val="20"/>
                <w:szCs w:val="20"/>
                <w:lang w:eastAsia="en-GB"/>
              </w:rPr>
            </w:pPr>
            <w:r w:rsidRPr="000F1036">
              <w:rPr>
                <w:rFonts w:eastAsia="Times New Roman" w:cs="Arial"/>
                <w:color w:val="000000"/>
                <w:sz w:val="20"/>
                <w:szCs w:val="20"/>
                <w:lang w:eastAsia="en-GB"/>
              </w:rPr>
              <w:t xml:space="preserve">General     </w:t>
            </w:r>
          </w:p>
        </w:tc>
        <w:tc>
          <w:tcPr>
            <w:tcW w:w="1698" w:type="dxa"/>
            <w:tcBorders>
              <w:top w:val="nil"/>
              <w:left w:val="single" w:color="auto" w:sz="4" w:space="0"/>
              <w:bottom w:val="nil"/>
              <w:right w:val="single" w:color="auto" w:sz="4" w:space="0"/>
            </w:tcBorders>
            <w:shd w:val="clear" w:color="auto" w:fill="auto"/>
            <w:noWrap/>
            <w:vAlign w:val="bottom"/>
          </w:tcPr>
          <w:p w:rsidRPr="00946CFA" w:rsidR="000F1036" w:rsidP="000F1036" w:rsidRDefault="000F1036" w14:paraId="4415565B" w14:textId="08A3F2D4">
            <w:pPr>
              <w:spacing w:after="0" w:line="240" w:lineRule="auto"/>
              <w:jc w:val="right"/>
              <w:rPr>
                <w:rFonts w:eastAsia="Times New Roman" w:cs="Arial"/>
                <w:color w:val="000000"/>
                <w:sz w:val="20"/>
                <w:szCs w:val="20"/>
                <w:lang w:eastAsia="en-GB"/>
              </w:rPr>
            </w:pPr>
            <w:r w:rsidRPr="00946CFA">
              <w:rPr>
                <w:rFonts w:eastAsia="Times New Roman" w:cs="Arial"/>
                <w:color w:val="000000"/>
                <w:sz w:val="20"/>
                <w:szCs w:val="20"/>
                <w:lang w:eastAsia="en-GB"/>
              </w:rPr>
              <w:t>(</w:t>
            </w:r>
            <w:r w:rsidRPr="00946CFA" w:rsidR="00946CFA">
              <w:rPr>
                <w:rFonts w:eastAsia="Times New Roman" w:cs="Arial"/>
                <w:color w:val="000000"/>
                <w:sz w:val="20"/>
                <w:szCs w:val="20"/>
                <w:lang w:eastAsia="en-GB"/>
              </w:rPr>
              <w:t>18</w:t>
            </w:r>
            <w:r w:rsidRPr="00946CFA">
              <w:rPr>
                <w:rFonts w:eastAsia="Times New Roman" w:cs="Arial"/>
                <w:color w:val="000000"/>
                <w:sz w:val="20"/>
                <w:szCs w:val="20"/>
                <w:lang w:eastAsia="en-GB"/>
              </w:rPr>
              <w:t>)</w:t>
            </w:r>
          </w:p>
        </w:tc>
      </w:tr>
      <w:tr w:rsidRPr="00614894" w:rsidR="00AD66B4" w:rsidTr="001D6161" w14:paraId="45CABE4A"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723227" w:rsidR="00AD66B4" w:rsidP="000F1036" w:rsidRDefault="00AD66B4" w14:paraId="05BB33C2" w14:textId="3E2A1DBB">
            <w:pPr>
              <w:spacing w:after="0" w:line="240" w:lineRule="auto"/>
              <w:jc w:val="right"/>
              <w:rPr>
                <w:rFonts w:eastAsia="Times New Roman" w:cs="Arial"/>
                <w:sz w:val="20"/>
                <w:szCs w:val="20"/>
                <w:lang w:eastAsia="en-GB"/>
              </w:rPr>
            </w:pPr>
            <w:r>
              <w:rPr>
                <w:rFonts w:eastAsia="Times New Roman" w:cs="Arial"/>
                <w:sz w:val="20"/>
                <w:szCs w:val="20"/>
                <w:lang w:eastAsia="en-GB"/>
              </w:rPr>
              <w:t>(34)</w:t>
            </w:r>
          </w:p>
        </w:tc>
        <w:tc>
          <w:tcPr>
            <w:tcW w:w="5812" w:type="dxa"/>
            <w:tcBorders>
              <w:top w:val="nil"/>
              <w:left w:val="single" w:color="auto" w:sz="4" w:space="0"/>
              <w:bottom w:val="nil"/>
              <w:right w:val="single" w:color="auto" w:sz="4" w:space="0"/>
            </w:tcBorders>
            <w:shd w:val="clear" w:color="auto" w:fill="auto"/>
            <w:noWrap/>
            <w:vAlign w:val="bottom"/>
          </w:tcPr>
          <w:p w:rsidRPr="000F1036" w:rsidR="00AD66B4" w:rsidP="000F1036" w:rsidRDefault="00AD66B4" w14:paraId="79BD47A1" w14:textId="09A72A00">
            <w:pPr>
              <w:spacing w:after="0" w:line="240" w:lineRule="auto"/>
              <w:rPr>
                <w:rFonts w:eastAsia="Times New Roman" w:cs="Arial"/>
                <w:sz w:val="20"/>
                <w:szCs w:val="20"/>
                <w:lang w:eastAsia="en-GB"/>
              </w:rPr>
            </w:pPr>
            <w:r>
              <w:rPr>
                <w:rFonts w:eastAsia="Times New Roman" w:cs="Arial"/>
                <w:sz w:val="20"/>
                <w:szCs w:val="20"/>
                <w:lang w:eastAsia="en-GB"/>
              </w:rPr>
              <w:t>Merthyr Tydfil County Borough Council</w:t>
            </w:r>
          </w:p>
        </w:tc>
        <w:tc>
          <w:tcPr>
            <w:tcW w:w="1698" w:type="dxa"/>
            <w:tcBorders>
              <w:top w:val="nil"/>
              <w:left w:val="single" w:color="auto" w:sz="4" w:space="0"/>
              <w:bottom w:val="nil"/>
              <w:right w:val="single" w:color="auto" w:sz="4" w:space="0"/>
            </w:tcBorders>
            <w:shd w:val="clear" w:color="auto" w:fill="auto"/>
            <w:noWrap/>
            <w:vAlign w:val="bottom"/>
          </w:tcPr>
          <w:p w:rsidRPr="00946CFA" w:rsidR="00AD66B4" w:rsidP="000F1036" w:rsidRDefault="00AD66B4" w14:paraId="6D71E77E" w14:textId="681D88B7">
            <w:pPr>
              <w:spacing w:after="0" w:line="240" w:lineRule="auto"/>
              <w:jc w:val="right"/>
              <w:rPr>
                <w:rFonts w:eastAsia="Times New Roman" w:cs="Arial"/>
                <w:sz w:val="20"/>
                <w:szCs w:val="20"/>
                <w:lang w:eastAsia="en-GB"/>
              </w:rPr>
            </w:pPr>
            <w:r>
              <w:rPr>
                <w:rFonts w:eastAsia="Times New Roman" w:cs="Arial"/>
                <w:sz w:val="20"/>
                <w:szCs w:val="20"/>
                <w:lang w:eastAsia="en-GB"/>
              </w:rPr>
              <w:t>(34)</w:t>
            </w:r>
          </w:p>
        </w:tc>
      </w:tr>
      <w:tr w:rsidRPr="00614894" w:rsidR="00AD66B4" w:rsidTr="001D6161" w14:paraId="32E87F24"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723227" w:rsidR="00AD66B4" w:rsidP="000F1036" w:rsidRDefault="00AD66B4" w14:paraId="2FC5A8AE" w14:textId="15A3F3D1">
            <w:pPr>
              <w:spacing w:after="0" w:line="240" w:lineRule="auto"/>
              <w:jc w:val="right"/>
              <w:rPr>
                <w:rFonts w:eastAsia="Times New Roman" w:cs="Arial"/>
                <w:sz w:val="20"/>
                <w:szCs w:val="20"/>
                <w:lang w:eastAsia="en-GB"/>
              </w:rPr>
            </w:pPr>
            <w:r>
              <w:rPr>
                <w:rFonts w:eastAsia="Times New Roman" w:cs="Arial"/>
                <w:sz w:val="20"/>
                <w:szCs w:val="20"/>
                <w:lang w:eastAsia="en-GB"/>
              </w:rPr>
              <w:t>(192)</w:t>
            </w:r>
          </w:p>
        </w:tc>
        <w:tc>
          <w:tcPr>
            <w:tcW w:w="5812" w:type="dxa"/>
            <w:tcBorders>
              <w:top w:val="nil"/>
              <w:left w:val="single" w:color="auto" w:sz="4" w:space="0"/>
              <w:bottom w:val="nil"/>
              <w:right w:val="single" w:color="auto" w:sz="4" w:space="0"/>
            </w:tcBorders>
            <w:shd w:val="clear" w:color="auto" w:fill="auto"/>
            <w:noWrap/>
            <w:vAlign w:val="bottom"/>
          </w:tcPr>
          <w:p w:rsidRPr="000F1036" w:rsidR="00AD66B4" w:rsidP="000F1036" w:rsidRDefault="00AD66B4" w14:paraId="4CE4EE28" w14:textId="20EF9349">
            <w:pPr>
              <w:spacing w:after="0" w:line="240" w:lineRule="auto"/>
              <w:rPr>
                <w:rFonts w:eastAsia="Times New Roman" w:cs="Arial"/>
                <w:sz w:val="20"/>
                <w:szCs w:val="20"/>
                <w:lang w:eastAsia="en-GB"/>
              </w:rPr>
            </w:pPr>
            <w:r>
              <w:rPr>
                <w:rFonts w:eastAsia="Times New Roman" w:cs="Arial"/>
                <w:sz w:val="20"/>
                <w:szCs w:val="20"/>
                <w:lang w:eastAsia="en-GB"/>
              </w:rPr>
              <w:t>Cardiff Council</w:t>
            </w:r>
          </w:p>
        </w:tc>
        <w:tc>
          <w:tcPr>
            <w:tcW w:w="1698" w:type="dxa"/>
            <w:tcBorders>
              <w:top w:val="nil"/>
              <w:left w:val="single" w:color="auto" w:sz="4" w:space="0"/>
              <w:bottom w:val="nil"/>
              <w:right w:val="single" w:color="auto" w:sz="4" w:space="0"/>
            </w:tcBorders>
            <w:shd w:val="clear" w:color="auto" w:fill="auto"/>
            <w:noWrap/>
            <w:vAlign w:val="bottom"/>
          </w:tcPr>
          <w:p w:rsidRPr="00946CFA" w:rsidR="00AD66B4" w:rsidP="000F1036" w:rsidRDefault="00AD66B4" w14:paraId="0591514C" w14:textId="5955FD51">
            <w:pPr>
              <w:spacing w:after="0" w:line="240" w:lineRule="auto"/>
              <w:jc w:val="right"/>
              <w:rPr>
                <w:rFonts w:eastAsia="Times New Roman" w:cs="Arial"/>
                <w:sz w:val="20"/>
                <w:szCs w:val="20"/>
                <w:lang w:eastAsia="en-GB"/>
              </w:rPr>
            </w:pPr>
            <w:r>
              <w:rPr>
                <w:rFonts w:eastAsia="Times New Roman" w:cs="Arial"/>
                <w:sz w:val="20"/>
                <w:szCs w:val="20"/>
                <w:lang w:eastAsia="en-GB"/>
              </w:rPr>
              <w:t>(149)</w:t>
            </w:r>
          </w:p>
        </w:tc>
      </w:tr>
      <w:tr w:rsidRPr="00614894" w:rsidR="00AD66B4" w:rsidTr="001D6161" w14:paraId="7EBB385B"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723227" w:rsidR="00AD66B4" w:rsidP="000F1036" w:rsidRDefault="00AD66B4" w14:paraId="2595784F" w14:textId="28A32299">
            <w:pPr>
              <w:spacing w:after="0" w:line="240" w:lineRule="auto"/>
              <w:jc w:val="right"/>
              <w:rPr>
                <w:rFonts w:eastAsia="Times New Roman" w:cs="Arial"/>
                <w:sz w:val="20"/>
                <w:szCs w:val="20"/>
                <w:lang w:eastAsia="en-GB"/>
              </w:rPr>
            </w:pPr>
            <w:r>
              <w:rPr>
                <w:rFonts w:eastAsia="Times New Roman" w:cs="Arial"/>
                <w:sz w:val="20"/>
                <w:szCs w:val="20"/>
                <w:lang w:eastAsia="en-GB"/>
              </w:rPr>
              <w:t>(131)</w:t>
            </w:r>
          </w:p>
        </w:tc>
        <w:tc>
          <w:tcPr>
            <w:tcW w:w="5812" w:type="dxa"/>
            <w:tcBorders>
              <w:top w:val="nil"/>
              <w:left w:val="single" w:color="auto" w:sz="4" w:space="0"/>
              <w:bottom w:val="nil"/>
              <w:right w:val="single" w:color="auto" w:sz="4" w:space="0"/>
            </w:tcBorders>
            <w:shd w:val="clear" w:color="auto" w:fill="auto"/>
            <w:noWrap/>
            <w:vAlign w:val="bottom"/>
          </w:tcPr>
          <w:p w:rsidRPr="000F1036" w:rsidR="00AD66B4" w:rsidP="000F1036" w:rsidRDefault="00AD66B4" w14:paraId="7235258B" w14:textId="3966CCF9">
            <w:pPr>
              <w:spacing w:after="0" w:line="240" w:lineRule="auto"/>
              <w:rPr>
                <w:rFonts w:eastAsia="Times New Roman" w:cs="Arial"/>
                <w:sz w:val="20"/>
                <w:szCs w:val="20"/>
                <w:lang w:eastAsia="en-GB"/>
              </w:rPr>
            </w:pPr>
            <w:r>
              <w:rPr>
                <w:rFonts w:eastAsia="Times New Roman" w:cs="Arial"/>
                <w:sz w:val="20"/>
                <w:szCs w:val="20"/>
                <w:lang w:eastAsia="en-GB"/>
              </w:rPr>
              <w:t>Rhondda Cynon Taf County Borough Council</w:t>
            </w:r>
          </w:p>
        </w:tc>
        <w:tc>
          <w:tcPr>
            <w:tcW w:w="1698" w:type="dxa"/>
            <w:tcBorders>
              <w:top w:val="nil"/>
              <w:left w:val="single" w:color="auto" w:sz="4" w:space="0"/>
              <w:bottom w:val="nil"/>
              <w:right w:val="single" w:color="auto" w:sz="4" w:space="0"/>
            </w:tcBorders>
            <w:shd w:val="clear" w:color="auto" w:fill="auto"/>
            <w:noWrap/>
            <w:vAlign w:val="bottom"/>
          </w:tcPr>
          <w:p w:rsidRPr="00946CFA" w:rsidR="00AD66B4" w:rsidP="000F1036" w:rsidRDefault="00AD66B4" w14:paraId="7BEE4432" w14:textId="18838C32">
            <w:pPr>
              <w:spacing w:after="0" w:line="240" w:lineRule="auto"/>
              <w:jc w:val="right"/>
              <w:rPr>
                <w:rFonts w:eastAsia="Times New Roman" w:cs="Arial"/>
                <w:sz w:val="20"/>
                <w:szCs w:val="20"/>
                <w:lang w:eastAsia="en-GB"/>
              </w:rPr>
            </w:pPr>
            <w:r>
              <w:rPr>
                <w:rFonts w:eastAsia="Times New Roman" w:cs="Arial"/>
                <w:sz w:val="20"/>
                <w:szCs w:val="20"/>
                <w:lang w:eastAsia="en-GB"/>
              </w:rPr>
              <w:t>(135)</w:t>
            </w:r>
          </w:p>
        </w:tc>
      </w:tr>
      <w:tr w:rsidRPr="00614894" w:rsidR="00AD66B4" w:rsidTr="001D6161" w14:paraId="716AEF7C"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723227" w:rsidR="00AD66B4" w:rsidP="000F1036" w:rsidRDefault="00AD66B4" w14:paraId="37052700" w14:textId="69ABA238">
            <w:pPr>
              <w:spacing w:after="0" w:line="240" w:lineRule="auto"/>
              <w:jc w:val="right"/>
              <w:rPr>
                <w:rFonts w:eastAsia="Times New Roman" w:cs="Arial"/>
                <w:sz w:val="20"/>
                <w:szCs w:val="20"/>
                <w:lang w:eastAsia="en-GB"/>
              </w:rPr>
            </w:pPr>
            <w:r>
              <w:rPr>
                <w:rFonts w:eastAsia="Times New Roman" w:cs="Arial"/>
                <w:sz w:val="20"/>
                <w:szCs w:val="20"/>
                <w:lang w:eastAsia="en-GB"/>
              </w:rPr>
              <w:t>(29)</w:t>
            </w:r>
          </w:p>
        </w:tc>
        <w:tc>
          <w:tcPr>
            <w:tcW w:w="5812" w:type="dxa"/>
            <w:tcBorders>
              <w:top w:val="nil"/>
              <w:left w:val="single" w:color="auto" w:sz="4" w:space="0"/>
              <w:bottom w:val="nil"/>
              <w:right w:val="single" w:color="auto" w:sz="4" w:space="0"/>
            </w:tcBorders>
            <w:shd w:val="clear" w:color="auto" w:fill="auto"/>
            <w:noWrap/>
            <w:vAlign w:val="bottom"/>
          </w:tcPr>
          <w:p w:rsidRPr="000F1036" w:rsidR="00AD66B4" w:rsidP="000F1036" w:rsidRDefault="00AD66B4" w14:paraId="5BB5F7F3" w14:textId="5F22C595">
            <w:pPr>
              <w:spacing w:after="0" w:line="240" w:lineRule="auto"/>
              <w:rPr>
                <w:rFonts w:eastAsia="Times New Roman" w:cs="Arial"/>
                <w:sz w:val="20"/>
                <w:szCs w:val="20"/>
                <w:lang w:eastAsia="en-GB"/>
              </w:rPr>
            </w:pPr>
            <w:r>
              <w:rPr>
                <w:rFonts w:eastAsia="Times New Roman" w:cs="Arial"/>
                <w:sz w:val="20"/>
                <w:szCs w:val="20"/>
                <w:lang w:eastAsia="en-GB"/>
              </w:rPr>
              <w:t>Vale of Glamorgan Council</w:t>
            </w:r>
          </w:p>
        </w:tc>
        <w:tc>
          <w:tcPr>
            <w:tcW w:w="1698" w:type="dxa"/>
            <w:tcBorders>
              <w:top w:val="nil"/>
              <w:left w:val="single" w:color="auto" w:sz="4" w:space="0"/>
              <w:bottom w:val="nil"/>
              <w:right w:val="single" w:color="auto" w:sz="4" w:space="0"/>
            </w:tcBorders>
            <w:shd w:val="clear" w:color="auto" w:fill="auto"/>
            <w:noWrap/>
            <w:vAlign w:val="bottom"/>
          </w:tcPr>
          <w:p w:rsidRPr="00946CFA" w:rsidR="00AD66B4" w:rsidP="000F1036" w:rsidRDefault="00AD66B4" w14:paraId="6EF61405" w14:textId="05912319">
            <w:pPr>
              <w:spacing w:after="0" w:line="240" w:lineRule="auto"/>
              <w:jc w:val="right"/>
              <w:rPr>
                <w:rFonts w:eastAsia="Times New Roman" w:cs="Arial"/>
                <w:sz w:val="20"/>
                <w:szCs w:val="20"/>
                <w:lang w:eastAsia="en-GB"/>
              </w:rPr>
            </w:pPr>
            <w:r>
              <w:rPr>
                <w:rFonts w:eastAsia="Times New Roman" w:cs="Arial"/>
                <w:sz w:val="20"/>
                <w:szCs w:val="20"/>
                <w:lang w:eastAsia="en-GB"/>
              </w:rPr>
              <w:t>(25)</w:t>
            </w:r>
          </w:p>
        </w:tc>
      </w:tr>
      <w:tr w:rsidRPr="00614894" w:rsidR="000F1036" w:rsidTr="001D6161" w14:paraId="4C8CC6DC"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723227" w:rsidR="000F1036" w:rsidP="000F1036" w:rsidRDefault="000F1036" w14:paraId="029C7107" w14:textId="3EBC00E3">
            <w:pPr>
              <w:spacing w:after="0" w:line="240" w:lineRule="auto"/>
              <w:jc w:val="right"/>
              <w:rPr>
                <w:rFonts w:eastAsia="Times New Roman" w:cs="Arial"/>
                <w:sz w:val="20"/>
                <w:szCs w:val="20"/>
                <w:lang w:eastAsia="en-GB"/>
              </w:rPr>
            </w:pPr>
            <w:r w:rsidRPr="00723227">
              <w:rPr>
                <w:rFonts w:eastAsia="Times New Roman" w:cs="Arial"/>
                <w:sz w:val="20"/>
                <w:szCs w:val="20"/>
                <w:lang w:eastAsia="en-GB"/>
              </w:rPr>
              <w:t>(</w:t>
            </w:r>
            <w:r w:rsidRPr="00723227" w:rsidR="003642AF">
              <w:rPr>
                <w:rFonts w:eastAsia="Times New Roman" w:cs="Arial"/>
                <w:sz w:val="20"/>
                <w:szCs w:val="20"/>
                <w:lang w:eastAsia="en-GB"/>
              </w:rPr>
              <w:t>4</w:t>
            </w:r>
            <w:r w:rsidRPr="00723227">
              <w:rPr>
                <w:rFonts w:eastAsia="Times New Roman" w:cs="Arial"/>
                <w:sz w:val="20"/>
                <w:szCs w:val="20"/>
                <w:lang w:eastAsia="en-GB"/>
              </w:rPr>
              <w:t>)</w:t>
            </w:r>
          </w:p>
        </w:tc>
        <w:tc>
          <w:tcPr>
            <w:tcW w:w="5812" w:type="dxa"/>
            <w:tcBorders>
              <w:top w:val="nil"/>
              <w:left w:val="single" w:color="auto" w:sz="4" w:space="0"/>
              <w:bottom w:val="nil"/>
              <w:right w:val="single" w:color="auto" w:sz="4" w:space="0"/>
            </w:tcBorders>
            <w:shd w:val="clear" w:color="auto" w:fill="auto"/>
            <w:noWrap/>
            <w:vAlign w:val="bottom"/>
          </w:tcPr>
          <w:p w:rsidRPr="000F1036" w:rsidR="000F1036" w:rsidP="000F1036" w:rsidRDefault="000F1036" w14:paraId="46A8C154" w14:textId="15C7F1F2">
            <w:pPr>
              <w:spacing w:after="0" w:line="240" w:lineRule="auto"/>
              <w:rPr>
                <w:rFonts w:eastAsia="Times New Roman" w:cs="Arial"/>
                <w:sz w:val="20"/>
                <w:szCs w:val="20"/>
                <w:lang w:eastAsia="en-GB"/>
              </w:rPr>
            </w:pPr>
            <w:r w:rsidRPr="000F1036">
              <w:rPr>
                <w:rFonts w:eastAsia="Times New Roman" w:cs="Arial"/>
                <w:color w:val="000000"/>
                <w:sz w:val="20"/>
                <w:szCs w:val="20"/>
                <w:lang w:eastAsia="en-GB"/>
              </w:rPr>
              <w:t>Central Government Bodies</w:t>
            </w:r>
          </w:p>
        </w:tc>
        <w:tc>
          <w:tcPr>
            <w:tcW w:w="1698" w:type="dxa"/>
            <w:tcBorders>
              <w:top w:val="nil"/>
              <w:left w:val="single" w:color="auto" w:sz="4" w:space="0"/>
              <w:bottom w:val="nil"/>
              <w:right w:val="single" w:color="auto" w:sz="4" w:space="0"/>
            </w:tcBorders>
            <w:shd w:val="clear" w:color="auto" w:fill="auto"/>
            <w:noWrap/>
            <w:vAlign w:val="bottom"/>
          </w:tcPr>
          <w:p w:rsidRPr="00946CFA" w:rsidR="000F1036" w:rsidP="000F1036" w:rsidRDefault="000F1036" w14:paraId="530D9EAA" w14:textId="3ED44670">
            <w:pPr>
              <w:spacing w:after="0" w:line="240" w:lineRule="auto"/>
              <w:jc w:val="right"/>
              <w:rPr>
                <w:rFonts w:eastAsia="Times New Roman" w:cs="Arial"/>
                <w:sz w:val="20"/>
                <w:szCs w:val="20"/>
                <w:lang w:eastAsia="en-GB"/>
              </w:rPr>
            </w:pPr>
            <w:r w:rsidRPr="00946CFA">
              <w:rPr>
                <w:rFonts w:eastAsia="Times New Roman" w:cs="Arial"/>
                <w:sz w:val="20"/>
                <w:szCs w:val="20"/>
                <w:lang w:eastAsia="en-GB"/>
              </w:rPr>
              <w:t>(</w:t>
            </w:r>
            <w:r w:rsidRPr="00946CFA" w:rsidR="00946CFA">
              <w:rPr>
                <w:rFonts w:eastAsia="Times New Roman" w:cs="Arial"/>
                <w:sz w:val="20"/>
                <w:szCs w:val="20"/>
                <w:lang w:eastAsia="en-GB"/>
              </w:rPr>
              <w:t>3</w:t>
            </w:r>
            <w:r w:rsidRPr="00946CFA">
              <w:rPr>
                <w:rFonts w:eastAsia="Times New Roman" w:cs="Arial"/>
                <w:sz w:val="20"/>
                <w:szCs w:val="20"/>
                <w:lang w:eastAsia="en-GB"/>
              </w:rPr>
              <w:t>)</w:t>
            </w:r>
          </w:p>
        </w:tc>
      </w:tr>
      <w:tr w:rsidRPr="00614894" w:rsidR="00723227" w:rsidTr="001D6161" w14:paraId="791C17E6"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0F1036" w:rsidR="00723227" w:rsidP="000F1036" w:rsidRDefault="00723227" w14:paraId="3978174F" w14:textId="20175DEF">
            <w:pPr>
              <w:spacing w:after="0" w:line="240" w:lineRule="auto"/>
              <w:jc w:val="right"/>
              <w:rPr>
                <w:rFonts w:eastAsia="Times New Roman" w:cs="Arial"/>
                <w:sz w:val="20"/>
                <w:szCs w:val="20"/>
                <w:lang w:eastAsia="en-GB"/>
              </w:rPr>
            </w:pPr>
            <w:r>
              <w:rPr>
                <w:rFonts w:eastAsia="Times New Roman" w:cs="Arial"/>
                <w:sz w:val="20"/>
                <w:szCs w:val="20"/>
                <w:lang w:eastAsia="en-GB"/>
              </w:rPr>
              <w:t>(266)</w:t>
            </w:r>
          </w:p>
        </w:tc>
        <w:tc>
          <w:tcPr>
            <w:tcW w:w="5812" w:type="dxa"/>
            <w:tcBorders>
              <w:top w:val="nil"/>
              <w:left w:val="single" w:color="auto" w:sz="4" w:space="0"/>
              <w:bottom w:val="nil"/>
              <w:right w:val="single" w:color="auto" w:sz="4" w:space="0"/>
            </w:tcBorders>
            <w:shd w:val="clear" w:color="auto" w:fill="auto"/>
            <w:noWrap/>
            <w:vAlign w:val="bottom"/>
          </w:tcPr>
          <w:p w:rsidRPr="000F1036" w:rsidR="00723227" w:rsidP="000F1036" w:rsidRDefault="00723227" w14:paraId="4F22F476" w14:textId="32F9E4DD">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Cash owed to Host Authority</w:t>
            </w:r>
          </w:p>
        </w:tc>
        <w:tc>
          <w:tcPr>
            <w:tcW w:w="1698" w:type="dxa"/>
            <w:tcBorders>
              <w:top w:val="nil"/>
              <w:left w:val="single" w:color="auto" w:sz="4" w:space="0"/>
              <w:bottom w:val="nil"/>
              <w:right w:val="single" w:color="auto" w:sz="4" w:space="0"/>
            </w:tcBorders>
            <w:shd w:val="clear" w:color="auto" w:fill="auto"/>
            <w:noWrap/>
            <w:vAlign w:val="bottom"/>
          </w:tcPr>
          <w:p w:rsidRPr="00946CFA" w:rsidR="00723227" w:rsidP="000F1036" w:rsidRDefault="00723227" w14:paraId="0B0926A4" w14:textId="18B4C843">
            <w:pPr>
              <w:spacing w:after="0" w:line="240" w:lineRule="auto"/>
              <w:jc w:val="right"/>
              <w:rPr>
                <w:rFonts w:eastAsia="Times New Roman" w:cs="Arial"/>
                <w:sz w:val="20"/>
                <w:szCs w:val="20"/>
                <w:lang w:eastAsia="en-GB"/>
              </w:rPr>
            </w:pPr>
            <w:r w:rsidRPr="00946CFA">
              <w:rPr>
                <w:rFonts w:eastAsia="Times New Roman" w:cs="Arial"/>
                <w:sz w:val="20"/>
                <w:szCs w:val="20"/>
                <w:lang w:eastAsia="en-GB"/>
              </w:rPr>
              <w:t>(264)</w:t>
            </w:r>
          </w:p>
        </w:tc>
      </w:tr>
      <w:tr w:rsidRPr="00614894" w:rsidR="000F1036" w:rsidTr="001D6161" w14:paraId="559401E7" w14:textId="77777777">
        <w:trPr>
          <w:trHeight w:val="300"/>
        </w:trPr>
        <w:tc>
          <w:tcPr>
            <w:tcW w:w="1701" w:type="dxa"/>
            <w:tcBorders>
              <w:top w:val="nil"/>
              <w:left w:val="single" w:color="auto" w:sz="4" w:space="0"/>
              <w:bottom w:val="nil"/>
              <w:right w:val="single" w:color="auto" w:sz="4" w:space="0"/>
            </w:tcBorders>
            <w:shd w:val="clear" w:color="auto" w:fill="auto"/>
            <w:vAlign w:val="bottom"/>
          </w:tcPr>
          <w:p w:rsidRPr="000F1036" w:rsidR="000F1036" w:rsidP="000F1036" w:rsidRDefault="000F1036" w14:paraId="0EFB112B" w14:textId="0CBEB5E6">
            <w:pPr>
              <w:spacing w:after="0" w:line="240" w:lineRule="auto"/>
              <w:jc w:val="right"/>
              <w:rPr>
                <w:rFonts w:eastAsia="Times New Roman" w:cs="Arial"/>
                <w:sz w:val="20"/>
                <w:szCs w:val="20"/>
                <w:lang w:eastAsia="en-GB"/>
              </w:rPr>
            </w:pPr>
            <w:r w:rsidRPr="000F1036">
              <w:rPr>
                <w:rFonts w:eastAsia="Times New Roman" w:cs="Arial"/>
                <w:sz w:val="20"/>
                <w:szCs w:val="20"/>
                <w:lang w:eastAsia="en-GB"/>
              </w:rPr>
              <w:t>(21)</w:t>
            </w:r>
          </w:p>
        </w:tc>
        <w:tc>
          <w:tcPr>
            <w:tcW w:w="5812" w:type="dxa"/>
            <w:tcBorders>
              <w:top w:val="nil"/>
              <w:left w:val="single" w:color="auto" w:sz="4" w:space="0"/>
              <w:bottom w:val="nil"/>
              <w:right w:val="single" w:color="auto" w:sz="4" w:space="0"/>
            </w:tcBorders>
            <w:shd w:val="clear" w:color="auto" w:fill="auto"/>
            <w:noWrap/>
            <w:vAlign w:val="bottom"/>
          </w:tcPr>
          <w:p w:rsidRPr="000F1036" w:rsidR="000F1036" w:rsidP="000F1036" w:rsidRDefault="000F1036" w14:paraId="50CE67C0" w14:textId="43380F34">
            <w:pPr>
              <w:spacing w:after="0" w:line="240" w:lineRule="auto"/>
              <w:rPr>
                <w:rFonts w:eastAsia="Times New Roman" w:cs="Arial"/>
                <w:color w:val="000000"/>
                <w:sz w:val="20"/>
                <w:szCs w:val="20"/>
                <w:lang w:eastAsia="en-GB"/>
              </w:rPr>
            </w:pPr>
            <w:r w:rsidRPr="000F1036">
              <w:rPr>
                <w:rFonts w:eastAsia="Times New Roman" w:cs="Arial"/>
                <w:color w:val="000000"/>
                <w:sz w:val="20"/>
                <w:szCs w:val="20"/>
                <w:lang w:eastAsia="en-GB"/>
              </w:rPr>
              <w:t>Accumulated Absences</w:t>
            </w:r>
          </w:p>
        </w:tc>
        <w:tc>
          <w:tcPr>
            <w:tcW w:w="1698" w:type="dxa"/>
            <w:tcBorders>
              <w:top w:val="nil"/>
              <w:left w:val="single" w:color="auto" w:sz="4" w:space="0"/>
              <w:bottom w:val="nil"/>
              <w:right w:val="single" w:color="auto" w:sz="4" w:space="0"/>
            </w:tcBorders>
            <w:shd w:val="clear" w:color="auto" w:fill="auto"/>
            <w:noWrap/>
            <w:vAlign w:val="bottom"/>
          </w:tcPr>
          <w:p w:rsidRPr="000F1036" w:rsidR="000F1036" w:rsidP="000F1036" w:rsidRDefault="000F1036" w14:paraId="196F1562" w14:textId="743AE243">
            <w:pPr>
              <w:spacing w:after="0" w:line="240" w:lineRule="auto"/>
              <w:jc w:val="right"/>
              <w:rPr>
                <w:rFonts w:eastAsia="Times New Roman" w:cs="Arial"/>
                <w:sz w:val="20"/>
                <w:szCs w:val="20"/>
                <w:lang w:eastAsia="en-GB"/>
              </w:rPr>
            </w:pPr>
            <w:r w:rsidRPr="000F1036">
              <w:rPr>
                <w:rFonts w:eastAsia="Times New Roman" w:cs="Arial"/>
                <w:sz w:val="20"/>
                <w:szCs w:val="20"/>
                <w:lang w:eastAsia="en-GB"/>
              </w:rPr>
              <w:t>(19)</w:t>
            </w:r>
          </w:p>
        </w:tc>
      </w:tr>
      <w:tr w:rsidRPr="00614894" w:rsidR="000F1036" w:rsidTr="007C40F8" w14:paraId="5A09F477" w14:textId="77777777">
        <w:trPr>
          <w:trHeight w:val="300"/>
        </w:trPr>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Pr="000F1036" w:rsidR="000F1036" w:rsidP="000F1036" w:rsidRDefault="000F1036" w14:paraId="1BFB1700" w14:textId="59DF2E8F">
            <w:pPr>
              <w:spacing w:after="0" w:line="240" w:lineRule="auto"/>
              <w:jc w:val="right"/>
              <w:rPr>
                <w:rFonts w:eastAsia="Times New Roman" w:cs="Arial"/>
                <w:b/>
                <w:bCs/>
                <w:color w:val="000000"/>
                <w:sz w:val="20"/>
                <w:szCs w:val="20"/>
                <w:lang w:eastAsia="en-GB"/>
              </w:rPr>
            </w:pPr>
            <w:r w:rsidRPr="000F1036">
              <w:rPr>
                <w:rFonts w:eastAsia="Times New Roman" w:cs="Arial"/>
                <w:b/>
                <w:bCs/>
                <w:color w:val="000000"/>
                <w:sz w:val="20"/>
                <w:szCs w:val="20"/>
                <w:lang w:eastAsia="en-GB"/>
              </w:rPr>
              <w:t>(686)</w:t>
            </w:r>
          </w:p>
        </w:tc>
        <w:tc>
          <w:tcPr>
            <w:tcW w:w="5812"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0F1036" w:rsidR="000F1036" w:rsidP="000F1036" w:rsidRDefault="000F1036" w14:paraId="0AAE1DB1" w14:textId="77777777">
            <w:pPr>
              <w:spacing w:after="0" w:line="240" w:lineRule="auto"/>
              <w:rPr>
                <w:rFonts w:eastAsia="Times New Roman" w:cs="Arial"/>
                <w:b/>
                <w:bCs/>
                <w:color w:val="000000"/>
                <w:sz w:val="20"/>
                <w:szCs w:val="20"/>
                <w:lang w:eastAsia="en-GB"/>
              </w:rPr>
            </w:pPr>
            <w:r w:rsidRPr="000F1036">
              <w:rPr>
                <w:rFonts w:eastAsia="Times New Roman" w:cs="Arial"/>
                <w:b/>
                <w:bCs/>
                <w:color w:val="000000"/>
                <w:sz w:val="20"/>
                <w:szCs w:val="20"/>
                <w:lang w:eastAsia="en-GB"/>
              </w:rPr>
              <w:t xml:space="preserve">Balance as </w:t>
            </w:r>
            <w:proofErr w:type="gramStart"/>
            <w:r w:rsidRPr="000F1036">
              <w:rPr>
                <w:rFonts w:eastAsia="Times New Roman" w:cs="Arial"/>
                <w:b/>
                <w:bCs/>
                <w:color w:val="000000"/>
                <w:sz w:val="20"/>
                <w:szCs w:val="20"/>
                <w:lang w:eastAsia="en-GB"/>
              </w:rPr>
              <w:t>at</w:t>
            </w:r>
            <w:proofErr w:type="gramEnd"/>
            <w:r w:rsidRPr="000F1036">
              <w:rPr>
                <w:rFonts w:eastAsia="Times New Roman" w:cs="Arial"/>
                <w:b/>
                <w:bCs/>
                <w:color w:val="000000"/>
                <w:sz w:val="20"/>
                <w:szCs w:val="20"/>
                <w:lang w:eastAsia="en-GB"/>
              </w:rPr>
              <w:t xml:space="preserve"> 31st March </w:t>
            </w:r>
          </w:p>
        </w:tc>
        <w:tc>
          <w:tcPr>
            <w:tcW w:w="169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0F1036" w:rsidR="000F1036" w:rsidP="000F1036" w:rsidRDefault="000F1036" w14:paraId="54B5B5BD" w14:textId="1C415E8F">
            <w:pPr>
              <w:spacing w:after="0" w:line="240" w:lineRule="auto"/>
              <w:jc w:val="right"/>
              <w:rPr>
                <w:rFonts w:eastAsia="Times New Roman" w:cs="Arial"/>
                <w:b/>
                <w:bCs/>
                <w:color w:val="000000"/>
                <w:sz w:val="20"/>
                <w:szCs w:val="20"/>
                <w:lang w:eastAsia="en-GB"/>
              </w:rPr>
            </w:pPr>
            <w:r w:rsidRPr="000F1036">
              <w:rPr>
                <w:rFonts w:eastAsia="Times New Roman" w:cs="Arial"/>
                <w:b/>
                <w:bCs/>
                <w:color w:val="000000"/>
                <w:sz w:val="20"/>
                <w:szCs w:val="20"/>
                <w:lang w:eastAsia="en-GB"/>
              </w:rPr>
              <w:t>(647)</w:t>
            </w:r>
          </w:p>
        </w:tc>
      </w:tr>
    </w:tbl>
    <w:p w:rsidRPr="00614894" w:rsidR="00271F53" w:rsidP="00271F53" w:rsidRDefault="00271F53" w14:paraId="4AF46D25" w14:textId="77777777">
      <w:pPr>
        <w:rPr>
          <w:highlight w:val="yellow"/>
        </w:rPr>
      </w:pPr>
      <w:bookmarkStart w:name="_Toc485903723" w:id="42"/>
    </w:p>
    <w:p w:rsidRPr="00946CFA" w:rsidR="00025999" w:rsidP="00467BBE" w:rsidRDefault="00025999" w14:paraId="1E0BFE35" w14:textId="21CFA226">
      <w:pPr>
        <w:pStyle w:val="Heading2"/>
      </w:pPr>
      <w:bookmarkStart w:name="_Toc485903724" w:id="43"/>
      <w:bookmarkEnd w:id="42"/>
      <w:r w:rsidRPr="00946CFA">
        <w:t>Movement on Usable Reserves</w:t>
      </w:r>
      <w:bookmarkEnd w:id="43"/>
    </w:p>
    <w:p w:rsidRPr="00C450FB" w:rsidR="00025999" w:rsidP="001D6161" w:rsidRDefault="00025999" w14:paraId="4D2401F5" w14:textId="0EC457F7">
      <w:pPr>
        <w:jc w:val="both"/>
        <w:rPr>
          <w:rFonts w:cs="Arial"/>
        </w:rPr>
      </w:pPr>
      <w:r w:rsidRPr="00C450FB">
        <w:rPr>
          <w:rFonts w:cs="Arial"/>
        </w:rPr>
        <w:t xml:space="preserve">The General Fund balance is a distributable revenue reserve, which consists of the accumulated surpluses of </w:t>
      </w:r>
      <w:r w:rsidRPr="006A70E1" w:rsidR="00AE1CBD">
        <w:rPr>
          <w:rFonts w:cs="Arial"/>
        </w:rPr>
        <w:t>VVC</w:t>
      </w:r>
      <w:r w:rsidR="001E2079">
        <w:rPr>
          <w:rFonts w:cs="Arial"/>
        </w:rPr>
        <w:t>’</w:t>
      </w:r>
      <w:r w:rsidR="00A04101">
        <w:rPr>
          <w:rFonts w:cs="Arial"/>
        </w:rPr>
        <w:t>s</w:t>
      </w:r>
      <w:r w:rsidR="001E2079">
        <w:rPr>
          <w:rFonts w:cs="Arial"/>
        </w:rPr>
        <w:t xml:space="preserve"> </w:t>
      </w:r>
      <w:r w:rsidRPr="00C450FB">
        <w:rPr>
          <w:rFonts w:cs="Arial"/>
        </w:rPr>
        <w:t>operations.</w:t>
      </w:r>
    </w:p>
    <w:tbl>
      <w:tblPr>
        <w:tblW w:w="7456" w:type="dxa"/>
        <w:tblLook w:val="04A0" w:firstRow="1" w:lastRow="0" w:firstColumn="1" w:lastColumn="0" w:noHBand="0" w:noVBand="1"/>
      </w:tblPr>
      <w:tblGrid>
        <w:gridCol w:w="5802"/>
        <w:gridCol w:w="1418"/>
        <w:gridCol w:w="236"/>
      </w:tblGrid>
      <w:tr w:rsidRPr="00C450FB" w:rsidR="00C23C47" w:rsidTr="00C23C47" w14:paraId="122D4F0A" w14:textId="77777777">
        <w:trPr>
          <w:gridAfter w:val="1"/>
          <w:wAfter w:w="236" w:type="dxa"/>
          <w:trHeight w:val="264"/>
        </w:trPr>
        <w:tc>
          <w:tcPr>
            <w:tcW w:w="5802" w:type="dxa"/>
            <w:tcBorders>
              <w:top w:val="single" w:color="auto" w:sz="8" w:space="0"/>
              <w:left w:val="single" w:color="auto" w:sz="8" w:space="0"/>
              <w:bottom w:val="nil"/>
              <w:right w:val="nil"/>
            </w:tcBorders>
            <w:shd w:val="clear" w:color="000000" w:fill="DBE5F1"/>
            <w:noWrap/>
            <w:vAlign w:val="center"/>
            <w:hideMark/>
          </w:tcPr>
          <w:p w:rsidRPr="00C450FB" w:rsidR="00C23C47" w:rsidP="00C450FB" w:rsidRDefault="00C23C47" w14:paraId="45B99587" w14:textId="77777777">
            <w:pPr>
              <w:spacing w:after="0" w:line="240" w:lineRule="auto"/>
              <w:rPr>
                <w:rFonts w:eastAsia="Times New Roman" w:cs="Arial"/>
                <w:color w:val="000000"/>
                <w:sz w:val="20"/>
                <w:szCs w:val="20"/>
                <w:lang w:eastAsia="en-GB"/>
              </w:rPr>
            </w:pPr>
            <w:r w:rsidRPr="00C450FB">
              <w:rPr>
                <w:rFonts w:eastAsia="Times New Roman" w:cs="Arial"/>
                <w:color w:val="000000"/>
                <w:sz w:val="20"/>
                <w:szCs w:val="20"/>
                <w:lang w:eastAsia="en-GB"/>
              </w:rPr>
              <w:t> </w:t>
            </w:r>
          </w:p>
        </w:tc>
        <w:tc>
          <w:tcPr>
            <w:tcW w:w="1418" w:type="dxa"/>
            <w:tcBorders>
              <w:top w:val="single" w:color="auto" w:sz="8" w:space="0"/>
              <w:left w:val="single" w:color="auto" w:sz="8" w:space="0"/>
              <w:bottom w:val="nil"/>
              <w:right w:val="single" w:color="auto" w:sz="8" w:space="0"/>
            </w:tcBorders>
            <w:shd w:val="clear" w:color="000000" w:fill="DBE5F1"/>
            <w:noWrap/>
            <w:vAlign w:val="center"/>
            <w:hideMark/>
          </w:tcPr>
          <w:p w:rsidRPr="00C450FB" w:rsidR="00C23C47" w:rsidP="00C450FB" w:rsidRDefault="00C23C47" w14:paraId="7BAA3FC5" w14:textId="77777777">
            <w:pPr>
              <w:spacing w:after="0" w:line="240" w:lineRule="auto"/>
              <w:jc w:val="center"/>
              <w:rPr>
                <w:rFonts w:eastAsia="Times New Roman" w:cs="Arial"/>
                <w:b/>
                <w:bCs/>
                <w:color w:val="000000"/>
                <w:sz w:val="20"/>
                <w:szCs w:val="20"/>
                <w:lang w:eastAsia="en-GB"/>
              </w:rPr>
            </w:pPr>
            <w:r w:rsidRPr="00C450FB">
              <w:rPr>
                <w:rFonts w:eastAsia="Times New Roman" w:cs="Arial"/>
                <w:b/>
                <w:bCs/>
                <w:color w:val="000000"/>
                <w:sz w:val="20"/>
                <w:szCs w:val="20"/>
                <w:lang w:eastAsia="en-GB"/>
              </w:rPr>
              <w:t xml:space="preserve">General </w:t>
            </w:r>
          </w:p>
        </w:tc>
      </w:tr>
      <w:tr w:rsidRPr="00C450FB" w:rsidR="00C23C47" w:rsidTr="00C23C47" w14:paraId="259B8E51" w14:textId="77777777">
        <w:trPr>
          <w:gridAfter w:val="1"/>
          <w:wAfter w:w="236" w:type="dxa"/>
          <w:trHeight w:val="264"/>
        </w:trPr>
        <w:tc>
          <w:tcPr>
            <w:tcW w:w="5802" w:type="dxa"/>
            <w:tcBorders>
              <w:top w:val="nil"/>
              <w:left w:val="single" w:color="auto" w:sz="8" w:space="0"/>
              <w:bottom w:val="nil"/>
              <w:right w:val="nil"/>
            </w:tcBorders>
            <w:shd w:val="clear" w:color="000000" w:fill="DBE5F1"/>
            <w:noWrap/>
            <w:vAlign w:val="center"/>
            <w:hideMark/>
          </w:tcPr>
          <w:p w:rsidRPr="00C450FB" w:rsidR="00C23C47" w:rsidP="00C450FB" w:rsidRDefault="00C23C47" w14:paraId="6F3DF385" w14:textId="77777777">
            <w:pPr>
              <w:spacing w:after="0" w:line="240" w:lineRule="auto"/>
              <w:rPr>
                <w:rFonts w:eastAsia="Times New Roman" w:cs="Arial"/>
                <w:color w:val="000000"/>
                <w:sz w:val="20"/>
                <w:szCs w:val="20"/>
                <w:lang w:eastAsia="en-GB"/>
              </w:rPr>
            </w:pPr>
            <w:r w:rsidRPr="00C450FB">
              <w:rPr>
                <w:rFonts w:eastAsia="Times New Roman" w:cs="Arial"/>
                <w:color w:val="000000"/>
                <w:sz w:val="20"/>
                <w:szCs w:val="20"/>
                <w:lang w:eastAsia="en-GB"/>
              </w:rPr>
              <w:t> </w:t>
            </w:r>
          </w:p>
        </w:tc>
        <w:tc>
          <w:tcPr>
            <w:tcW w:w="1418" w:type="dxa"/>
            <w:tcBorders>
              <w:top w:val="nil"/>
              <w:left w:val="single" w:color="auto" w:sz="8" w:space="0"/>
              <w:bottom w:val="nil"/>
              <w:right w:val="single" w:color="auto" w:sz="8" w:space="0"/>
            </w:tcBorders>
            <w:shd w:val="clear" w:color="000000" w:fill="DBE5F1"/>
            <w:noWrap/>
            <w:vAlign w:val="center"/>
            <w:hideMark/>
          </w:tcPr>
          <w:p w:rsidRPr="00C450FB" w:rsidR="00C23C47" w:rsidP="00C450FB" w:rsidRDefault="00C23C47" w14:paraId="36B41AB2" w14:textId="77777777">
            <w:pPr>
              <w:spacing w:after="0" w:line="240" w:lineRule="auto"/>
              <w:jc w:val="center"/>
              <w:rPr>
                <w:rFonts w:eastAsia="Times New Roman" w:cs="Arial"/>
                <w:b/>
                <w:bCs/>
                <w:color w:val="000000"/>
                <w:sz w:val="20"/>
                <w:szCs w:val="20"/>
                <w:lang w:eastAsia="en-GB"/>
              </w:rPr>
            </w:pPr>
            <w:r w:rsidRPr="00C450FB">
              <w:rPr>
                <w:rFonts w:eastAsia="Times New Roman" w:cs="Arial"/>
                <w:b/>
                <w:bCs/>
                <w:color w:val="000000"/>
                <w:sz w:val="20"/>
                <w:szCs w:val="20"/>
                <w:lang w:eastAsia="en-GB"/>
              </w:rPr>
              <w:t>Reserves</w:t>
            </w:r>
          </w:p>
        </w:tc>
      </w:tr>
      <w:tr w:rsidRPr="00C450FB" w:rsidR="00C23C47" w:rsidTr="00C23C47" w14:paraId="6262DDEB" w14:textId="77777777">
        <w:trPr>
          <w:gridAfter w:val="1"/>
          <w:wAfter w:w="236" w:type="dxa"/>
          <w:trHeight w:val="276"/>
        </w:trPr>
        <w:tc>
          <w:tcPr>
            <w:tcW w:w="5802" w:type="dxa"/>
            <w:tcBorders>
              <w:top w:val="nil"/>
              <w:left w:val="single" w:color="auto" w:sz="8" w:space="0"/>
              <w:bottom w:val="single" w:color="auto" w:sz="8" w:space="0"/>
              <w:right w:val="nil"/>
            </w:tcBorders>
            <w:shd w:val="clear" w:color="000000" w:fill="DBE5F1"/>
            <w:noWrap/>
            <w:vAlign w:val="center"/>
            <w:hideMark/>
          </w:tcPr>
          <w:p w:rsidRPr="00C450FB" w:rsidR="00C23C47" w:rsidP="00C450FB" w:rsidRDefault="00C23C47" w14:paraId="5BAF707F" w14:textId="77777777">
            <w:pPr>
              <w:spacing w:after="0" w:line="240" w:lineRule="auto"/>
              <w:rPr>
                <w:rFonts w:eastAsia="Times New Roman" w:cs="Arial"/>
                <w:color w:val="000000"/>
                <w:sz w:val="20"/>
                <w:szCs w:val="20"/>
                <w:lang w:eastAsia="en-GB"/>
              </w:rPr>
            </w:pPr>
            <w:r w:rsidRPr="00C450FB">
              <w:rPr>
                <w:rFonts w:eastAsia="Times New Roman" w:cs="Arial"/>
                <w:color w:val="000000"/>
                <w:sz w:val="20"/>
                <w:szCs w:val="20"/>
                <w:lang w:eastAsia="en-GB"/>
              </w:rPr>
              <w:t> </w:t>
            </w:r>
          </w:p>
        </w:tc>
        <w:tc>
          <w:tcPr>
            <w:tcW w:w="1418" w:type="dxa"/>
            <w:tcBorders>
              <w:top w:val="nil"/>
              <w:left w:val="single" w:color="auto" w:sz="8" w:space="0"/>
              <w:bottom w:val="single" w:color="auto" w:sz="8" w:space="0"/>
              <w:right w:val="single" w:color="auto" w:sz="8" w:space="0"/>
            </w:tcBorders>
            <w:shd w:val="clear" w:color="000000" w:fill="DBE5F1"/>
            <w:noWrap/>
            <w:vAlign w:val="center"/>
            <w:hideMark/>
          </w:tcPr>
          <w:p w:rsidRPr="00C450FB" w:rsidR="00C23C47" w:rsidP="00C450FB" w:rsidRDefault="00C23C47" w14:paraId="747BA561" w14:textId="77777777">
            <w:pPr>
              <w:spacing w:after="0" w:line="240" w:lineRule="auto"/>
              <w:jc w:val="center"/>
              <w:rPr>
                <w:rFonts w:eastAsia="Times New Roman" w:cs="Arial"/>
                <w:b/>
                <w:bCs/>
                <w:color w:val="000000"/>
                <w:sz w:val="20"/>
                <w:szCs w:val="20"/>
                <w:lang w:eastAsia="en-GB"/>
              </w:rPr>
            </w:pPr>
            <w:r w:rsidRPr="00C450FB">
              <w:rPr>
                <w:rFonts w:eastAsia="Times New Roman" w:cs="Arial"/>
                <w:b/>
                <w:bCs/>
                <w:color w:val="000000"/>
                <w:sz w:val="20"/>
                <w:szCs w:val="20"/>
                <w:lang w:eastAsia="en-GB"/>
              </w:rPr>
              <w:t>£'000</w:t>
            </w:r>
          </w:p>
        </w:tc>
      </w:tr>
      <w:tr w:rsidRPr="00C450FB" w:rsidR="00C23C47" w:rsidTr="00C23C47" w14:paraId="0E00A909" w14:textId="77777777">
        <w:trPr>
          <w:gridAfter w:val="1"/>
          <w:wAfter w:w="236" w:type="dxa"/>
          <w:trHeight w:val="264"/>
        </w:trPr>
        <w:tc>
          <w:tcPr>
            <w:tcW w:w="5802" w:type="dxa"/>
            <w:tcBorders>
              <w:top w:val="nil"/>
              <w:left w:val="single" w:color="auto" w:sz="8" w:space="0"/>
              <w:bottom w:val="nil"/>
              <w:right w:val="nil"/>
            </w:tcBorders>
            <w:shd w:val="clear" w:color="auto" w:fill="auto"/>
            <w:noWrap/>
            <w:vAlign w:val="center"/>
            <w:hideMark/>
          </w:tcPr>
          <w:p w:rsidRPr="00C450FB" w:rsidR="00C23C47" w:rsidP="00C450FB" w:rsidRDefault="00C23C47" w14:paraId="05E869E0" w14:textId="77777777">
            <w:pPr>
              <w:spacing w:after="0" w:line="240" w:lineRule="auto"/>
              <w:rPr>
                <w:rFonts w:eastAsia="Times New Roman" w:cs="Arial"/>
                <w:b/>
                <w:bCs/>
                <w:sz w:val="20"/>
                <w:szCs w:val="20"/>
                <w:lang w:eastAsia="en-GB"/>
              </w:rPr>
            </w:pPr>
            <w:r w:rsidRPr="00C450FB">
              <w:rPr>
                <w:rFonts w:eastAsia="Times New Roman" w:cs="Arial"/>
                <w:b/>
                <w:bCs/>
                <w:sz w:val="20"/>
                <w:szCs w:val="20"/>
                <w:lang w:eastAsia="en-GB"/>
              </w:rPr>
              <w:t xml:space="preserve">Balance as </w:t>
            </w:r>
            <w:proofErr w:type="gramStart"/>
            <w:r w:rsidRPr="00C450FB">
              <w:rPr>
                <w:rFonts w:eastAsia="Times New Roman" w:cs="Arial"/>
                <w:b/>
                <w:bCs/>
                <w:sz w:val="20"/>
                <w:szCs w:val="20"/>
                <w:lang w:eastAsia="en-GB"/>
              </w:rPr>
              <w:t>at</w:t>
            </w:r>
            <w:proofErr w:type="gramEnd"/>
            <w:r w:rsidRPr="00C450FB">
              <w:rPr>
                <w:rFonts w:eastAsia="Times New Roman" w:cs="Arial"/>
                <w:b/>
                <w:bCs/>
                <w:sz w:val="20"/>
                <w:szCs w:val="20"/>
                <w:lang w:eastAsia="en-GB"/>
              </w:rPr>
              <w:t xml:space="preserve"> 1st April 2021</w:t>
            </w:r>
          </w:p>
        </w:tc>
        <w:tc>
          <w:tcPr>
            <w:tcW w:w="1418" w:type="dxa"/>
            <w:tcBorders>
              <w:top w:val="nil"/>
              <w:left w:val="single" w:color="auto" w:sz="8" w:space="0"/>
              <w:bottom w:val="nil"/>
              <w:right w:val="single" w:color="auto" w:sz="8" w:space="0"/>
            </w:tcBorders>
            <w:shd w:val="clear" w:color="auto" w:fill="auto"/>
            <w:noWrap/>
            <w:vAlign w:val="center"/>
            <w:hideMark/>
          </w:tcPr>
          <w:p w:rsidRPr="00C450FB" w:rsidR="00C23C47" w:rsidP="00C450FB" w:rsidRDefault="00C23C47" w14:paraId="40326043" w14:textId="1D1F1A6B">
            <w:pPr>
              <w:spacing w:after="0" w:line="240" w:lineRule="auto"/>
              <w:jc w:val="right"/>
              <w:rPr>
                <w:rFonts w:eastAsia="Times New Roman" w:cs="Arial"/>
                <w:b/>
                <w:bCs/>
                <w:sz w:val="20"/>
                <w:szCs w:val="20"/>
                <w:lang w:eastAsia="en-GB"/>
              </w:rPr>
            </w:pPr>
            <w:r w:rsidRPr="00C450FB">
              <w:rPr>
                <w:rFonts w:eastAsia="Times New Roman" w:cs="Arial"/>
                <w:b/>
                <w:bCs/>
                <w:sz w:val="20"/>
                <w:szCs w:val="20"/>
                <w:lang w:eastAsia="en-GB"/>
              </w:rPr>
              <w:t>77</w:t>
            </w:r>
          </w:p>
        </w:tc>
      </w:tr>
      <w:tr w:rsidRPr="00C450FB" w:rsidR="00C23C47" w:rsidTr="00C23C47" w14:paraId="12A26AC4" w14:textId="77777777">
        <w:trPr>
          <w:gridAfter w:val="1"/>
          <w:wAfter w:w="236" w:type="dxa"/>
          <w:trHeight w:val="264"/>
        </w:trPr>
        <w:tc>
          <w:tcPr>
            <w:tcW w:w="5802" w:type="dxa"/>
            <w:tcBorders>
              <w:top w:val="nil"/>
              <w:left w:val="single" w:color="auto" w:sz="8" w:space="0"/>
              <w:bottom w:val="nil"/>
              <w:right w:val="nil"/>
            </w:tcBorders>
            <w:shd w:val="clear" w:color="auto" w:fill="auto"/>
            <w:noWrap/>
            <w:vAlign w:val="center"/>
            <w:hideMark/>
          </w:tcPr>
          <w:p w:rsidRPr="00C450FB" w:rsidR="00C23C47" w:rsidP="00C450FB" w:rsidRDefault="00C23C47" w14:paraId="4A6182E7" w14:textId="77777777">
            <w:pPr>
              <w:spacing w:after="0" w:line="240" w:lineRule="auto"/>
              <w:rPr>
                <w:rFonts w:eastAsia="Times New Roman" w:cs="Arial"/>
                <w:sz w:val="20"/>
                <w:szCs w:val="20"/>
                <w:lang w:eastAsia="en-GB"/>
              </w:rPr>
            </w:pPr>
            <w:r w:rsidRPr="00C450FB">
              <w:rPr>
                <w:rFonts w:eastAsia="Times New Roman" w:cs="Arial"/>
                <w:sz w:val="20"/>
                <w:szCs w:val="20"/>
                <w:lang w:eastAsia="en-GB"/>
              </w:rPr>
              <w:t>Drawdown from reserve for approved spend</w:t>
            </w:r>
          </w:p>
        </w:tc>
        <w:tc>
          <w:tcPr>
            <w:tcW w:w="1418" w:type="dxa"/>
            <w:tcBorders>
              <w:top w:val="nil"/>
              <w:left w:val="single" w:color="auto" w:sz="8" w:space="0"/>
              <w:bottom w:val="nil"/>
              <w:right w:val="single" w:color="auto" w:sz="8" w:space="0"/>
            </w:tcBorders>
            <w:shd w:val="clear" w:color="auto" w:fill="auto"/>
            <w:noWrap/>
            <w:vAlign w:val="center"/>
            <w:hideMark/>
          </w:tcPr>
          <w:p w:rsidRPr="00C450FB" w:rsidR="00C23C47" w:rsidP="00C450FB" w:rsidRDefault="009F085B" w14:paraId="19E7C072" w14:textId="74C1BEF6">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C450FB" w:rsidR="00C23C47">
              <w:rPr>
                <w:rFonts w:eastAsia="Times New Roman" w:cs="Arial"/>
                <w:sz w:val="20"/>
                <w:szCs w:val="20"/>
                <w:lang w:eastAsia="en-GB"/>
              </w:rPr>
              <w:t>37</w:t>
            </w:r>
            <w:r>
              <w:rPr>
                <w:rFonts w:eastAsia="Times New Roman" w:cs="Arial"/>
                <w:sz w:val="20"/>
                <w:szCs w:val="20"/>
                <w:lang w:eastAsia="en-GB"/>
              </w:rPr>
              <w:t>)</w:t>
            </w:r>
          </w:p>
        </w:tc>
      </w:tr>
      <w:tr w:rsidRPr="00C450FB" w:rsidR="00C23C47" w:rsidTr="00C23C47" w14:paraId="24DA72AB" w14:textId="77777777">
        <w:trPr>
          <w:gridAfter w:val="1"/>
          <w:wAfter w:w="236" w:type="dxa"/>
          <w:trHeight w:val="264"/>
        </w:trPr>
        <w:tc>
          <w:tcPr>
            <w:tcW w:w="5802" w:type="dxa"/>
            <w:tcBorders>
              <w:top w:val="nil"/>
              <w:left w:val="single" w:color="auto" w:sz="8" w:space="0"/>
              <w:bottom w:val="nil"/>
              <w:right w:val="nil"/>
            </w:tcBorders>
            <w:shd w:val="clear" w:color="auto" w:fill="auto"/>
            <w:noWrap/>
            <w:vAlign w:val="center"/>
            <w:hideMark/>
          </w:tcPr>
          <w:p w:rsidRPr="00C450FB" w:rsidR="00C23C47" w:rsidP="00C450FB" w:rsidRDefault="00C23C47" w14:paraId="7BE6AC34" w14:textId="77777777">
            <w:pPr>
              <w:spacing w:after="0" w:line="240" w:lineRule="auto"/>
              <w:rPr>
                <w:rFonts w:eastAsia="Times New Roman" w:cs="Arial"/>
                <w:sz w:val="20"/>
                <w:szCs w:val="20"/>
                <w:lang w:eastAsia="en-GB"/>
              </w:rPr>
            </w:pPr>
            <w:r w:rsidRPr="00C450FB">
              <w:rPr>
                <w:rFonts w:eastAsia="Times New Roman" w:cs="Arial"/>
                <w:sz w:val="20"/>
                <w:szCs w:val="20"/>
                <w:lang w:eastAsia="en-GB"/>
              </w:rPr>
              <w:t xml:space="preserve">Transfer 2021/22 Underspend </w:t>
            </w:r>
          </w:p>
        </w:tc>
        <w:tc>
          <w:tcPr>
            <w:tcW w:w="1418" w:type="dxa"/>
            <w:tcBorders>
              <w:top w:val="nil"/>
              <w:left w:val="single" w:color="auto" w:sz="8" w:space="0"/>
              <w:bottom w:val="nil"/>
              <w:right w:val="single" w:color="auto" w:sz="8" w:space="0"/>
            </w:tcBorders>
            <w:shd w:val="clear" w:color="auto" w:fill="auto"/>
            <w:noWrap/>
            <w:vAlign w:val="center"/>
            <w:hideMark/>
          </w:tcPr>
          <w:p w:rsidRPr="00C450FB" w:rsidR="00C23C47" w:rsidP="00C450FB" w:rsidRDefault="00C23C47" w14:paraId="5B694046" w14:textId="5BA2DC13">
            <w:pPr>
              <w:spacing w:after="0" w:line="240" w:lineRule="auto"/>
              <w:jc w:val="right"/>
              <w:rPr>
                <w:rFonts w:eastAsia="Times New Roman" w:cs="Arial"/>
                <w:sz w:val="20"/>
                <w:szCs w:val="20"/>
                <w:lang w:eastAsia="en-GB"/>
              </w:rPr>
            </w:pPr>
            <w:r w:rsidRPr="00C450FB">
              <w:rPr>
                <w:rFonts w:eastAsia="Times New Roman" w:cs="Arial"/>
                <w:sz w:val="20"/>
                <w:szCs w:val="20"/>
                <w:lang w:eastAsia="en-GB"/>
              </w:rPr>
              <w:t>123</w:t>
            </w:r>
          </w:p>
        </w:tc>
      </w:tr>
      <w:tr w:rsidRPr="00C450FB" w:rsidR="00C23C47" w:rsidTr="00C23C47" w14:paraId="78948BC1" w14:textId="77777777">
        <w:trPr>
          <w:gridAfter w:val="1"/>
          <w:wAfter w:w="236" w:type="dxa"/>
          <w:trHeight w:val="312"/>
        </w:trPr>
        <w:tc>
          <w:tcPr>
            <w:tcW w:w="5802" w:type="dxa"/>
            <w:tcBorders>
              <w:top w:val="nil"/>
              <w:left w:val="single" w:color="auto" w:sz="8" w:space="0"/>
              <w:bottom w:val="nil"/>
              <w:right w:val="nil"/>
            </w:tcBorders>
            <w:shd w:val="clear" w:color="auto" w:fill="auto"/>
            <w:noWrap/>
            <w:vAlign w:val="center"/>
            <w:hideMark/>
          </w:tcPr>
          <w:p w:rsidRPr="00C450FB" w:rsidR="00C23C47" w:rsidP="00C450FB" w:rsidRDefault="00C23C47" w14:paraId="6B6DDCC4" w14:textId="77777777">
            <w:pPr>
              <w:spacing w:after="0" w:line="240" w:lineRule="auto"/>
              <w:rPr>
                <w:rFonts w:eastAsia="Times New Roman" w:cs="Arial"/>
                <w:b/>
                <w:bCs/>
                <w:sz w:val="20"/>
                <w:szCs w:val="20"/>
                <w:lang w:eastAsia="en-GB"/>
              </w:rPr>
            </w:pPr>
            <w:r w:rsidRPr="00C450FB">
              <w:rPr>
                <w:rFonts w:eastAsia="Times New Roman" w:cs="Arial"/>
                <w:b/>
                <w:bCs/>
                <w:sz w:val="20"/>
                <w:szCs w:val="20"/>
                <w:lang w:eastAsia="en-GB"/>
              </w:rPr>
              <w:t xml:space="preserve">Balance as </w:t>
            </w:r>
            <w:proofErr w:type="gramStart"/>
            <w:r w:rsidRPr="00C450FB">
              <w:rPr>
                <w:rFonts w:eastAsia="Times New Roman" w:cs="Arial"/>
                <w:b/>
                <w:bCs/>
                <w:sz w:val="20"/>
                <w:szCs w:val="20"/>
                <w:lang w:eastAsia="en-GB"/>
              </w:rPr>
              <w:t>at</w:t>
            </w:r>
            <w:proofErr w:type="gramEnd"/>
            <w:r w:rsidRPr="00C450FB">
              <w:rPr>
                <w:rFonts w:eastAsia="Times New Roman" w:cs="Arial"/>
                <w:b/>
                <w:bCs/>
                <w:sz w:val="20"/>
                <w:szCs w:val="20"/>
                <w:lang w:eastAsia="en-GB"/>
              </w:rPr>
              <w:t xml:space="preserve"> 31</w:t>
            </w:r>
            <w:r w:rsidRPr="00C450FB">
              <w:rPr>
                <w:rFonts w:eastAsia="Times New Roman" w:cs="Arial"/>
                <w:b/>
                <w:bCs/>
                <w:sz w:val="20"/>
                <w:szCs w:val="20"/>
                <w:vertAlign w:val="superscript"/>
                <w:lang w:eastAsia="en-GB"/>
              </w:rPr>
              <w:t>st</w:t>
            </w:r>
            <w:r w:rsidRPr="00C450FB">
              <w:rPr>
                <w:rFonts w:eastAsia="Times New Roman" w:cs="Arial"/>
                <w:b/>
                <w:bCs/>
                <w:sz w:val="20"/>
                <w:szCs w:val="20"/>
                <w:lang w:eastAsia="en-GB"/>
              </w:rPr>
              <w:t xml:space="preserve"> March 2022</w:t>
            </w:r>
          </w:p>
        </w:tc>
        <w:tc>
          <w:tcPr>
            <w:tcW w:w="1418" w:type="dxa"/>
            <w:tcBorders>
              <w:top w:val="nil"/>
              <w:left w:val="single" w:color="auto" w:sz="8" w:space="0"/>
              <w:bottom w:val="nil"/>
              <w:right w:val="single" w:color="auto" w:sz="8" w:space="0"/>
            </w:tcBorders>
            <w:shd w:val="clear" w:color="auto" w:fill="auto"/>
            <w:noWrap/>
            <w:vAlign w:val="center"/>
            <w:hideMark/>
          </w:tcPr>
          <w:p w:rsidRPr="00C450FB" w:rsidR="00C23C47" w:rsidP="00C450FB" w:rsidRDefault="00C23C47" w14:paraId="70BB3274" w14:textId="1C145CD7">
            <w:pPr>
              <w:spacing w:after="0" w:line="240" w:lineRule="auto"/>
              <w:jc w:val="right"/>
              <w:rPr>
                <w:rFonts w:eastAsia="Times New Roman" w:cs="Arial"/>
                <w:b/>
                <w:bCs/>
                <w:sz w:val="20"/>
                <w:szCs w:val="20"/>
                <w:lang w:eastAsia="en-GB"/>
              </w:rPr>
            </w:pPr>
            <w:r w:rsidRPr="00C450FB">
              <w:rPr>
                <w:rFonts w:eastAsia="Times New Roman" w:cs="Arial"/>
                <w:b/>
                <w:bCs/>
                <w:sz w:val="20"/>
                <w:szCs w:val="20"/>
                <w:lang w:eastAsia="en-GB"/>
              </w:rPr>
              <w:t>163</w:t>
            </w:r>
          </w:p>
        </w:tc>
      </w:tr>
      <w:tr w:rsidRPr="00C450FB" w:rsidR="00C23C47" w:rsidTr="00C23C47" w14:paraId="11FF8339" w14:textId="77777777">
        <w:trPr>
          <w:trHeight w:val="264"/>
        </w:trPr>
        <w:tc>
          <w:tcPr>
            <w:tcW w:w="5802" w:type="dxa"/>
            <w:tcBorders>
              <w:top w:val="nil"/>
              <w:left w:val="single" w:color="auto" w:sz="8" w:space="0"/>
              <w:bottom w:val="nil"/>
              <w:right w:val="single" w:color="auto" w:sz="8" w:space="0"/>
            </w:tcBorders>
            <w:vAlign w:val="center"/>
            <w:hideMark/>
          </w:tcPr>
          <w:p w:rsidRPr="00C450FB" w:rsidR="00C23C47" w:rsidP="00C450FB" w:rsidRDefault="00C23C47" w14:paraId="519D530E" w14:textId="77777777">
            <w:pPr>
              <w:spacing w:after="0" w:line="240" w:lineRule="auto"/>
              <w:rPr>
                <w:rFonts w:eastAsia="Times New Roman" w:cs="Arial"/>
                <w:sz w:val="8"/>
                <w:szCs w:val="8"/>
                <w:lang w:eastAsia="en-GB"/>
              </w:rPr>
            </w:pPr>
          </w:p>
        </w:tc>
        <w:tc>
          <w:tcPr>
            <w:tcW w:w="1418" w:type="dxa"/>
            <w:tcBorders>
              <w:top w:val="nil"/>
              <w:left w:val="single" w:color="auto" w:sz="8" w:space="0"/>
              <w:bottom w:val="nil"/>
              <w:right w:val="single" w:color="auto" w:sz="8" w:space="0"/>
            </w:tcBorders>
            <w:vAlign w:val="center"/>
            <w:hideMark/>
          </w:tcPr>
          <w:p w:rsidRPr="00C450FB" w:rsidR="00C23C47" w:rsidP="00C450FB" w:rsidRDefault="00C23C47" w14:paraId="1B881F19" w14:textId="77777777">
            <w:pPr>
              <w:spacing w:after="0" w:line="240" w:lineRule="auto"/>
              <w:rPr>
                <w:rFonts w:eastAsia="Times New Roman" w:cs="Arial"/>
                <w:sz w:val="8"/>
                <w:szCs w:val="8"/>
                <w:lang w:eastAsia="en-GB"/>
              </w:rPr>
            </w:pPr>
          </w:p>
        </w:tc>
        <w:tc>
          <w:tcPr>
            <w:tcW w:w="236" w:type="dxa"/>
            <w:tcBorders>
              <w:top w:val="nil"/>
              <w:left w:val="nil"/>
              <w:bottom w:val="nil"/>
              <w:right w:val="nil"/>
            </w:tcBorders>
            <w:shd w:val="clear" w:color="auto" w:fill="auto"/>
            <w:noWrap/>
            <w:vAlign w:val="bottom"/>
            <w:hideMark/>
          </w:tcPr>
          <w:p w:rsidRPr="00C450FB" w:rsidR="00C23C47" w:rsidP="00C450FB" w:rsidRDefault="00C23C47" w14:paraId="20A26B6A" w14:textId="77777777">
            <w:pPr>
              <w:spacing w:after="0" w:line="240" w:lineRule="auto"/>
              <w:jc w:val="right"/>
              <w:rPr>
                <w:rFonts w:eastAsia="Times New Roman" w:cs="Arial"/>
                <w:sz w:val="8"/>
                <w:szCs w:val="8"/>
                <w:lang w:eastAsia="en-GB"/>
              </w:rPr>
            </w:pPr>
          </w:p>
        </w:tc>
      </w:tr>
      <w:tr w:rsidRPr="00C450FB" w:rsidR="00C23C47" w:rsidTr="00C23C47" w14:paraId="5BF1FA99" w14:textId="77777777">
        <w:trPr>
          <w:trHeight w:val="312"/>
        </w:trPr>
        <w:tc>
          <w:tcPr>
            <w:tcW w:w="5802" w:type="dxa"/>
            <w:tcBorders>
              <w:top w:val="nil"/>
              <w:left w:val="single" w:color="auto" w:sz="8" w:space="0"/>
              <w:bottom w:val="nil"/>
              <w:right w:val="nil"/>
            </w:tcBorders>
            <w:shd w:val="clear" w:color="auto" w:fill="auto"/>
            <w:noWrap/>
            <w:vAlign w:val="center"/>
            <w:hideMark/>
          </w:tcPr>
          <w:p w:rsidRPr="00C450FB" w:rsidR="00C23C47" w:rsidP="00C450FB" w:rsidRDefault="00C23C47" w14:paraId="1259E0A6" w14:textId="77777777">
            <w:pPr>
              <w:spacing w:after="0" w:line="240" w:lineRule="auto"/>
              <w:rPr>
                <w:rFonts w:eastAsia="Times New Roman" w:cs="Arial"/>
                <w:b/>
                <w:bCs/>
                <w:sz w:val="20"/>
                <w:szCs w:val="20"/>
                <w:lang w:eastAsia="en-GB"/>
              </w:rPr>
            </w:pPr>
            <w:r w:rsidRPr="00C450FB">
              <w:rPr>
                <w:rFonts w:eastAsia="Times New Roman" w:cs="Arial"/>
                <w:b/>
                <w:bCs/>
                <w:sz w:val="20"/>
                <w:szCs w:val="20"/>
                <w:lang w:eastAsia="en-GB"/>
              </w:rPr>
              <w:t xml:space="preserve">Balance as </w:t>
            </w:r>
            <w:proofErr w:type="gramStart"/>
            <w:r w:rsidRPr="00C450FB">
              <w:rPr>
                <w:rFonts w:eastAsia="Times New Roman" w:cs="Arial"/>
                <w:b/>
                <w:bCs/>
                <w:sz w:val="20"/>
                <w:szCs w:val="20"/>
                <w:lang w:eastAsia="en-GB"/>
              </w:rPr>
              <w:t>at</w:t>
            </w:r>
            <w:proofErr w:type="gramEnd"/>
            <w:r w:rsidRPr="00C450FB">
              <w:rPr>
                <w:rFonts w:eastAsia="Times New Roman" w:cs="Arial"/>
                <w:b/>
                <w:bCs/>
                <w:sz w:val="20"/>
                <w:szCs w:val="20"/>
                <w:lang w:eastAsia="en-GB"/>
              </w:rPr>
              <w:t xml:space="preserve"> 1</w:t>
            </w:r>
            <w:r w:rsidRPr="00C450FB">
              <w:rPr>
                <w:rFonts w:eastAsia="Times New Roman" w:cs="Arial"/>
                <w:b/>
                <w:bCs/>
                <w:sz w:val="20"/>
                <w:szCs w:val="20"/>
                <w:vertAlign w:val="superscript"/>
                <w:lang w:eastAsia="en-GB"/>
              </w:rPr>
              <w:t>st</w:t>
            </w:r>
            <w:r w:rsidRPr="00C450FB">
              <w:rPr>
                <w:rFonts w:eastAsia="Times New Roman" w:cs="Arial"/>
                <w:b/>
                <w:bCs/>
                <w:sz w:val="20"/>
                <w:szCs w:val="20"/>
                <w:lang w:eastAsia="en-GB"/>
              </w:rPr>
              <w:t xml:space="preserve"> April 2022</w:t>
            </w:r>
          </w:p>
        </w:tc>
        <w:tc>
          <w:tcPr>
            <w:tcW w:w="1418" w:type="dxa"/>
            <w:tcBorders>
              <w:top w:val="nil"/>
              <w:left w:val="single" w:color="auto" w:sz="8" w:space="0"/>
              <w:bottom w:val="nil"/>
              <w:right w:val="single" w:color="auto" w:sz="8" w:space="0"/>
            </w:tcBorders>
            <w:shd w:val="clear" w:color="auto" w:fill="auto"/>
            <w:noWrap/>
            <w:vAlign w:val="center"/>
            <w:hideMark/>
          </w:tcPr>
          <w:p w:rsidRPr="00C450FB" w:rsidR="00C23C47" w:rsidP="00C450FB" w:rsidRDefault="00C23C47" w14:paraId="1D0C09F6" w14:textId="5CBD669E">
            <w:pPr>
              <w:spacing w:after="0" w:line="240" w:lineRule="auto"/>
              <w:jc w:val="right"/>
              <w:rPr>
                <w:rFonts w:eastAsia="Times New Roman" w:cs="Arial"/>
                <w:b/>
                <w:bCs/>
                <w:sz w:val="20"/>
                <w:szCs w:val="20"/>
                <w:lang w:eastAsia="en-GB"/>
              </w:rPr>
            </w:pPr>
            <w:r w:rsidRPr="00C450FB">
              <w:rPr>
                <w:rFonts w:eastAsia="Times New Roman" w:cs="Arial"/>
                <w:b/>
                <w:bCs/>
                <w:sz w:val="20"/>
                <w:szCs w:val="20"/>
                <w:lang w:eastAsia="en-GB"/>
              </w:rPr>
              <w:t>163</w:t>
            </w:r>
          </w:p>
        </w:tc>
        <w:tc>
          <w:tcPr>
            <w:tcW w:w="236" w:type="dxa"/>
            <w:vAlign w:val="center"/>
            <w:hideMark/>
          </w:tcPr>
          <w:p w:rsidRPr="00C450FB" w:rsidR="00C23C47" w:rsidP="00C450FB" w:rsidRDefault="00C23C47" w14:paraId="42D40C8B" w14:textId="77777777">
            <w:pPr>
              <w:spacing w:after="0" w:line="240" w:lineRule="auto"/>
              <w:rPr>
                <w:rFonts w:ascii="Times New Roman" w:hAnsi="Times New Roman" w:eastAsia="Times New Roman" w:cs="Times New Roman"/>
                <w:sz w:val="20"/>
                <w:szCs w:val="20"/>
                <w:lang w:eastAsia="en-GB"/>
              </w:rPr>
            </w:pPr>
          </w:p>
        </w:tc>
      </w:tr>
      <w:tr w:rsidRPr="00C450FB" w:rsidR="00C23C47" w:rsidTr="00C23C47" w14:paraId="22DE3629" w14:textId="77777777">
        <w:trPr>
          <w:trHeight w:val="264"/>
        </w:trPr>
        <w:tc>
          <w:tcPr>
            <w:tcW w:w="5802" w:type="dxa"/>
            <w:tcBorders>
              <w:top w:val="nil"/>
              <w:left w:val="single" w:color="auto" w:sz="8" w:space="0"/>
              <w:bottom w:val="nil"/>
              <w:right w:val="nil"/>
            </w:tcBorders>
            <w:shd w:val="clear" w:color="auto" w:fill="auto"/>
            <w:noWrap/>
            <w:vAlign w:val="center"/>
            <w:hideMark/>
          </w:tcPr>
          <w:p w:rsidRPr="00C450FB" w:rsidR="00C23C47" w:rsidP="00C450FB" w:rsidRDefault="00C23C47" w14:paraId="6D27B212" w14:textId="77777777">
            <w:pPr>
              <w:spacing w:after="0" w:line="240" w:lineRule="auto"/>
              <w:rPr>
                <w:rFonts w:eastAsia="Times New Roman" w:cs="Arial"/>
                <w:sz w:val="20"/>
                <w:szCs w:val="20"/>
                <w:lang w:eastAsia="en-GB"/>
              </w:rPr>
            </w:pPr>
            <w:r w:rsidRPr="00C450FB">
              <w:rPr>
                <w:rFonts w:eastAsia="Times New Roman" w:cs="Arial"/>
                <w:sz w:val="20"/>
                <w:szCs w:val="20"/>
                <w:lang w:eastAsia="en-GB"/>
              </w:rPr>
              <w:t>Drawdown from reserve for approved spend</w:t>
            </w:r>
          </w:p>
        </w:tc>
        <w:tc>
          <w:tcPr>
            <w:tcW w:w="1418" w:type="dxa"/>
            <w:tcBorders>
              <w:top w:val="nil"/>
              <w:left w:val="single" w:color="auto" w:sz="8" w:space="0"/>
              <w:bottom w:val="nil"/>
              <w:right w:val="single" w:color="auto" w:sz="8" w:space="0"/>
            </w:tcBorders>
            <w:shd w:val="clear" w:color="auto" w:fill="auto"/>
            <w:noWrap/>
            <w:vAlign w:val="center"/>
            <w:hideMark/>
          </w:tcPr>
          <w:p w:rsidRPr="00C450FB" w:rsidR="00C23C47" w:rsidP="00C450FB" w:rsidRDefault="009F085B" w14:paraId="26E74B5C" w14:textId="27224063">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C450FB" w:rsidR="00C23C47">
              <w:rPr>
                <w:rFonts w:eastAsia="Times New Roman" w:cs="Arial"/>
                <w:sz w:val="20"/>
                <w:szCs w:val="20"/>
                <w:lang w:eastAsia="en-GB"/>
              </w:rPr>
              <w:t>85</w:t>
            </w:r>
            <w:r>
              <w:rPr>
                <w:rFonts w:eastAsia="Times New Roman" w:cs="Arial"/>
                <w:sz w:val="20"/>
                <w:szCs w:val="20"/>
                <w:lang w:eastAsia="en-GB"/>
              </w:rPr>
              <w:t>)</w:t>
            </w:r>
          </w:p>
        </w:tc>
        <w:tc>
          <w:tcPr>
            <w:tcW w:w="236" w:type="dxa"/>
            <w:vAlign w:val="center"/>
            <w:hideMark/>
          </w:tcPr>
          <w:p w:rsidRPr="00C450FB" w:rsidR="00C23C47" w:rsidP="00C450FB" w:rsidRDefault="00C23C47" w14:paraId="28E98D4B" w14:textId="77777777">
            <w:pPr>
              <w:spacing w:after="0" w:line="240" w:lineRule="auto"/>
              <w:rPr>
                <w:rFonts w:ascii="Times New Roman" w:hAnsi="Times New Roman" w:eastAsia="Times New Roman" w:cs="Times New Roman"/>
                <w:sz w:val="20"/>
                <w:szCs w:val="20"/>
                <w:lang w:eastAsia="en-GB"/>
              </w:rPr>
            </w:pPr>
          </w:p>
        </w:tc>
      </w:tr>
      <w:tr w:rsidRPr="00C450FB" w:rsidR="00C23C47" w:rsidTr="00C23C47" w14:paraId="12BF937D" w14:textId="77777777">
        <w:trPr>
          <w:trHeight w:val="264"/>
        </w:trPr>
        <w:tc>
          <w:tcPr>
            <w:tcW w:w="5802" w:type="dxa"/>
            <w:tcBorders>
              <w:top w:val="nil"/>
              <w:left w:val="single" w:color="auto" w:sz="8" w:space="0"/>
              <w:bottom w:val="nil"/>
              <w:right w:val="nil"/>
            </w:tcBorders>
            <w:shd w:val="clear" w:color="auto" w:fill="auto"/>
            <w:noWrap/>
            <w:vAlign w:val="center"/>
            <w:hideMark/>
          </w:tcPr>
          <w:p w:rsidRPr="00C450FB" w:rsidR="00C23C47" w:rsidP="00C450FB" w:rsidRDefault="00C23C47" w14:paraId="41D09A69" w14:textId="00FF82A8">
            <w:pPr>
              <w:spacing w:after="0" w:line="240" w:lineRule="auto"/>
              <w:rPr>
                <w:rFonts w:eastAsia="Times New Roman" w:cs="Arial"/>
                <w:sz w:val="20"/>
                <w:szCs w:val="20"/>
                <w:lang w:eastAsia="en-GB"/>
              </w:rPr>
            </w:pPr>
            <w:r w:rsidRPr="00C450FB">
              <w:rPr>
                <w:rFonts w:eastAsia="Times New Roman" w:cs="Arial"/>
                <w:sz w:val="20"/>
                <w:szCs w:val="20"/>
                <w:lang w:eastAsia="en-GB"/>
              </w:rPr>
              <w:t>Transfer 202</w:t>
            </w:r>
            <w:r w:rsidR="000676FB">
              <w:rPr>
                <w:rFonts w:eastAsia="Times New Roman" w:cs="Arial"/>
                <w:sz w:val="20"/>
                <w:szCs w:val="20"/>
                <w:lang w:eastAsia="en-GB"/>
              </w:rPr>
              <w:t>2</w:t>
            </w:r>
            <w:r w:rsidRPr="00C450FB">
              <w:rPr>
                <w:rFonts w:eastAsia="Times New Roman" w:cs="Arial"/>
                <w:sz w:val="20"/>
                <w:szCs w:val="20"/>
                <w:lang w:eastAsia="en-GB"/>
              </w:rPr>
              <w:t>/2</w:t>
            </w:r>
            <w:r w:rsidR="000676FB">
              <w:rPr>
                <w:rFonts w:eastAsia="Times New Roman" w:cs="Arial"/>
                <w:sz w:val="20"/>
                <w:szCs w:val="20"/>
                <w:lang w:eastAsia="en-GB"/>
              </w:rPr>
              <w:t>3</w:t>
            </w:r>
            <w:r w:rsidRPr="00C450FB">
              <w:rPr>
                <w:rFonts w:eastAsia="Times New Roman" w:cs="Arial"/>
                <w:sz w:val="20"/>
                <w:szCs w:val="20"/>
                <w:lang w:eastAsia="en-GB"/>
              </w:rPr>
              <w:t xml:space="preserve"> Underspend</w:t>
            </w:r>
          </w:p>
        </w:tc>
        <w:tc>
          <w:tcPr>
            <w:tcW w:w="1418" w:type="dxa"/>
            <w:tcBorders>
              <w:top w:val="nil"/>
              <w:left w:val="single" w:color="auto" w:sz="8" w:space="0"/>
              <w:bottom w:val="nil"/>
              <w:right w:val="single" w:color="auto" w:sz="8" w:space="0"/>
            </w:tcBorders>
            <w:shd w:val="clear" w:color="auto" w:fill="auto"/>
            <w:noWrap/>
            <w:vAlign w:val="center"/>
            <w:hideMark/>
          </w:tcPr>
          <w:p w:rsidRPr="00C450FB" w:rsidR="00C23C47" w:rsidP="00C450FB" w:rsidRDefault="00C23C47" w14:paraId="7AC08DF9" w14:textId="51FCB328">
            <w:pPr>
              <w:spacing w:after="0" w:line="240" w:lineRule="auto"/>
              <w:jc w:val="right"/>
              <w:rPr>
                <w:rFonts w:eastAsia="Times New Roman" w:cs="Arial"/>
                <w:sz w:val="20"/>
                <w:szCs w:val="20"/>
                <w:lang w:eastAsia="en-GB"/>
              </w:rPr>
            </w:pPr>
            <w:r w:rsidRPr="00C450FB">
              <w:rPr>
                <w:rFonts w:eastAsia="Times New Roman" w:cs="Arial"/>
                <w:sz w:val="20"/>
                <w:szCs w:val="20"/>
                <w:lang w:eastAsia="en-GB"/>
              </w:rPr>
              <w:t>6</w:t>
            </w:r>
            <w:r w:rsidR="00445BBB">
              <w:rPr>
                <w:rFonts w:eastAsia="Times New Roman" w:cs="Arial"/>
                <w:sz w:val="20"/>
                <w:szCs w:val="20"/>
                <w:lang w:eastAsia="en-GB"/>
              </w:rPr>
              <w:t>4</w:t>
            </w:r>
          </w:p>
        </w:tc>
        <w:tc>
          <w:tcPr>
            <w:tcW w:w="236" w:type="dxa"/>
            <w:vAlign w:val="center"/>
            <w:hideMark/>
          </w:tcPr>
          <w:p w:rsidRPr="00C450FB" w:rsidR="00C23C47" w:rsidP="00C450FB" w:rsidRDefault="00C23C47" w14:paraId="32697523" w14:textId="77777777">
            <w:pPr>
              <w:spacing w:after="0" w:line="240" w:lineRule="auto"/>
              <w:rPr>
                <w:rFonts w:ascii="Times New Roman" w:hAnsi="Times New Roman" w:eastAsia="Times New Roman" w:cs="Times New Roman"/>
                <w:sz w:val="20"/>
                <w:szCs w:val="20"/>
                <w:lang w:eastAsia="en-GB"/>
              </w:rPr>
            </w:pPr>
          </w:p>
        </w:tc>
      </w:tr>
      <w:tr w:rsidRPr="00C450FB" w:rsidR="00C23C47" w:rsidTr="00C23C47" w14:paraId="71AD19E9" w14:textId="77777777">
        <w:trPr>
          <w:trHeight w:val="276"/>
        </w:trPr>
        <w:tc>
          <w:tcPr>
            <w:tcW w:w="5802" w:type="dxa"/>
            <w:tcBorders>
              <w:top w:val="nil"/>
              <w:left w:val="single" w:color="auto" w:sz="8" w:space="0"/>
              <w:bottom w:val="nil"/>
              <w:right w:val="nil"/>
            </w:tcBorders>
            <w:shd w:val="clear" w:color="auto" w:fill="auto"/>
            <w:noWrap/>
            <w:vAlign w:val="center"/>
            <w:hideMark/>
          </w:tcPr>
          <w:p w:rsidRPr="00C450FB" w:rsidR="00C23C47" w:rsidP="00C450FB" w:rsidRDefault="00C23C47" w14:paraId="5A89D8BB" w14:textId="77777777">
            <w:pPr>
              <w:spacing w:after="0" w:line="240" w:lineRule="auto"/>
              <w:rPr>
                <w:rFonts w:eastAsia="Times New Roman" w:cs="Arial"/>
                <w:sz w:val="20"/>
                <w:szCs w:val="20"/>
                <w:lang w:eastAsia="en-GB"/>
              </w:rPr>
            </w:pPr>
            <w:r w:rsidRPr="00C450FB">
              <w:rPr>
                <w:rFonts w:eastAsia="Times New Roman" w:cs="Arial"/>
                <w:sz w:val="20"/>
                <w:szCs w:val="20"/>
                <w:lang w:eastAsia="en-GB"/>
              </w:rPr>
              <w:t> </w:t>
            </w:r>
          </w:p>
        </w:tc>
        <w:tc>
          <w:tcPr>
            <w:tcW w:w="1418" w:type="dxa"/>
            <w:tcBorders>
              <w:top w:val="nil"/>
              <w:left w:val="single" w:color="auto" w:sz="8" w:space="0"/>
              <w:bottom w:val="nil"/>
              <w:right w:val="single" w:color="auto" w:sz="8" w:space="0"/>
            </w:tcBorders>
            <w:shd w:val="clear" w:color="auto" w:fill="auto"/>
            <w:noWrap/>
            <w:vAlign w:val="center"/>
            <w:hideMark/>
          </w:tcPr>
          <w:p w:rsidRPr="00C450FB" w:rsidR="00C23C47" w:rsidP="00C450FB" w:rsidRDefault="00C23C47" w14:paraId="754C7238" w14:textId="77777777">
            <w:pPr>
              <w:spacing w:after="0" w:line="240" w:lineRule="auto"/>
              <w:jc w:val="right"/>
              <w:rPr>
                <w:rFonts w:eastAsia="Times New Roman" w:cs="Arial"/>
                <w:sz w:val="20"/>
                <w:szCs w:val="20"/>
                <w:lang w:eastAsia="en-GB"/>
              </w:rPr>
            </w:pPr>
            <w:r w:rsidRPr="00C450FB">
              <w:rPr>
                <w:rFonts w:eastAsia="Times New Roman" w:cs="Arial"/>
                <w:sz w:val="20"/>
                <w:szCs w:val="20"/>
                <w:lang w:eastAsia="en-GB"/>
              </w:rPr>
              <w:t> </w:t>
            </w:r>
          </w:p>
        </w:tc>
        <w:tc>
          <w:tcPr>
            <w:tcW w:w="236" w:type="dxa"/>
            <w:vAlign w:val="center"/>
            <w:hideMark/>
          </w:tcPr>
          <w:p w:rsidRPr="00C450FB" w:rsidR="00C23C47" w:rsidP="00C450FB" w:rsidRDefault="00C23C47" w14:paraId="3564A8D1" w14:textId="77777777">
            <w:pPr>
              <w:spacing w:after="0" w:line="240" w:lineRule="auto"/>
              <w:rPr>
                <w:rFonts w:ascii="Times New Roman" w:hAnsi="Times New Roman" w:eastAsia="Times New Roman" w:cs="Times New Roman"/>
                <w:sz w:val="20"/>
                <w:szCs w:val="20"/>
                <w:lang w:eastAsia="en-GB"/>
              </w:rPr>
            </w:pPr>
          </w:p>
        </w:tc>
      </w:tr>
      <w:tr w:rsidRPr="00C450FB" w:rsidR="00C23C47" w:rsidTr="00C23C47" w14:paraId="316CF6F1" w14:textId="77777777">
        <w:trPr>
          <w:trHeight w:val="276"/>
        </w:trPr>
        <w:tc>
          <w:tcPr>
            <w:tcW w:w="5802" w:type="dxa"/>
            <w:tcBorders>
              <w:top w:val="single" w:color="auto" w:sz="8" w:space="0"/>
              <w:left w:val="single" w:color="auto" w:sz="8" w:space="0"/>
              <w:bottom w:val="single" w:color="auto" w:sz="8" w:space="0"/>
              <w:right w:val="nil"/>
            </w:tcBorders>
            <w:shd w:val="clear" w:color="000000" w:fill="DBE5F1"/>
            <w:noWrap/>
            <w:vAlign w:val="center"/>
            <w:hideMark/>
          </w:tcPr>
          <w:p w:rsidRPr="00C450FB" w:rsidR="00C23C47" w:rsidP="00C450FB" w:rsidRDefault="00C23C47" w14:paraId="18C8047F" w14:textId="77777777">
            <w:pPr>
              <w:spacing w:after="0" w:line="240" w:lineRule="auto"/>
              <w:rPr>
                <w:rFonts w:eastAsia="Times New Roman" w:cs="Arial"/>
                <w:b/>
                <w:bCs/>
                <w:color w:val="000000"/>
                <w:sz w:val="20"/>
                <w:szCs w:val="20"/>
                <w:lang w:eastAsia="en-GB"/>
              </w:rPr>
            </w:pPr>
            <w:r w:rsidRPr="00C450FB">
              <w:rPr>
                <w:rFonts w:eastAsia="Times New Roman" w:cs="Arial"/>
                <w:b/>
                <w:bCs/>
                <w:color w:val="000000"/>
                <w:sz w:val="20"/>
                <w:szCs w:val="20"/>
                <w:lang w:eastAsia="en-GB"/>
              </w:rPr>
              <w:t xml:space="preserve">Balance as </w:t>
            </w:r>
            <w:proofErr w:type="gramStart"/>
            <w:r w:rsidRPr="00C450FB">
              <w:rPr>
                <w:rFonts w:eastAsia="Times New Roman" w:cs="Arial"/>
                <w:b/>
                <w:bCs/>
                <w:color w:val="000000"/>
                <w:sz w:val="20"/>
                <w:szCs w:val="20"/>
                <w:lang w:eastAsia="en-GB"/>
              </w:rPr>
              <w:t>at</w:t>
            </w:r>
            <w:proofErr w:type="gramEnd"/>
            <w:r w:rsidRPr="00C450FB">
              <w:rPr>
                <w:rFonts w:eastAsia="Times New Roman" w:cs="Arial"/>
                <w:b/>
                <w:bCs/>
                <w:color w:val="000000"/>
                <w:sz w:val="20"/>
                <w:szCs w:val="20"/>
                <w:lang w:eastAsia="en-GB"/>
              </w:rPr>
              <w:t xml:space="preserve"> 31st March 2023</w:t>
            </w:r>
          </w:p>
        </w:tc>
        <w:tc>
          <w:tcPr>
            <w:tcW w:w="1418" w:type="dxa"/>
            <w:tcBorders>
              <w:top w:val="single" w:color="auto" w:sz="8" w:space="0"/>
              <w:left w:val="single" w:color="auto" w:sz="8" w:space="0"/>
              <w:bottom w:val="single" w:color="auto" w:sz="8" w:space="0"/>
              <w:right w:val="single" w:color="auto" w:sz="8" w:space="0"/>
            </w:tcBorders>
            <w:shd w:val="clear" w:color="000000" w:fill="DBE5F1"/>
            <w:noWrap/>
            <w:vAlign w:val="center"/>
            <w:hideMark/>
          </w:tcPr>
          <w:p w:rsidRPr="00C450FB" w:rsidR="00C23C47" w:rsidP="00C450FB" w:rsidRDefault="00C23C47" w14:paraId="4C61318F" w14:textId="397EF217">
            <w:pPr>
              <w:spacing w:after="0" w:line="240" w:lineRule="auto"/>
              <w:jc w:val="right"/>
              <w:rPr>
                <w:rFonts w:eastAsia="Times New Roman" w:cs="Arial"/>
                <w:b/>
                <w:bCs/>
                <w:color w:val="000000"/>
                <w:sz w:val="20"/>
                <w:szCs w:val="20"/>
                <w:lang w:eastAsia="en-GB"/>
              </w:rPr>
            </w:pPr>
            <w:r w:rsidRPr="00C450FB">
              <w:rPr>
                <w:rFonts w:eastAsia="Times New Roman" w:cs="Arial"/>
                <w:b/>
                <w:bCs/>
                <w:color w:val="000000"/>
                <w:sz w:val="20"/>
                <w:szCs w:val="20"/>
                <w:lang w:eastAsia="en-GB"/>
              </w:rPr>
              <w:t>14</w:t>
            </w:r>
            <w:r w:rsidR="00445BBB">
              <w:rPr>
                <w:rFonts w:eastAsia="Times New Roman" w:cs="Arial"/>
                <w:b/>
                <w:bCs/>
                <w:color w:val="000000"/>
                <w:sz w:val="20"/>
                <w:szCs w:val="20"/>
                <w:lang w:eastAsia="en-GB"/>
              </w:rPr>
              <w:t>2</w:t>
            </w:r>
          </w:p>
        </w:tc>
        <w:tc>
          <w:tcPr>
            <w:tcW w:w="236" w:type="dxa"/>
            <w:vAlign w:val="center"/>
            <w:hideMark/>
          </w:tcPr>
          <w:p w:rsidRPr="00C450FB" w:rsidR="00C23C47" w:rsidP="00C450FB" w:rsidRDefault="00C23C47" w14:paraId="5893994D" w14:textId="77777777">
            <w:pPr>
              <w:spacing w:after="0" w:line="240" w:lineRule="auto"/>
              <w:rPr>
                <w:rFonts w:ascii="Times New Roman" w:hAnsi="Times New Roman" w:eastAsia="Times New Roman" w:cs="Times New Roman"/>
                <w:sz w:val="20"/>
                <w:szCs w:val="20"/>
                <w:lang w:eastAsia="en-GB"/>
              </w:rPr>
            </w:pPr>
          </w:p>
        </w:tc>
      </w:tr>
    </w:tbl>
    <w:p w:rsidRPr="00614894" w:rsidR="000F06D2" w:rsidP="00F75A6B" w:rsidRDefault="000F06D2" w14:paraId="51884C5D" w14:textId="77777777">
      <w:pPr>
        <w:jc w:val="both"/>
        <w:rPr>
          <w:rFonts w:cs="Arial"/>
          <w:b/>
          <w:sz w:val="24"/>
          <w:szCs w:val="24"/>
          <w:highlight w:val="yellow"/>
        </w:rPr>
      </w:pPr>
    </w:p>
    <w:p w:rsidRPr="002B7A1C" w:rsidR="00CF1900" w:rsidP="00467BBE" w:rsidRDefault="00723164" w14:paraId="02DE7F4A" w14:textId="302F117C">
      <w:pPr>
        <w:pStyle w:val="Heading2"/>
      </w:pPr>
      <w:bookmarkStart w:name="_Toc485903725" w:id="44"/>
      <w:r w:rsidRPr="002B7A1C">
        <w:t>Movement on Unusable Reserves</w:t>
      </w:r>
      <w:bookmarkEnd w:id="44"/>
    </w:p>
    <w:tbl>
      <w:tblPr>
        <w:tblW w:w="8292" w:type="dxa"/>
        <w:tblInd w:w="-10" w:type="dxa"/>
        <w:tblLook w:val="04A0" w:firstRow="1" w:lastRow="0" w:firstColumn="1" w:lastColumn="0" w:noHBand="0" w:noVBand="1"/>
      </w:tblPr>
      <w:tblGrid>
        <w:gridCol w:w="3940"/>
        <w:gridCol w:w="1340"/>
        <w:gridCol w:w="1472"/>
        <w:gridCol w:w="1540"/>
      </w:tblGrid>
      <w:tr w:rsidRPr="004F3AFB" w:rsidR="004F3AFB" w:rsidTr="00A325B2" w14:paraId="750F1595" w14:textId="77777777">
        <w:trPr>
          <w:trHeight w:val="264"/>
        </w:trPr>
        <w:tc>
          <w:tcPr>
            <w:tcW w:w="3940" w:type="dxa"/>
            <w:tcBorders>
              <w:top w:val="single" w:color="auto" w:sz="8" w:space="0"/>
              <w:left w:val="single" w:color="auto" w:sz="8" w:space="0"/>
              <w:bottom w:val="nil"/>
              <w:right w:val="nil"/>
            </w:tcBorders>
            <w:shd w:val="clear" w:color="000000" w:fill="DBE5F1"/>
            <w:noWrap/>
            <w:vAlign w:val="center"/>
            <w:hideMark/>
          </w:tcPr>
          <w:p w:rsidRPr="004F3AFB" w:rsidR="004F3AFB" w:rsidP="004F3AFB" w:rsidRDefault="004F3AFB" w14:paraId="056943C8" w14:textId="77777777">
            <w:pPr>
              <w:spacing w:after="0" w:line="240" w:lineRule="auto"/>
              <w:rPr>
                <w:rFonts w:eastAsia="Times New Roman" w:cs="Arial"/>
                <w:color w:val="000000"/>
                <w:sz w:val="20"/>
                <w:szCs w:val="20"/>
                <w:lang w:eastAsia="en-GB"/>
              </w:rPr>
            </w:pPr>
            <w:r w:rsidRPr="004F3AFB">
              <w:rPr>
                <w:rFonts w:eastAsia="Times New Roman" w:cs="Arial"/>
                <w:color w:val="000000"/>
                <w:sz w:val="20"/>
                <w:szCs w:val="20"/>
                <w:lang w:eastAsia="en-GB"/>
              </w:rPr>
              <w:t> </w:t>
            </w:r>
          </w:p>
        </w:tc>
        <w:tc>
          <w:tcPr>
            <w:tcW w:w="1340" w:type="dxa"/>
            <w:tcBorders>
              <w:top w:val="single" w:color="auto" w:sz="8" w:space="0"/>
              <w:left w:val="single" w:color="auto" w:sz="8" w:space="0"/>
              <w:bottom w:val="nil"/>
              <w:right w:val="single" w:color="auto" w:sz="8" w:space="0"/>
            </w:tcBorders>
            <w:shd w:val="clear" w:color="000000" w:fill="DBE5F1"/>
            <w:noWrap/>
            <w:vAlign w:val="center"/>
            <w:hideMark/>
          </w:tcPr>
          <w:p w:rsidRPr="004F3AFB" w:rsidR="004F3AFB" w:rsidP="004F3AFB" w:rsidRDefault="004F3AFB" w14:paraId="325A0109" w14:textId="77777777">
            <w:pPr>
              <w:spacing w:after="0" w:line="240" w:lineRule="auto"/>
              <w:jc w:val="center"/>
              <w:rPr>
                <w:rFonts w:eastAsia="Times New Roman" w:cs="Arial"/>
                <w:b/>
                <w:bCs/>
                <w:color w:val="000000"/>
                <w:sz w:val="20"/>
                <w:szCs w:val="20"/>
                <w:lang w:eastAsia="en-GB"/>
              </w:rPr>
            </w:pPr>
            <w:r w:rsidRPr="004F3AFB">
              <w:rPr>
                <w:rFonts w:eastAsia="Times New Roman" w:cs="Arial"/>
                <w:b/>
                <w:bCs/>
                <w:color w:val="000000"/>
                <w:sz w:val="20"/>
                <w:szCs w:val="20"/>
                <w:lang w:eastAsia="en-GB"/>
              </w:rPr>
              <w:t>Pension</w:t>
            </w:r>
          </w:p>
        </w:tc>
        <w:tc>
          <w:tcPr>
            <w:tcW w:w="1472" w:type="dxa"/>
            <w:tcBorders>
              <w:top w:val="single" w:color="auto" w:sz="8" w:space="0"/>
              <w:left w:val="nil"/>
              <w:bottom w:val="nil"/>
              <w:right w:val="single" w:color="auto" w:sz="8" w:space="0"/>
            </w:tcBorders>
            <w:shd w:val="clear" w:color="000000" w:fill="DBE5F1"/>
            <w:noWrap/>
            <w:vAlign w:val="center"/>
            <w:hideMark/>
          </w:tcPr>
          <w:p w:rsidRPr="004F3AFB" w:rsidR="004F3AFB" w:rsidP="004F3AFB" w:rsidRDefault="004F3AFB" w14:paraId="41E684A5" w14:textId="77777777">
            <w:pPr>
              <w:spacing w:after="0" w:line="240" w:lineRule="auto"/>
              <w:jc w:val="center"/>
              <w:rPr>
                <w:rFonts w:eastAsia="Times New Roman" w:cs="Arial"/>
                <w:b/>
                <w:bCs/>
                <w:color w:val="000000"/>
                <w:sz w:val="20"/>
                <w:szCs w:val="20"/>
                <w:lang w:eastAsia="en-GB"/>
              </w:rPr>
            </w:pPr>
            <w:r w:rsidRPr="004F3AFB">
              <w:rPr>
                <w:rFonts w:eastAsia="Times New Roman" w:cs="Arial"/>
                <w:b/>
                <w:bCs/>
                <w:color w:val="000000"/>
                <w:sz w:val="20"/>
                <w:szCs w:val="20"/>
                <w:lang w:eastAsia="en-GB"/>
              </w:rPr>
              <w:t>Accumulated</w:t>
            </w:r>
          </w:p>
        </w:tc>
        <w:tc>
          <w:tcPr>
            <w:tcW w:w="1540" w:type="dxa"/>
            <w:tcBorders>
              <w:top w:val="single" w:color="auto" w:sz="8" w:space="0"/>
              <w:left w:val="nil"/>
              <w:bottom w:val="nil"/>
              <w:right w:val="single" w:color="auto" w:sz="8" w:space="0"/>
            </w:tcBorders>
            <w:shd w:val="clear" w:color="000000" w:fill="DBE5F1"/>
            <w:noWrap/>
            <w:vAlign w:val="center"/>
            <w:hideMark/>
          </w:tcPr>
          <w:p w:rsidRPr="004F3AFB" w:rsidR="004F3AFB" w:rsidP="004F3AFB" w:rsidRDefault="004F3AFB" w14:paraId="437B87A1" w14:textId="77777777">
            <w:pPr>
              <w:spacing w:after="0" w:line="240" w:lineRule="auto"/>
              <w:jc w:val="center"/>
              <w:rPr>
                <w:rFonts w:eastAsia="Times New Roman" w:cs="Arial"/>
                <w:b/>
                <w:bCs/>
                <w:color w:val="000000"/>
                <w:sz w:val="20"/>
                <w:szCs w:val="20"/>
                <w:lang w:eastAsia="en-GB"/>
              </w:rPr>
            </w:pPr>
            <w:r w:rsidRPr="004F3AFB">
              <w:rPr>
                <w:rFonts w:eastAsia="Times New Roman" w:cs="Arial"/>
                <w:b/>
                <w:bCs/>
                <w:color w:val="000000"/>
                <w:sz w:val="20"/>
                <w:szCs w:val="20"/>
                <w:lang w:eastAsia="en-GB"/>
              </w:rPr>
              <w:t>Total Unusable</w:t>
            </w:r>
          </w:p>
        </w:tc>
      </w:tr>
      <w:tr w:rsidRPr="004F3AFB" w:rsidR="004F3AFB" w:rsidTr="00A325B2" w14:paraId="19465A7D" w14:textId="77777777">
        <w:trPr>
          <w:trHeight w:val="264"/>
        </w:trPr>
        <w:tc>
          <w:tcPr>
            <w:tcW w:w="3940" w:type="dxa"/>
            <w:tcBorders>
              <w:top w:val="nil"/>
              <w:left w:val="single" w:color="auto" w:sz="8" w:space="0"/>
              <w:bottom w:val="nil"/>
              <w:right w:val="nil"/>
            </w:tcBorders>
            <w:shd w:val="clear" w:color="000000" w:fill="DBE5F1"/>
            <w:noWrap/>
            <w:vAlign w:val="center"/>
            <w:hideMark/>
          </w:tcPr>
          <w:p w:rsidRPr="004F3AFB" w:rsidR="004F3AFB" w:rsidP="004F3AFB" w:rsidRDefault="004F3AFB" w14:paraId="5EBBFD1F" w14:textId="77777777">
            <w:pPr>
              <w:spacing w:after="0" w:line="240" w:lineRule="auto"/>
              <w:rPr>
                <w:rFonts w:eastAsia="Times New Roman" w:cs="Arial"/>
                <w:color w:val="000000"/>
                <w:sz w:val="20"/>
                <w:szCs w:val="20"/>
                <w:lang w:eastAsia="en-GB"/>
              </w:rPr>
            </w:pPr>
            <w:r w:rsidRPr="004F3AFB">
              <w:rPr>
                <w:rFonts w:eastAsia="Times New Roman" w:cs="Arial"/>
                <w:color w:val="000000"/>
                <w:sz w:val="20"/>
                <w:szCs w:val="20"/>
                <w:lang w:eastAsia="en-GB"/>
              </w:rPr>
              <w:t> </w:t>
            </w:r>
          </w:p>
        </w:tc>
        <w:tc>
          <w:tcPr>
            <w:tcW w:w="1340" w:type="dxa"/>
            <w:tcBorders>
              <w:top w:val="nil"/>
              <w:left w:val="single" w:color="auto" w:sz="8" w:space="0"/>
              <w:bottom w:val="nil"/>
              <w:right w:val="single" w:color="auto" w:sz="8" w:space="0"/>
            </w:tcBorders>
            <w:shd w:val="clear" w:color="000000" w:fill="DBE5F1"/>
            <w:noWrap/>
            <w:vAlign w:val="center"/>
            <w:hideMark/>
          </w:tcPr>
          <w:p w:rsidRPr="004F3AFB" w:rsidR="004F3AFB" w:rsidP="004F3AFB" w:rsidRDefault="004F3AFB" w14:paraId="6CEA822C" w14:textId="77777777">
            <w:pPr>
              <w:spacing w:after="0" w:line="240" w:lineRule="auto"/>
              <w:jc w:val="center"/>
              <w:rPr>
                <w:rFonts w:eastAsia="Times New Roman" w:cs="Arial"/>
                <w:b/>
                <w:bCs/>
                <w:color w:val="000000"/>
                <w:sz w:val="20"/>
                <w:szCs w:val="20"/>
                <w:lang w:eastAsia="en-GB"/>
              </w:rPr>
            </w:pPr>
            <w:r w:rsidRPr="004F3AFB">
              <w:rPr>
                <w:rFonts w:eastAsia="Times New Roman" w:cs="Arial"/>
                <w:b/>
                <w:bCs/>
                <w:color w:val="000000"/>
                <w:sz w:val="20"/>
                <w:szCs w:val="20"/>
                <w:lang w:eastAsia="en-GB"/>
              </w:rPr>
              <w:t>Reserves</w:t>
            </w:r>
          </w:p>
        </w:tc>
        <w:tc>
          <w:tcPr>
            <w:tcW w:w="1472" w:type="dxa"/>
            <w:tcBorders>
              <w:top w:val="nil"/>
              <w:left w:val="nil"/>
              <w:bottom w:val="nil"/>
              <w:right w:val="single" w:color="auto" w:sz="8" w:space="0"/>
            </w:tcBorders>
            <w:shd w:val="clear" w:color="000000" w:fill="DBE5F1"/>
            <w:noWrap/>
            <w:vAlign w:val="center"/>
            <w:hideMark/>
          </w:tcPr>
          <w:p w:rsidRPr="004F3AFB" w:rsidR="004F3AFB" w:rsidP="004F3AFB" w:rsidRDefault="004F3AFB" w14:paraId="7B90D21C" w14:textId="77777777">
            <w:pPr>
              <w:spacing w:after="0" w:line="240" w:lineRule="auto"/>
              <w:jc w:val="center"/>
              <w:rPr>
                <w:rFonts w:eastAsia="Times New Roman" w:cs="Arial"/>
                <w:b/>
                <w:bCs/>
                <w:color w:val="000000"/>
                <w:sz w:val="20"/>
                <w:szCs w:val="20"/>
                <w:lang w:eastAsia="en-GB"/>
              </w:rPr>
            </w:pPr>
            <w:r w:rsidRPr="004F3AFB">
              <w:rPr>
                <w:rFonts w:eastAsia="Times New Roman" w:cs="Arial"/>
                <w:b/>
                <w:bCs/>
                <w:color w:val="000000"/>
                <w:sz w:val="20"/>
                <w:szCs w:val="20"/>
                <w:lang w:eastAsia="en-GB"/>
              </w:rPr>
              <w:t>Absences</w:t>
            </w:r>
          </w:p>
        </w:tc>
        <w:tc>
          <w:tcPr>
            <w:tcW w:w="1540" w:type="dxa"/>
            <w:tcBorders>
              <w:top w:val="nil"/>
              <w:left w:val="nil"/>
              <w:bottom w:val="nil"/>
              <w:right w:val="single" w:color="auto" w:sz="8" w:space="0"/>
            </w:tcBorders>
            <w:shd w:val="clear" w:color="000000" w:fill="DBE5F1"/>
            <w:noWrap/>
            <w:vAlign w:val="center"/>
            <w:hideMark/>
          </w:tcPr>
          <w:p w:rsidRPr="004F3AFB" w:rsidR="004F3AFB" w:rsidP="004F3AFB" w:rsidRDefault="004F3AFB" w14:paraId="7DD96D63" w14:textId="77777777">
            <w:pPr>
              <w:spacing w:after="0" w:line="240" w:lineRule="auto"/>
              <w:jc w:val="center"/>
              <w:rPr>
                <w:rFonts w:eastAsia="Times New Roman" w:cs="Arial"/>
                <w:b/>
                <w:bCs/>
                <w:color w:val="000000"/>
                <w:sz w:val="20"/>
                <w:szCs w:val="20"/>
                <w:lang w:eastAsia="en-GB"/>
              </w:rPr>
            </w:pPr>
            <w:r w:rsidRPr="004F3AFB">
              <w:rPr>
                <w:rFonts w:eastAsia="Times New Roman" w:cs="Arial"/>
                <w:b/>
                <w:bCs/>
                <w:color w:val="000000"/>
                <w:sz w:val="20"/>
                <w:szCs w:val="20"/>
                <w:lang w:eastAsia="en-GB"/>
              </w:rPr>
              <w:t>Reserves</w:t>
            </w:r>
          </w:p>
        </w:tc>
      </w:tr>
      <w:tr w:rsidRPr="004F3AFB" w:rsidR="004F3AFB" w:rsidTr="00A325B2" w14:paraId="6FCF2901" w14:textId="77777777">
        <w:trPr>
          <w:trHeight w:val="276"/>
        </w:trPr>
        <w:tc>
          <w:tcPr>
            <w:tcW w:w="3940" w:type="dxa"/>
            <w:tcBorders>
              <w:top w:val="nil"/>
              <w:left w:val="single" w:color="auto" w:sz="8" w:space="0"/>
              <w:bottom w:val="single" w:color="auto" w:sz="8" w:space="0"/>
              <w:right w:val="nil"/>
            </w:tcBorders>
            <w:shd w:val="clear" w:color="000000" w:fill="DBE5F1"/>
            <w:noWrap/>
            <w:vAlign w:val="center"/>
            <w:hideMark/>
          </w:tcPr>
          <w:p w:rsidRPr="004F3AFB" w:rsidR="004F3AFB" w:rsidP="004F3AFB" w:rsidRDefault="004F3AFB" w14:paraId="3B0A3A10" w14:textId="77777777">
            <w:pPr>
              <w:spacing w:after="0" w:line="240" w:lineRule="auto"/>
              <w:rPr>
                <w:rFonts w:eastAsia="Times New Roman" w:cs="Arial"/>
                <w:color w:val="000000"/>
                <w:sz w:val="20"/>
                <w:szCs w:val="20"/>
                <w:lang w:eastAsia="en-GB"/>
              </w:rPr>
            </w:pPr>
            <w:r w:rsidRPr="004F3AFB">
              <w:rPr>
                <w:rFonts w:eastAsia="Times New Roman" w:cs="Arial"/>
                <w:color w:val="000000"/>
                <w:sz w:val="20"/>
                <w:szCs w:val="20"/>
                <w:lang w:eastAsia="en-GB"/>
              </w:rPr>
              <w:t> </w:t>
            </w:r>
          </w:p>
        </w:tc>
        <w:tc>
          <w:tcPr>
            <w:tcW w:w="1340" w:type="dxa"/>
            <w:tcBorders>
              <w:top w:val="nil"/>
              <w:left w:val="single" w:color="auto" w:sz="8" w:space="0"/>
              <w:bottom w:val="single" w:color="auto" w:sz="8" w:space="0"/>
              <w:right w:val="single" w:color="auto" w:sz="8" w:space="0"/>
            </w:tcBorders>
            <w:shd w:val="clear" w:color="000000" w:fill="DBE5F1"/>
            <w:noWrap/>
            <w:vAlign w:val="center"/>
            <w:hideMark/>
          </w:tcPr>
          <w:p w:rsidRPr="004F3AFB" w:rsidR="004F3AFB" w:rsidP="004F3AFB" w:rsidRDefault="004F3AFB" w14:paraId="12624AB0" w14:textId="77777777">
            <w:pPr>
              <w:spacing w:after="0" w:line="240" w:lineRule="auto"/>
              <w:jc w:val="center"/>
              <w:rPr>
                <w:rFonts w:eastAsia="Times New Roman" w:cs="Arial"/>
                <w:b/>
                <w:bCs/>
                <w:color w:val="000000"/>
                <w:sz w:val="20"/>
                <w:szCs w:val="20"/>
                <w:lang w:eastAsia="en-GB"/>
              </w:rPr>
            </w:pPr>
            <w:r w:rsidRPr="004F3AFB">
              <w:rPr>
                <w:rFonts w:eastAsia="Times New Roman" w:cs="Arial"/>
                <w:b/>
                <w:bCs/>
                <w:color w:val="000000"/>
                <w:sz w:val="20"/>
                <w:szCs w:val="20"/>
                <w:lang w:eastAsia="en-GB"/>
              </w:rPr>
              <w:t>£'000</w:t>
            </w:r>
          </w:p>
        </w:tc>
        <w:tc>
          <w:tcPr>
            <w:tcW w:w="1472" w:type="dxa"/>
            <w:tcBorders>
              <w:top w:val="nil"/>
              <w:left w:val="nil"/>
              <w:bottom w:val="single" w:color="auto" w:sz="8" w:space="0"/>
              <w:right w:val="single" w:color="auto" w:sz="8" w:space="0"/>
            </w:tcBorders>
            <w:shd w:val="clear" w:color="000000" w:fill="DBE5F1"/>
            <w:noWrap/>
            <w:vAlign w:val="center"/>
            <w:hideMark/>
          </w:tcPr>
          <w:p w:rsidRPr="004F3AFB" w:rsidR="004F3AFB" w:rsidP="004F3AFB" w:rsidRDefault="004F3AFB" w14:paraId="5FD7F15E" w14:textId="77777777">
            <w:pPr>
              <w:spacing w:after="0" w:line="240" w:lineRule="auto"/>
              <w:jc w:val="center"/>
              <w:rPr>
                <w:rFonts w:eastAsia="Times New Roman" w:cs="Arial"/>
                <w:b/>
                <w:bCs/>
                <w:color w:val="000000"/>
                <w:sz w:val="20"/>
                <w:szCs w:val="20"/>
                <w:lang w:eastAsia="en-GB"/>
              </w:rPr>
            </w:pPr>
            <w:r w:rsidRPr="004F3AFB">
              <w:rPr>
                <w:rFonts w:eastAsia="Times New Roman" w:cs="Arial"/>
                <w:b/>
                <w:bCs/>
                <w:color w:val="000000"/>
                <w:sz w:val="20"/>
                <w:szCs w:val="20"/>
                <w:lang w:eastAsia="en-GB"/>
              </w:rPr>
              <w:t>£'000</w:t>
            </w:r>
          </w:p>
        </w:tc>
        <w:tc>
          <w:tcPr>
            <w:tcW w:w="1540" w:type="dxa"/>
            <w:tcBorders>
              <w:top w:val="nil"/>
              <w:left w:val="nil"/>
              <w:bottom w:val="single" w:color="auto" w:sz="8" w:space="0"/>
              <w:right w:val="single" w:color="auto" w:sz="8" w:space="0"/>
            </w:tcBorders>
            <w:shd w:val="clear" w:color="000000" w:fill="DBE5F1"/>
            <w:noWrap/>
            <w:vAlign w:val="center"/>
            <w:hideMark/>
          </w:tcPr>
          <w:p w:rsidRPr="004F3AFB" w:rsidR="004F3AFB" w:rsidP="004F3AFB" w:rsidRDefault="004F3AFB" w14:paraId="7A537C29" w14:textId="77777777">
            <w:pPr>
              <w:spacing w:after="0" w:line="240" w:lineRule="auto"/>
              <w:jc w:val="center"/>
              <w:rPr>
                <w:rFonts w:eastAsia="Times New Roman" w:cs="Arial"/>
                <w:b/>
                <w:bCs/>
                <w:color w:val="000000"/>
                <w:sz w:val="20"/>
                <w:szCs w:val="20"/>
                <w:lang w:eastAsia="en-GB"/>
              </w:rPr>
            </w:pPr>
            <w:r w:rsidRPr="004F3AFB">
              <w:rPr>
                <w:rFonts w:eastAsia="Times New Roman" w:cs="Arial"/>
                <w:b/>
                <w:bCs/>
                <w:color w:val="000000"/>
                <w:sz w:val="20"/>
                <w:szCs w:val="20"/>
                <w:lang w:eastAsia="en-GB"/>
              </w:rPr>
              <w:t>£'000</w:t>
            </w:r>
          </w:p>
        </w:tc>
      </w:tr>
      <w:tr w:rsidRPr="004F3AFB" w:rsidR="004F3AFB" w:rsidTr="00A325B2" w14:paraId="2D481CB8" w14:textId="77777777">
        <w:trPr>
          <w:trHeight w:val="264"/>
        </w:trPr>
        <w:tc>
          <w:tcPr>
            <w:tcW w:w="3940" w:type="dxa"/>
            <w:tcBorders>
              <w:top w:val="nil"/>
              <w:left w:val="single" w:color="auto" w:sz="8" w:space="0"/>
              <w:bottom w:val="nil"/>
              <w:right w:val="nil"/>
            </w:tcBorders>
            <w:shd w:val="clear" w:color="auto" w:fill="auto"/>
            <w:noWrap/>
            <w:vAlign w:val="center"/>
            <w:hideMark/>
          </w:tcPr>
          <w:p w:rsidRPr="004F3AFB" w:rsidR="004F3AFB" w:rsidP="004F3AFB" w:rsidRDefault="004F3AFB" w14:paraId="7964EBCB" w14:textId="77777777">
            <w:pPr>
              <w:spacing w:after="0" w:line="240" w:lineRule="auto"/>
              <w:rPr>
                <w:rFonts w:eastAsia="Times New Roman" w:cs="Arial"/>
                <w:b/>
                <w:bCs/>
                <w:sz w:val="20"/>
                <w:szCs w:val="20"/>
                <w:lang w:eastAsia="en-GB"/>
              </w:rPr>
            </w:pPr>
            <w:r w:rsidRPr="004F3AFB">
              <w:rPr>
                <w:rFonts w:eastAsia="Times New Roman" w:cs="Arial"/>
                <w:b/>
                <w:bCs/>
                <w:sz w:val="20"/>
                <w:szCs w:val="20"/>
                <w:lang w:eastAsia="en-GB"/>
              </w:rPr>
              <w:t xml:space="preserve">Balance as </w:t>
            </w:r>
            <w:proofErr w:type="gramStart"/>
            <w:r w:rsidRPr="004F3AFB">
              <w:rPr>
                <w:rFonts w:eastAsia="Times New Roman" w:cs="Arial"/>
                <w:b/>
                <w:bCs/>
                <w:sz w:val="20"/>
                <w:szCs w:val="20"/>
                <w:lang w:eastAsia="en-GB"/>
              </w:rPr>
              <w:t>at</w:t>
            </w:r>
            <w:proofErr w:type="gramEnd"/>
            <w:r w:rsidRPr="004F3AFB">
              <w:rPr>
                <w:rFonts w:eastAsia="Times New Roman" w:cs="Arial"/>
                <w:b/>
                <w:bCs/>
                <w:sz w:val="20"/>
                <w:szCs w:val="20"/>
                <w:lang w:eastAsia="en-GB"/>
              </w:rPr>
              <w:t xml:space="preserve"> 1st April 2021</w:t>
            </w:r>
          </w:p>
        </w:tc>
        <w:tc>
          <w:tcPr>
            <w:tcW w:w="1340" w:type="dxa"/>
            <w:tcBorders>
              <w:top w:val="nil"/>
              <w:left w:val="single" w:color="auto" w:sz="8" w:space="0"/>
              <w:bottom w:val="nil"/>
              <w:right w:val="single" w:color="auto" w:sz="8" w:space="0"/>
            </w:tcBorders>
            <w:shd w:val="clear" w:color="auto" w:fill="auto"/>
            <w:noWrap/>
            <w:vAlign w:val="center"/>
            <w:hideMark/>
          </w:tcPr>
          <w:p w:rsidRPr="004F3AFB" w:rsidR="004F3AFB" w:rsidP="004F3AFB" w:rsidRDefault="009F085B" w14:paraId="2FB6C242" w14:textId="451F9F09">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F3AFB" w:rsidR="004F3AFB">
              <w:rPr>
                <w:rFonts w:eastAsia="Times New Roman" w:cs="Arial"/>
                <w:b/>
                <w:bCs/>
                <w:sz w:val="20"/>
                <w:szCs w:val="20"/>
                <w:lang w:eastAsia="en-GB"/>
              </w:rPr>
              <w:t>4,040</w:t>
            </w:r>
            <w:r>
              <w:rPr>
                <w:rFonts w:eastAsia="Times New Roman" w:cs="Arial"/>
                <w:b/>
                <w:bCs/>
                <w:sz w:val="20"/>
                <w:szCs w:val="20"/>
                <w:lang w:eastAsia="en-GB"/>
              </w:rPr>
              <w:t>)</w:t>
            </w:r>
          </w:p>
        </w:tc>
        <w:tc>
          <w:tcPr>
            <w:tcW w:w="1472" w:type="dxa"/>
            <w:tcBorders>
              <w:top w:val="nil"/>
              <w:left w:val="nil"/>
              <w:bottom w:val="nil"/>
              <w:right w:val="single" w:color="auto" w:sz="8" w:space="0"/>
            </w:tcBorders>
            <w:shd w:val="clear" w:color="auto" w:fill="auto"/>
            <w:noWrap/>
            <w:vAlign w:val="center"/>
            <w:hideMark/>
          </w:tcPr>
          <w:p w:rsidRPr="004F3AFB" w:rsidR="004F3AFB" w:rsidP="004F3AFB" w:rsidRDefault="009F085B" w14:paraId="11472D07" w14:textId="5D34A671">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F3AFB" w:rsidR="004F3AFB">
              <w:rPr>
                <w:rFonts w:eastAsia="Times New Roman" w:cs="Arial"/>
                <w:b/>
                <w:bCs/>
                <w:sz w:val="20"/>
                <w:szCs w:val="20"/>
                <w:lang w:eastAsia="en-GB"/>
              </w:rPr>
              <w:t>42</w:t>
            </w:r>
            <w:r>
              <w:rPr>
                <w:rFonts w:eastAsia="Times New Roman" w:cs="Arial"/>
                <w:b/>
                <w:bCs/>
                <w:sz w:val="20"/>
                <w:szCs w:val="20"/>
                <w:lang w:eastAsia="en-GB"/>
              </w:rPr>
              <w:t>)</w:t>
            </w:r>
          </w:p>
        </w:tc>
        <w:tc>
          <w:tcPr>
            <w:tcW w:w="1540" w:type="dxa"/>
            <w:tcBorders>
              <w:top w:val="nil"/>
              <w:left w:val="nil"/>
              <w:bottom w:val="nil"/>
              <w:right w:val="single" w:color="auto" w:sz="8" w:space="0"/>
            </w:tcBorders>
            <w:shd w:val="clear" w:color="auto" w:fill="auto"/>
            <w:noWrap/>
            <w:vAlign w:val="center"/>
            <w:hideMark/>
          </w:tcPr>
          <w:p w:rsidRPr="004F3AFB" w:rsidR="004F3AFB" w:rsidP="004F3AFB" w:rsidRDefault="009F085B" w14:paraId="72973138" w14:textId="004C60CA">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F3AFB" w:rsidR="004F3AFB">
              <w:rPr>
                <w:rFonts w:eastAsia="Times New Roman" w:cs="Arial"/>
                <w:b/>
                <w:bCs/>
                <w:sz w:val="20"/>
                <w:szCs w:val="20"/>
                <w:lang w:eastAsia="en-GB"/>
              </w:rPr>
              <w:t>4,082</w:t>
            </w:r>
            <w:r>
              <w:rPr>
                <w:rFonts w:eastAsia="Times New Roman" w:cs="Arial"/>
                <w:b/>
                <w:bCs/>
                <w:sz w:val="20"/>
                <w:szCs w:val="20"/>
                <w:lang w:eastAsia="en-GB"/>
              </w:rPr>
              <w:t>)</w:t>
            </w:r>
          </w:p>
        </w:tc>
      </w:tr>
      <w:tr w:rsidRPr="004F3AFB" w:rsidR="004F3AFB" w:rsidTr="00A325B2" w14:paraId="6E50D2FD" w14:textId="77777777">
        <w:trPr>
          <w:trHeight w:val="264"/>
        </w:trPr>
        <w:tc>
          <w:tcPr>
            <w:tcW w:w="3940" w:type="dxa"/>
            <w:tcBorders>
              <w:top w:val="nil"/>
              <w:left w:val="single" w:color="auto" w:sz="8" w:space="0"/>
              <w:bottom w:val="nil"/>
              <w:right w:val="nil"/>
            </w:tcBorders>
            <w:shd w:val="clear" w:color="auto" w:fill="auto"/>
            <w:noWrap/>
            <w:vAlign w:val="center"/>
            <w:hideMark/>
          </w:tcPr>
          <w:p w:rsidRPr="004F3AFB" w:rsidR="004F3AFB" w:rsidP="004F3AFB" w:rsidRDefault="004F3AFB" w14:paraId="42827D8F" w14:textId="77777777">
            <w:pPr>
              <w:spacing w:after="0" w:line="240" w:lineRule="auto"/>
              <w:rPr>
                <w:rFonts w:eastAsia="Times New Roman" w:cs="Arial"/>
                <w:sz w:val="20"/>
                <w:szCs w:val="20"/>
                <w:lang w:eastAsia="en-GB"/>
              </w:rPr>
            </w:pPr>
            <w:r w:rsidRPr="004F3AFB">
              <w:rPr>
                <w:rFonts w:eastAsia="Times New Roman" w:cs="Arial"/>
                <w:sz w:val="20"/>
                <w:szCs w:val="20"/>
                <w:lang w:eastAsia="en-GB"/>
              </w:rPr>
              <w:t>Increase/(Decrease)</w:t>
            </w:r>
          </w:p>
        </w:tc>
        <w:tc>
          <w:tcPr>
            <w:tcW w:w="1340" w:type="dxa"/>
            <w:tcBorders>
              <w:top w:val="nil"/>
              <w:left w:val="single" w:color="auto" w:sz="8" w:space="0"/>
              <w:bottom w:val="nil"/>
              <w:right w:val="single" w:color="auto" w:sz="8" w:space="0"/>
            </w:tcBorders>
            <w:shd w:val="clear" w:color="auto" w:fill="auto"/>
            <w:noWrap/>
            <w:vAlign w:val="center"/>
            <w:hideMark/>
          </w:tcPr>
          <w:p w:rsidRPr="004F3AFB" w:rsidR="004F3AFB" w:rsidP="004F3AFB" w:rsidRDefault="004F3AFB" w14:paraId="2317B210" w14:textId="4B97AF9C">
            <w:pPr>
              <w:spacing w:after="0" w:line="240" w:lineRule="auto"/>
              <w:jc w:val="right"/>
              <w:rPr>
                <w:rFonts w:eastAsia="Times New Roman" w:cs="Arial"/>
                <w:sz w:val="20"/>
                <w:szCs w:val="20"/>
                <w:lang w:eastAsia="en-GB"/>
              </w:rPr>
            </w:pPr>
            <w:r w:rsidRPr="004F3AFB">
              <w:rPr>
                <w:rFonts w:eastAsia="Times New Roman" w:cs="Arial"/>
                <w:sz w:val="20"/>
                <w:szCs w:val="20"/>
                <w:lang w:eastAsia="en-GB"/>
              </w:rPr>
              <w:t>560</w:t>
            </w:r>
          </w:p>
        </w:tc>
        <w:tc>
          <w:tcPr>
            <w:tcW w:w="1472" w:type="dxa"/>
            <w:tcBorders>
              <w:top w:val="nil"/>
              <w:left w:val="nil"/>
              <w:bottom w:val="nil"/>
              <w:right w:val="single" w:color="auto" w:sz="8" w:space="0"/>
            </w:tcBorders>
            <w:shd w:val="clear" w:color="auto" w:fill="auto"/>
            <w:noWrap/>
            <w:vAlign w:val="center"/>
            <w:hideMark/>
          </w:tcPr>
          <w:p w:rsidRPr="004F3AFB" w:rsidR="004F3AFB" w:rsidP="004F3AFB" w:rsidRDefault="004F3AFB" w14:paraId="5F16E4DB" w14:textId="4BF04852">
            <w:pPr>
              <w:spacing w:after="0" w:line="240" w:lineRule="auto"/>
              <w:jc w:val="right"/>
              <w:rPr>
                <w:rFonts w:eastAsia="Times New Roman" w:cs="Arial"/>
                <w:sz w:val="20"/>
                <w:szCs w:val="20"/>
                <w:lang w:eastAsia="en-GB"/>
              </w:rPr>
            </w:pPr>
            <w:r w:rsidRPr="004F3AFB">
              <w:rPr>
                <w:rFonts w:eastAsia="Times New Roman" w:cs="Arial"/>
                <w:sz w:val="20"/>
                <w:szCs w:val="20"/>
                <w:lang w:eastAsia="en-GB"/>
              </w:rPr>
              <w:t>23</w:t>
            </w:r>
          </w:p>
        </w:tc>
        <w:tc>
          <w:tcPr>
            <w:tcW w:w="1540" w:type="dxa"/>
            <w:tcBorders>
              <w:top w:val="nil"/>
              <w:left w:val="nil"/>
              <w:bottom w:val="nil"/>
              <w:right w:val="single" w:color="auto" w:sz="8" w:space="0"/>
            </w:tcBorders>
            <w:shd w:val="clear" w:color="auto" w:fill="auto"/>
            <w:noWrap/>
            <w:vAlign w:val="center"/>
            <w:hideMark/>
          </w:tcPr>
          <w:p w:rsidRPr="004F3AFB" w:rsidR="004F3AFB" w:rsidP="004F3AFB" w:rsidRDefault="004F3AFB" w14:paraId="0C56859F" w14:textId="185D4E03">
            <w:pPr>
              <w:spacing w:after="0" w:line="240" w:lineRule="auto"/>
              <w:jc w:val="right"/>
              <w:rPr>
                <w:rFonts w:eastAsia="Times New Roman" w:cs="Arial"/>
                <w:sz w:val="20"/>
                <w:szCs w:val="20"/>
                <w:lang w:eastAsia="en-GB"/>
              </w:rPr>
            </w:pPr>
            <w:r w:rsidRPr="004F3AFB">
              <w:rPr>
                <w:rFonts w:eastAsia="Times New Roman" w:cs="Arial"/>
                <w:sz w:val="20"/>
                <w:szCs w:val="20"/>
                <w:lang w:eastAsia="en-GB"/>
              </w:rPr>
              <w:t>583</w:t>
            </w:r>
          </w:p>
        </w:tc>
      </w:tr>
      <w:tr w:rsidRPr="004F3AFB" w:rsidR="004F3AFB" w:rsidTr="00A325B2" w14:paraId="0780BD08" w14:textId="77777777">
        <w:trPr>
          <w:trHeight w:val="312"/>
        </w:trPr>
        <w:tc>
          <w:tcPr>
            <w:tcW w:w="3940" w:type="dxa"/>
            <w:tcBorders>
              <w:top w:val="nil"/>
              <w:left w:val="single" w:color="auto" w:sz="8" w:space="0"/>
              <w:bottom w:val="nil"/>
              <w:right w:val="nil"/>
            </w:tcBorders>
            <w:shd w:val="clear" w:color="auto" w:fill="auto"/>
            <w:noWrap/>
            <w:vAlign w:val="center"/>
            <w:hideMark/>
          </w:tcPr>
          <w:p w:rsidRPr="004F3AFB" w:rsidR="004F3AFB" w:rsidP="004F3AFB" w:rsidRDefault="004F3AFB" w14:paraId="2DBB36E3" w14:textId="77777777">
            <w:pPr>
              <w:spacing w:after="0" w:line="240" w:lineRule="auto"/>
              <w:rPr>
                <w:rFonts w:eastAsia="Times New Roman" w:cs="Arial"/>
                <w:b/>
                <w:bCs/>
                <w:sz w:val="20"/>
                <w:szCs w:val="20"/>
                <w:lang w:eastAsia="en-GB"/>
              </w:rPr>
            </w:pPr>
            <w:r w:rsidRPr="004F3AFB">
              <w:rPr>
                <w:rFonts w:eastAsia="Times New Roman" w:cs="Arial"/>
                <w:b/>
                <w:bCs/>
                <w:sz w:val="20"/>
                <w:szCs w:val="20"/>
                <w:lang w:eastAsia="en-GB"/>
              </w:rPr>
              <w:t xml:space="preserve">Balance as </w:t>
            </w:r>
            <w:proofErr w:type="gramStart"/>
            <w:r w:rsidRPr="004F3AFB">
              <w:rPr>
                <w:rFonts w:eastAsia="Times New Roman" w:cs="Arial"/>
                <w:b/>
                <w:bCs/>
                <w:sz w:val="20"/>
                <w:szCs w:val="20"/>
                <w:lang w:eastAsia="en-GB"/>
              </w:rPr>
              <w:t>at</w:t>
            </w:r>
            <w:proofErr w:type="gramEnd"/>
            <w:r w:rsidRPr="004F3AFB">
              <w:rPr>
                <w:rFonts w:eastAsia="Times New Roman" w:cs="Arial"/>
                <w:b/>
                <w:bCs/>
                <w:sz w:val="20"/>
                <w:szCs w:val="20"/>
                <w:lang w:eastAsia="en-GB"/>
              </w:rPr>
              <w:t xml:space="preserve"> 31</w:t>
            </w:r>
            <w:r w:rsidRPr="004F3AFB">
              <w:rPr>
                <w:rFonts w:eastAsia="Times New Roman" w:cs="Arial"/>
                <w:b/>
                <w:bCs/>
                <w:sz w:val="20"/>
                <w:szCs w:val="20"/>
                <w:vertAlign w:val="superscript"/>
                <w:lang w:eastAsia="en-GB"/>
              </w:rPr>
              <w:t>st</w:t>
            </w:r>
            <w:r w:rsidRPr="004F3AFB">
              <w:rPr>
                <w:rFonts w:eastAsia="Times New Roman" w:cs="Arial"/>
                <w:b/>
                <w:bCs/>
                <w:sz w:val="20"/>
                <w:szCs w:val="20"/>
                <w:lang w:eastAsia="en-GB"/>
              </w:rPr>
              <w:t xml:space="preserve"> March 2022</w:t>
            </w:r>
          </w:p>
        </w:tc>
        <w:tc>
          <w:tcPr>
            <w:tcW w:w="1340" w:type="dxa"/>
            <w:tcBorders>
              <w:top w:val="nil"/>
              <w:left w:val="single" w:color="auto" w:sz="8" w:space="0"/>
              <w:bottom w:val="nil"/>
              <w:right w:val="single" w:color="auto" w:sz="8" w:space="0"/>
            </w:tcBorders>
            <w:shd w:val="clear" w:color="auto" w:fill="auto"/>
            <w:noWrap/>
            <w:vAlign w:val="center"/>
            <w:hideMark/>
          </w:tcPr>
          <w:p w:rsidRPr="004F3AFB" w:rsidR="004F3AFB" w:rsidP="004F3AFB" w:rsidRDefault="009F085B" w14:paraId="0235696D" w14:textId="3E4816BD">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F3AFB" w:rsidR="004F3AFB">
              <w:rPr>
                <w:rFonts w:eastAsia="Times New Roman" w:cs="Arial"/>
                <w:b/>
                <w:bCs/>
                <w:sz w:val="20"/>
                <w:szCs w:val="20"/>
                <w:lang w:eastAsia="en-GB"/>
              </w:rPr>
              <w:t>3,480</w:t>
            </w:r>
            <w:r>
              <w:rPr>
                <w:rFonts w:eastAsia="Times New Roman" w:cs="Arial"/>
                <w:b/>
                <w:bCs/>
                <w:sz w:val="20"/>
                <w:szCs w:val="20"/>
                <w:lang w:eastAsia="en-GB"/>
              </w:rPr>
              <w:t>)</w:t>
            </w:r>
          </w:p>
        </w:tc>
        <w:tc>
          <w:tcPr>
            <w:tcW w:w="1472" w:type="dxa"/>
            <w:tcBorders>
              <w:top w:val="nil"/>
              <w:left w:val="nil"/>
              <w:bottom w:val="nil"/>
              <w:right w:val="single" w:color="auto" w:sz="8" w:space="0"/>
            </w:tcBorders>
            <w:shd w:val="clear" w:color="auto" w:fill="auto"/>
            <w:noWrap/>
            <w:vAlign w:val="center"/>
            <w:hideMark/>
          </w:tcPr>
          <w:p w:rsidRPr="004F3AFB" w:rsidR="004F3AFB" w:rsidP="004F3AFB" w:rsidRDefault="009F085B" w14:paraId="561A2E99" w14:textId="6D0F5CB9">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F3AFB" w:rsidR="004F3AFB">
              <w:rPr>
                <w:rFonts w:eastAsia="Times New Roman" w:cs="Arial"/>
                <w:b/>
                <w:bCs/>
                <w:sz w:val="20"/>
                <w:szCs w:val="20"/>
                <w:lang w:eastAsia="en-GB"/>
              </w:rPr>
              <w:t>19</w:t>
            </w:r>
            <w:r>
              <w:rPr>
                <w:rFonts w:eastAsia="Times New Roman" w:cs="Arial"/>
                <w:b/>
                <w:bCs/>
                <w:sz w:val="20"/>
                <w:szCs w:val="20"/>
                <w:lang w:eastAsia="en-GB"/>
              </w:rPr>
              <w:t>)</w:t>
            </w:r>
          </w:p>
        </w:tc>
        <w:tc>
          <w:tcPr>
            <w:tcW w:w="1540" w:type="dxa"/>
            <w:tcBorders>
              <w:top w:val="nil"/>
              <w:left w:val="nil"/>
              <w:bottom w:val="nil"/>
              <w:right w:val="single" w:color="auto" w:sz="8" w:space="0"/>
            </w:tcBorders>
            <w:shd w:val="clear" w:color="auto" w:fill="auto"/>
            <w:noWrap/>
            <w:vAlign w:val="center"/>
            <w:hideMark/>
          </w:tcPr>
          <w:p w:rsidRPr="004F3AFB" w:rsidR="004F3AFB" w:rsidP="004F3AFB" w:rsidRDefault="009F085B" w14:paraId="457A7FAC" w14:textId="1C47CFA1">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F3AFB" w:rsidR="004F3AFB">
              <w:rPr>
                <w:rFonts w:eastAsia="Times New Roman" w:cs="Arial"/>
                <w:b/>
                <w:bCs/>
                <w:sz w:val="20"/>
                <w:szCs w:val="20"/>
                <w:lang w:eastAsia="en-GB"/>
              </w:rPr>
              <w:t>3,499</w:t>
            </w:r>
            <w:r>
              <w:rPr>
                <w:rFonts w:eastAsia="Times New Roman" w:cs="Arial"/>
                <w:b/>
                <w:bCs/>
                <w:sz w:val="20"/>
                <w:szCs w:val="20"/>
                <w:lang w:eastAsia="en-GB"/>
              </w:rPr>
              <w:t>)</w:t>
            </w:r>
          </w:p>
        </w:tc>
      </w:tr>
      <w:tr w:rsidRPr="004F3AFB" w:rsidR="004F3AFB" w:rsidTr="00A325B2" w14:paraId="61271277" w14:textId="77777777">
        <w:trPr>
          <w:trHeight w:val="264"/>
        </w:trPr>
        <w:tc>
          <w:tcPr>
            <w:tcW w:w="3940" w:type="dxa"/>
            <w:tcBorders>
              <w:top w:val="nil"/>
              <w:left w:val="single" w:color="auto" w:sz="8" w:space="0"/>
              <w:bottom w:val="nil"/>
              <w:right w:val="nil"/>
            </w:tcBorders>
            <w:shd w:val="clear" w:color="auto" w:fill="auto"/>
            <w:noWrap/>
            <w:vAlign w:val="center"/>
            <w:hideMark/>
          </w:tcPr>
          <w:p w:rsidRPr="004F3AFB" w:rsidR="004F3AFB" w:rsidP="004F3AFB" w:rsidRDefault="004F3AFB" w14:paraId="70E0A3AF" w14:textId="77777777">
            <w:pPr>
              <w:spacing w:after="0" w:line="240" w:lineRule="auto"/>
              <w:rPr>
                <w:rFonts w:eastAsia="Times New Roman" w:cs="Arial"/>
                <w:sz w:val="20"/>
                <w:szCs w:val="20"/>
                <w:lang w:eastAsia="en-GB"/>
              </w:rPr>
            </w:pPr>
            <w:r w:rsidRPr="004F3AFB">
              <w:rPr>
                <w:rFonts w:eastAsia="Times New Roman" w:cs="Arial"/>
                <w:sz w:val="20"/>
                <w:szCs w:val="20"/>
                <w:lang w:eastAsia="en-GB"/>
              </w:rPr>
              <w:t> </w:t>
            </w:r>
          </w:p>
        </w:tc>
        <w:tc>
          <w:tcPr>
            <w:tcW w:w="1340" w:type="dxa"/>
            <w:vMerge w:val="restart"/>
            <w:tcBorders>
              <w:top w:val="nil"/>
              <w:left w:val="single" w:color="auto" w:sz="8" w:space="0"/>
              <w:bottom w:val="nil"/>
              <w:right w:val="single" w:color="auto" w:sz="8" w:space="0"/>
            </w:tcBorders>
            <w:shd w:val="clear" w:color="auto" w:fill="auto"/>
            <w:noWrap/>
            <w:vAlign w:val="center"/>
            <w:hideMark/>
          </w:tcPr>
          <w:p w:rsidRPr="004F3AFB" w:rsidR="004F3AFB" w:rsidP="004F3AFB" w:rsidRDefault="009F085B" w14:paraId="74F47139" w14:textId="1CAB36BD">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F3AFB" w:rsidR="004F3AFB">
              <w:rPr>
                <w:rFonts w:eastAsia="Times New Roman" w:cs="Arial"/>
                <w:b/>
                <w:bCs/>
                <w:sz w:val="20"/>
                <w:szCs w:val="20"/>
                <w:lang w:eastAsia="en-GB"/>
              </w:rPr>
              <w:t>3,480</w:t>
            </w:r>
            <w:r>
              <w:rPr>
                <w:rFonts w:eastAsia="Times New Roman" w:cs="Arial"/>
                <w:b/>
                <w:bCs/>
                <w:sz w:val="20"/>
                <w:szCs w:val="20"/>
                <w:lang w:eastAsia="en-GB"/>
              </w:rPr>
              <w:t>)</w:t>
            </w:r>
          </w:p>
        </w:tc>
        <w:tc>
          <w:tcPr>
            <w:tcW w:w="1472" w:type="dxa"/>
            <w:vMerge w:val="restart"/>
            <w:tcBorders>
              <w:top w:val="nil"/>
              <w:left w:val="single" w:color="auto" w:sz="8" w:space="0"/>
              <w:bottom w:val="nil"/>
              <w:right w:val="single" w:color="auto" w:sz="8" w:space="0"/>
            </w:tcBorders>
            <w:shd w:val="clear" w:color="auto" w:fill="auto"/>
            <w:noWrap/>
            <w:vAlign w:val="center"/>
            <w:hideMark/>
          </w:tcPr>
          <w:p w:rsidRPr="004F3AFB" w:rsidR="004F3AFB" w:rsidP="004F3AFB" w:rsidRDefault="009F085B" w14:paraId="60A89343" w14:textId="206FFDDC">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F3AFB" w:rsidR="004F3AFB">
              <w:rPr>
                <w:rFonts w:eastAsia="Times New Roman" w:cs="Arial"/>
                <w:b/>
                <w:bCs/>
                <w:sz w:val="20"/>
                <w:szCs w:val="20"/>
                <w:lang w:eastAsia="en-GB"/>
              </w:rPr>
              <w:t>19</w:t>
            </w:r>
            <w:r>
              <w:rPr>
                <w:rFonts w:eastAsia="Times New Roman" w:cs="Arial"/>
                <w:b/>
                <w:bCs/>
                <w:sz w:val="20"/>
                <w:szCs w:val="20"/>
                <w:lang w:eastAsia="en-GB"/>
              </w:rPr>
              <w:t>)</w:t>
            </w:r>
          </w:p>
        </w:tc>
        <w:tc>
          <w:tcPr>
            <w:tcW w:w="1540" w:type="dxa"/>
            <w:vMerge w:val="restart"/>
            <w:tcBorders>
              <w:top w:val="nil"/>
              <w:left w:val="single" w:color="auto" w:sz="8" w:space="0"/>
              <w:bottom w:val="nil"/>
              <w:right w:val="single" w:color="auto" w:sz="8" w:space="0"/>
            </w:tcBorders>
            <w:shd w:val="clear" w:color="auto" w:fill="auto"/>
            <w:noWrap/>
            <w:vAlign w:val="center"/>
            <w:hideMark/>
          </w:tcPr>
          <w:p w:rsidRPr="004F3AFB" w:rsidR="004F3AFB" w:rsidP="004F3AFB" w:rsidRDefault="009F085B" w14:paraId="3E265F69" w14:textId="1A270BBD">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F3AFB" w:rsidR="004F3AFB">
              <w:rPr>
                <w:rFonts w:eastAsia="Times New Roman" w:cs="Arial"/>
                <w:b/>
                <w:bCs/>
                <w:sz w:val="20"/>
                <w:szCs w:val="20"/>
                <w:lang w:eastAsia="en-GB"/>
              </w:rPr>
              <w:t>3,499</w:t>
            </w:r>
            <w:r>
              <w:rPr>
                <w:rFonts w:eastAsia="Times New Roman" w:cs="Arial"/>
                <w:b/>
                <w:bCs/>
                <w:sz w:val="20"/>
                <w:szCs w:val="20"/>
                <w:lang w:eastAsia="en-GB"/>
              </w:rPr>
              <w:t>)</w:t>
            </w:r>
          </w:p>
        </w:tc>
      </w:tr>
      <w:tr w:rsidRPr="004F3AFB" w:rsidR="004F3AFB" w:rsidTr="00A325B2" w14:paraId="616E6970" w14:textId="77777777">
        <w:trPr>
          <w:trHeight w:val="312"/>
        </w:trPr>
        <w:tc>
          <w:tcPr>
            <w:tcW w:w="3940" w:type="dxa"/>
            <w:tcBorders>
              <w:top w:val="nil"/>
              <w:left w:val="single" w:color="auto" w:sz="8" w:space="0"/>
              <w:bottom w:val="nil"/>
              <w:right w:val="nil"/>
            </w:tcBorders>
            <w:shd w:val="clear" w:color="auto" w:fill="auto"/>
            <w:noWrap/>
            <w:vAlign w:val="center"/>
            <w:hideMark/>
          </w:tcPr>
          <w:p w:rsidRPr="004F3AFB" w:rsidR="004F3AFB" w:rsidP="004F3AFB" w:rsidRDefault="004F3AFB" w14:paraId="32FC3879" w14:textId="77777777">
            <w:pPr>
              <w:spacing w:after="0" w:line="240" w:lineRule="auto"/>
              <w:rPr>
                <w:rFonts w:eastAsia="Times New Roman" w:cs="Arial"/>
                <w:b/>
                <w:bCs/>
                <w:sz w:val="20"/>
                <w:szCs w:val="20"/>
                <w:lang w:eastAsia="en-GB"/>
              </w:rPr>
            </w:pPr>
            <w:r w:rsidRPr="004F3AFB">
              <w:rPr>
                <w:rFonts w:eastAsia="Times New Roman" w:cs="Arial"/>
                <w:b/>
                <w:bCs/>
                <w:sz w:val="20"/>
                <w:szCs w:val="20"/>
                <w:lang w:eastAsia="en-GB"/>
              </w:rPr>
              <w:t xml:space="preserve">Balance as </w:t>
            </w:r>
            <w:proofErr w:type="gramStart"/>
            <w:r w:rsidRPr="004F3AFB">
              <w:rPr>
                <w:rFonts w:eastAsia="Times New Roman" w:cs="Arial"/>
                <w:b/>
                <w:bCs/>
                <w:sz w:val="20"/>
                <w:szCs w:val="20"/>
                <w:lang w:eastAsia="en-GB"/>
              </w:rPr>
              <w:t>at</w:t>
            </w:r>
            <w:proofErr w:type="gramEnd"/>
            <w:r w:rsidRPr="004F3AFB">
              <w:rPr>
                <w:rFonts w:eastAsia="Times New Roman" w:cs="Arial"/>
                <w:b/>
                <w:bCs/>
                <w:sz w:val="20"/>
                <w:szCs w:val="20"/>
                <w:lang w:eastAsia="en-GB"/>
              </w:rPr>
              <w:t xml:space="preserve"> 1</w:t>
            </w:r>
            <w:r w:rsidRPr="004F3AFB">
              <w:rPr>
                <w:rFonts w:eastAsia="Times New Roman" w:cs="Arial"/>
                <w:b/>
                <w:bCs/>
                <w:sz w:val="20"/>
                <w:szCs w:val="20"/>
                <w:vertAlign w:val="superscript"/>
                <w:lang w:eastAsia="en-GB"/>
              </w:rPr>
              <w:t>st</w:t>
            </w:r>
            <w:r w:rsidRPr="004F3AFB">
              <w:rPr>
                <w:rFonts w:eastAsia="Times New Roman" w:cs="Arial"/>
                <w:b/>
                <w:bCs/>
                <w:sz w:val="20"/>
                <w:szCs w:val="20"/>
                <w:lang w:eastAsia="en-GB"/>
              </w:rPr>
              <w:t xml:space="preserve"> April 2022</w:t>
            </w:r>
          </w:p>
        </w:tc>
        <w:tc>
          <w:tcPr>
            <w:tcW w:w="1340" w:type="dxa"/>
            <w:vMerge/>
            <w:tcBorders>
              <w:top w:val="nil"/>
              <w:left w:val="single" w:color="auto" w:sz="8" w:space="0"/>
              <w:bottom w:val="nil"/>
              <w:right w:val="single" w:color="auto" w:sz="8" w:space="0"/>
            </w:tcBorders>
            <w:vAlign w:val="center"/>
            <w:hideMark/>
          </w:tcPr>
          <w:p w:rsidRPr="004F3AFB" w:rsidR="004F3AFB" w:rsidP="004F3AFB" w:rsidRDefault="004F3AFB" w14:paraId="110F3A40" w14:textId="77777777">
            <w:pPr>
              <w:spacing w:after="0" w:line="240" w:lineRule="auto"/>
              <w:rPr>
                <w:rFonts w:eastAsia="Times New Roman" w:cs="Arial"/>
                <w:b/>
                <w:bCs/>
                <w:sz w:val="20"/>
                <w:szCs w:val="20"/>
                <w:lang w:eastAsia="en-GB"/>
              </w:rPr>
            </w:pPr>
          </w:p>
        </w:tc>
        <w:tc>
          <w:tcPr>
            <w:tcW w:w="1472" w:type="dxa"/>
            <w:vMerge/>
            <w:tcBorders>
              <w:top w:val="nil"/>
              <w:left w:val="single" w:color="auto" w:sz="8" w:space="0"/>
              <w:bottom w:val="nil"/>
              <w:right w:val="single" w:color="auto" w:sz="8" w:space="0"/>
            </w:tcBorders>
            <w:vAlign w:val="center"/>
            <w:hideMark/>
          </w:tcPr>
          <w:p w:rsidRPr="004F3AFB" w:rsidR="004F3AFB" w:rsidP="004F3AFB" w:rsidRDefault="004F3AFB" w14:paraId="103A56E2" w14:textId="77777777">
            <w:pPr>
              <w:spacing w:after="0" w:line="240" w:lineRule="auto"/>
              <w:rPr>
                <w:rFonts w:eastAsia="Times New Roman" w:cs="Arial"/>
                <w:b/>
                <w:bCs/>
                <w:sz w:val="20"/>
                <w:szCs w:val="20"/>
                <w:lang w:eastAsia="en-GB"/>
              </w:rPr>
            </w:pPr>
          </w:p>
        </w:tc>
        <w:tc>
          <w:tcPr>
            <w:tcW w:w="1540" w:type="dxa"/>
            <w:vMerge/>
            <w:tcBorders>
              <w:top w:val="nil"/>
              <w:left w:val="single" w:color="auto" w:sz="8" w:space="0"/>
              <w:bottom w:val="nil"/>
              <w:right w:val="single" w:color="auto" w:sz="8" w:space="0"/>
            </w:tcBorders>
            <w:vAlign w:val="center"/>
            <w:hideMark/>
          </w:tcPr>
          <w:p w:rsidRPr="004F3AFB" w:rsidR="004F3AFB" w:rsidP="004F3AFB" w:rsidRDefault="004F3AFB" w14:paraId="2923E755" w14:textId="77777777">
            <w:pPr>
              <w:spacing w:after="0" w:line="240" w:lineRule="auto"/>
              <w:rPr>
                <w:rFonts w:eastAsia="Times New Roman" w:cs="Arial"/>
                <w:b/>
                <w:bCs/>
                <w:sz w:val="20"/>
                <w:szCs w:val="20"/>
                <w:lang w:eastAsia="en-GB"/>
              </w:rPr>
            </w:pPr>
          </w:p>
        </w:tc>
      </w:tr>
      <w:tr w:rsidRPr="004F3AFB" w:rsidR="004F3AFB" w:rsidTr="00A325B2" w14:paraId="79907EBC" w14:textId="77777777">
        <w:trPr>
          <w:trHeight w:val="276"/>
        </w:trPr>
        <w:tc>
          <w:tcPr>
            <w:tcW w:w="3940" w:type="dxa"/>
            <w:tcBorders>
              <w:top w:val="nil"/>
              <w:left w:val="single" w:color="auto" w:sz="8" w:space="0"/>
              <w:bottom w:val="nil"/>
              <w:right w:val="nil"/>
            </w:tcBorders>
            <w:shd w:val="clear" w:color="auto" w:fill="auto"/>
            <w:noWrap/>
            <w:vAlign w:val="center"/>
            <w:hideMark/>
          </w:tcPr>
          <w:p w:rsidRPr="004F3AFB" w:rsidR="004F3AFB" w:rsidP="004F3AFB" w:rsidRDefault="004F3AFB" w14:paraId="63CFEB6A" w14:textId="77777777">
            <w:pPr>
              <w:spacing w:after="0" w:line="240" w:lineRule="auto"/>
              <w:rPr>
                <w:rFonts w:eastAsia="Times New Roman" w:cs="Arial"/>
                <w:sz w:val="20"/>
                <w:szCs w:val="20"/>
                <w:lang w:eastAsia="en-GB"/>
              </w:rPr>
            </w:pPr>
            <w:r w:rsidRPr="004F3AFB">
              <w:rPr>
                <w:rFonts w:eastAsia="Times New Roman" w:cs="Arial"/>
                <w:sz w:val="20"/>
                <w:szCs w:val="20"/>
                <w:lang w:eastAsia="en-GB"/>
              </w:rPr>
              <w:t>Increase/(Decrease)</w:t>
            </w:r>
          </w:p>
        </w:tc>
        <w:tc>
          <w:tcPr>
            <w:tcW w:w="1340" w:type="dxa"/>
            <w:tcBorders>
              <w:top w:val="nil"/>
              <w:left w:val="single" w:color="auto" w:sz="8" w:space="0"/>
              <w:bottom w:val="nil"/>
              <w:right w:val="single" w:color="auto" w:sz="8" w:space="0"/>
            </w:tcBorders>
            <w:shd w:val="clear" w:color="auto" w:fill="auto"/>
            <w:noWrap/>
            <w:vAlign w:val="center"/>
            <w:hideMark/>
          </w:tcPr>
          <w:p w:rsidRPr="004F3AFB" w:rsidR="004F3AFB" w:rsidP="004F3AFB" w:rsidRDefault="004F3AFB" w14:paraId="3A8739C5" w14:textId="43901FBB">
            <w:pPr>
              <w:spacing w:after="0" w:line="240" w:lineRule="auto"/>
              <w:jc w:val="right"/>
              <w:rPr>
                <w:rFonts w:eastAsia="Times New Roman" w:cs="Arial"/>
                <w:sz w:val="20"/>
                <w:szCs w:val="20"/>
                <w:lang w:eastAsia="en-GB"/>
              </w:rPr>
            </w:pPr>
            <w:r w:rsidRPr="004F3AFB">
              <w:rPr>
                <w:rFonts w:eastAsia="Times New Roman" w:cs="Arial"/>
                <w:sz w:val="20"/>
                <w:szCs w:val="20"/>
                <w:lang w:eastAsia="en-GB"/>
              </w:rPr>
              <w:t>2,960</w:t>
            </w:r>
          </w:p>
        </w:tc>
        <w:tc>
          <w:tcPr>
            <w:tcW w:w="1472" w:type="dxa"/>
            <w:tcBorders>
              <w:top w:val="nil"/>
              <w:left w:val="nil"/>
              <w:bottom w:val="nil"/>
              <w:right w:val="single" w:color="auto" w:sz="8" w:space="0"/>
            </w:tcBorders>
            <w:shd w:val="clear" w:color="auto" w:fill="auto"/>
            <w:noWrap/>
            <w:vAlign w:val="center"/>
            <w:hideMark/>
          </w:tcPr>
          <w:p w:rsidRPr="004F3AFB" w:rsidR="004F3AFB" w:rsidP="004F3AFB" w:rsidRDefault="009F085B" w14:paraId="70C0027F" w14:textId="2C94F5AB">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w:t>
            </w:r>
            <w:r w:rsidRPr="004F3AFB" w:rsidR="004F3AFB">
              <w:rPr>
                <w:rFonts w:eastAsia="Times New Roman" w:cs="Arial"/>
                <w:color w:val="000000"/>
                <w:sz w:val="20"/>
                <w:szCs w:val="20"/>
                <w:lang w:eastAsia="en-GB"/>
              </w:rPr>
              <w:t>2</w:t>
            </w:r>
            <w:r>
              <w:rPr>
                <w:rFonts w:eastAsia="Times New Roman" w:cs="Arial"/>
                <w:color w:val="000000"/>
                <w:sz w:val="20"/>
                <w:szCs w:val="20"/>
                <w:lang w:eastAsia="en-GB"/>
              </w:rPr>
              <w:t>)</w:t>
            </w:r>
          </w:p>
        </w:tc>
        <w:tc>
          <w:tcPr>
            <w:tcW w:w="1540" w:type="dxa"/>
            <w:tcBorders>
              <w:top w:val="nil"/>
              <w:left w:val="nil"/>
              <w:bottom w:val="nil"/>
              <w:right w:val="single" w:color="auto" w:sz="8" w:space="0"/>
            </w:tcBorders>
            <w:shd w:val="clear" w:color="auto" w:fill="auto"/>
            <w:noWrap/>
            <w:vAlign w:val="center"/>
            <w:hideMark/>
          </w:tcPr>
          <w:p w:rsidRPr="004F3AFB" w:rsidR="004F3AFB" w:rsidP="004F3AFB" w:rsidRDefault="004F3AFB" w14:paraId="112CAA5D" w14:textId="2289AB88">
            <w:pPr>
              <w:spacing w:after="0" w:line="240" w:lineRule="auto"/>
              <w:jc w:val="right"/>
              <w:rPr>
                <w:rFonts w:eastAsia="Times New Roman" w:cs="Arial"/>
                <w:color w:val="000000"/>
                <w:sz w:val="20"/>
                <w:szCs w:val="20"/>
                <w:lang w:eastAsia="en-GB"/>
              </w:rPr>
            </w:pPr>
            <w:r w:rsidRPr="004F3AFB">
              <w:rPr>
                <w:rFonts w:eastAsia="Times New Roman" w:cs="Arial"/>
                <w:color w:val="000000"/>
                <w:sz w:val="20"/>
                <w:szCs w:val="20"/>
                <w:lang w:eastAsia="en-GB"/>
              </w:rPr>
              <w:t>2,958</w:t>
            </w:r>
          </w:p>
        </w:tc>
      </w:tr>
      <w:tr w:rsidRPr="004F3AFB" w:rsidR="004F3AFB" w:rsidTr="00A325B2" w14:paraId="775A64A0" w14:textId="77777777">
        <w:trPr>
          <w:trHeight w:val="276"/>
        </w:trPr>
        <w:tc>
          <w:tcPr>
            <w:tcW w:w="3940" w:type="dxa"/>
            <w:tcBorders>
              <w:top w:val="single" w:color="auto" w:sz="8" w:space="0"/>
              <w:left w:val="single" w:color="auto" w:sz="8" w:space="0"/>
              <w:bottom w:val="single" w:color="auto" w:sz="8" w:space="0"/>
              <w:right w:val="nil"/>
            </w:tcBorders>
            <w:shd w:val="clear" w:color="000000" w:fill="DBE5F1"/>
            <w:noWrap/>
            <w:vAlign w:val="center"/>
            <w:hideMark/>
          </w:tcPr>
          <w:p w:rsidRPr="004F3AFB" w:rsidR="004F3AFB" w:rsidP="004F3AFB" w:rsidRDefault="004F3AFB" w14:paraId="375AE10B" w14:textId="77777777">
            <w:pPr>
              <w:spacing w:after="0" w:line="240" w:lineRule="auto"/>
              <w:rPr>
                <w:rFonts w:eastAsia="Times New Roman" w:cs="Arial"/>
                <w:b/>
                <w:bCs/>
                <w:color w:val="000000"/>
                <w:sz w:val="20"/>
                <w:szCs w:val="20"/>
                <w:lang w:eastAsia="en-GB"/>
              </w:rPr>
            </w:pPr>
            <w:r w:rsidRPr="004F3AFB">
              <w:rPr>
                <w:rFonts w:eastAsia="Times New Roman" w:cs="Arial"/>
                <w:b/>
                <w:bCs/>
                <w:color w:val="000000"/>
                <w:sz w:val="20"/>
                <w:szCs w:val="20"/>
                <w:lang w:eastAsia="en-GB"/>
              </w:rPr>
              <w:t xml:space="preserve">Balance as </w:t>
            </w:r>
            <w:proofErr w:type="gramStart"/>
            <w:r w:rsidRPr="004F3AFB">
              <w:rPr>
                <w:rFonts w:eastAsia="Times New Roman" w:cs="Arial"/>
                <w:b/>
                <w:bCs/>
                <w:color w:val="000000"/>
                <w:sz w:val="20"/>
                <w:szCs w:val="20"/>
                <w:lang w:eastAsia="en-GB"/>
              </w:rPr>
              <w:t>at</w:t>
            </w:r>
            <w:proofErr w:type="gramEnd"/>
            <w:r w:rsidRPr="004F3AFB">
              <w:rPr>
                <w:rFonts w:eastAsia="Times New Roman" w:cs="Arial"/>
                <w:b/>
                <w:bCs/>
                <w:color w:val="000000"/>
                <w:sz w:val="20"/>
                <w:szCs w:val="20"/>
                <w:lang w:eastAsia="en-GB"/>
              </w:rPr>
              <w:t xml:space="preserve"> 31st March 2023</w:t>
            </w:r>
          </w:p>
        </w:tc>
        <w:tc>
          <w:tcPr>
            <w:tcW w:w="1340" w:type="dxa"/>
            <w:tcBorders>
              <w:top w:val="single" w:color="auto" w:sz="8" w:space="0"/>
              <w:left w:val="single" w:color="auto" w:sz="8" w:space="0"/>
              <w:bottom w:val="single" w:color="auto" w:sz="8" w:space="0"/>
              <w:right w:val="single" w:color="auto" w:sz="8" w:space="0"/>
            </w:tcBorders>
            <w:shd w:val="clear" w:color="000000" w:fill="DBE5F1"/>
            <w:noWrap/>
            <w:vAlign w:val="center"/>
            <w:hideMark/>
          </w:tcPr>
          <w:p w:rsidRPr="004F3AFB" w:rsidR="004F3AFB" w:rsidP="004F3AFB" w:rsidRDefault="009F085B" w14:paraId="34782875" w14:textId="1EE0CF54">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4F3AFB" w:rsidR="004F3AFB">
              <w:rPr>
                <w:rFonts w:eastAsia="Times New Roman" w:cs="Arial"/>
                <w:b/>
                <w:bCs/>
                <w:color w:val="000000"/>
                <w:sz w:val="20"/>
                <w:szCs w:val="20"/>
                <w:lang w:eastAsia="en-GB"/>
              </w:rPr>
              <w:t>520</w:t>
            </w:r>
            <w:r>
              <w:rPr>
                <w:rFonts w:eastAsia="Times New Roman" w:cs="Arial"/>
                <w:b/>
                <w:bCs/>
                <w:color w:val="000000"/>
                <w:sz w:val="20"/>
                <w:szCs w:val="20"/>
                <w:lang w:eastAsia="en-GB"/>
              </w:rPr>
              <w:t>)</w:t>
            </w:r>
          </w:p>
        </w:tc>
        <w:tc>
          <w:tcPr>
            <w:tcW w:w="1472" w:type="dxa"/>
            <w:tcBorders>
              <w:top w:val="single" w:color="auto" w:sz="8" w:space="0"/>
              <w:left w:val="nil"/>
              <w:bottom w:val="single" w:color="auto" w:sz="8" w:space="0"/>
              <w:right w:val="single" w:color="auto" w:sz="8" w:space="0"/>
            </w:tcBorders>
            <w:shd w:val="clear" w:color="000000" w:fill="DBE5F1"/>
            <w:noWrap/>
            <w:vAlign w:val="center"/>
            <w:hideMark/>
          </w:tcPr>
          <w:p w:rsidRPr="004F3AFB" w:rsidR="004F3AFB" w:rsidP="004F3AFB" w:rsidRDefault="009F085B" w14:paraId="00B4D298" w14:textId="6EE2200C">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4F3AFB" w:rsidR="004F3AFB">
              <w:rPr>
                <w:rFonts w:eastAsia="Times New Roman" w:cs="Arial"/>
                <w:b/>
                <w:bCs/>
                <w:color w:val="000000"/>
                <w:sz w:val="20"/>
                <w:szCs w:val="20"/>
                <w:lang w:eastAsia="en-GB"/>
              </w:rPr>
              <w:t>21</w:t>
            </w:r>
            <w:r>
              <w:rPr>
                <w:rFonts w:eastAsia="Times New Roman" w:cs="Arial"/>
                <w:b/>
                <w:bCs/>
                <w:color w:val="000000"/>
                <w:sz w:val="20"/>
                <w:szCs w:val="20"/>
                <w:lang w:eastAsia="en-GB"/>
              </w:rPr>
              <w:t>)</w:t>
            </w:r>
          </w:p>
        </w:tc>
        <w:tc>
          <w:tcPr>
            <w:tcW w:w="1540" w:type="dxa"/>
            <w:tcBorders>
              <w:top w:val="single" w:color="auto" w:sz="8" w:space="0"/>
              <w:left w:val="nil"/>
              <w:bottom w:val="single" w:color="auto" w:sz="8" w:space="0"/>
              <w:right w:val="single" w:color="auto" w:sz="8" w:space="0"/>
            </w:tcBorders>
            <w:shd w:val="clear" w:color="000000" w:fill="DBE5F1"/>
            <w:noWrap/>
            <w:vAlign w:val="center"/>
            <w:hideMark/>
          </w:tcPr>
          <w:p w:rsidRPr="004F3AFB" w:rsidR="004F3AFB" w:rsidP="004F3AFB" w:rsidRDefault="009F085B" w14:paraId="33FFCCA3" w14:textId="3A4C9F8D">
            <w:pPr>
              <w:spacing w:after="0" w:line="240"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Pr="004F3AFB" w:rsidR="004F3AFB">
              <w:rPr>
                <w:rFonts w:eastAsia="Times New Roman" w:cs="Arial"/>
                <w:b/>
                <w:bCs/>
                <w:color w:val="000000"/>
                <w:sz w:val="20"/>
                <w:szCs w:val="20"/>
                <w:lang w:eastAsia="en-GB"/>
              </w:rPr>
              <w:t>541</w:t>
            </w:r>
            <w:r>
              <w:rPr>
                <w:rFonts w:eastAsia="Times New Roman" w:cs="Arial"/>
                <w:b/>
                <w:bCs/>
                <w:color w:val="000000"/>
                <w:sz w:val="20"/>
                <w:szCs w:val="20"/>
                <w:lang w:eastAsia="en-GB"/>
              </w:rPr>
              <w:t>)</w:t>
            </w:r>
          </w:p>
        </w:tc>
      </w:tr>
    </w:tbl>
    <w:p w:rsidRPr="004F3AFB" w:rsidR="001D6161" w:rsidP="001D6161" w:rsidRDefault="001D6161" w14:paraId="34E2F165" w14:textId="77777777"/>
    <w:p w:rsidRPr="004F3AFB" w:rsidR="00723164" w:rsidP="00467BBE" w:rsidRDefault="002B59DF" w14:paraId="01537215" w14:textId="77777777">
      <w:pPr>
        <w:pStyle w:val="Heading2"/>
      </w:pPr>
      <w:r w:rsidRPr="004F3AFB">
        <w:t xml:space="preserve"> </w:t>
      </w:r>
      <w:r w:rsidRPr="004F3AFB" w:rsidR="00723164">
        <w:t>Pension Reserve</w:t>
      </w:r>
    </w:p>
    <w:p w:rsidRPr="00A325B2" w:rsidR="00723164" w:rsidP="00A325B2" w:rsidRDefault="00723164" w14:paraId="794C408E" w14:textId="77777777">
      <w:pPr>
        <w:jc w:val="both"/>
        <w:rPr>
          <w:rFonts w:cs="Arial"/>
        </w:rPr>
      </w:pPr>
      <w:r w:rsidRPr="00A325B2">
        <w:rPr>
          <w:rFonts w:cs="Arial"/>
        </w:rPr>
        <w:t xml:space="preserve">The Pension Reserve </w:t>
      </w:r>
      <w:r w:rsidRPr="00A325B2" w:rsidR="00980175">
        <w:rPr>
          <w:rFonts w:cs="Arial"/>
        </w:rPr>
        <w:t xml:space="preserve">absorbs the timing differences arising from the different accounting for </w:t>
      </w:r>
      <w:r w:rsidRPr="00A325B2" w:rsidR="006D4B98">
        <w:rPr>
          <w:rFonts w:cs="Arial"/>
        </w:rPr>
        <w:t>post-employment</w:t>
      </w:r>
      <w:r w:rsidRPr="00A325B2" w:rsidR="00980175">
        <w:rPr>
          <w:rFonts w:cs="Arial"/>
        </w:rPr>
        <w:t xml:space="preserve"> benefits and for funding benefits in accordance with statutory provisions.</w:t>
      </w:r>
      <w:r w:rsidRPr="00A325B2">
        <w:rPr>
          <w:rFonts w:cs="Arial"/>
        </w:rPr>
        <w:t xml:space="preserve"> </w:t>
      </w:r>
    </w:p>
    <w:tbl>
      <w:tblPr>
        <w:tblW w:w="8647" w:type="dxa"/>
        <w:tblInd w:w="-5" w:type="dxa"/>
        <w:tblLook w:val="04A0" w:firstRow="1" w:lastRow="0" w:firstColumn="1" w:lastColumn="0" w:noHBand="0" w:noVBand="1"/>
      </w:tblPr>
      <w:tblGrid>
        <w:gridCol w:w="1559"/>
        <w:gridCol w:w="5670"/>
        <w:gridCol w:w="1418"/>
      </w:tblGrid>
      <w:tr w:rsidRPr="00614894" w:rsidR="00F729D4" w:rsidTr="00A325B2" w14:paraId="4478ED3A" w14:textId="77777777">
        <w:trPr>
          <w:trHeight w:val="255"/>
        </w:trPr>
        <w:tc>
          <w:tcPr>
            <w:tcW w:w="1559" w:type="dxa"/>
            <w:tcBorders>
              <w:top w:val="single" w:color="auto" w:sz="4" w:space="0"/>
              <w:left w:val="single" w:color="auto" w:sz="4" w:space="0"/>
              <w:bottom w:val="nil"/>
              <w:right w:val="nil"/>
            </w:tcBorders>
            <w:shd w:val="clear" w:color="auto" w:fill="DBE5F1" w:themeFill="accent1" w:themeFillTint="33"/>
          </w:tcPr>
          <w:p w:rsidRPr="00310D56" w:rsidR="00F729D4" w:rsidP="00F729D4" w:rsidRDefault="00CE63CB" w14:paraId="7D5578E0" w14:textId="38109754">
            <w:pPr>
              <w:spacing w:after="0" w:line="240" w:lineRule="auto"/>
              <w:jc w:val="center"/>
              <w:rPr>
                <w:rFonts w:eastAsia="Times New Roman" w:cs="Arial"/>
                <w:b/>
                <w:sz w:val="20"/>
                <w:szCs w:val="20"/>
                <w:lang w:eastAsia="en-GB"/>
              </w:rPr>
            </w:pPr>
            <w:r w:rsidRPr="00310D56">
              <w:rPr>
                <w:rFonts w:eastAsia="Times New Roman" w:cs="Arial"/>
                <w:b/>
                <w:sz w:val="20"/>
                <w:szCs w:val="20"/>
                <w:lang w:eastAsia="en-GB"/>
              </w:rPr>
              <w:t>202</w:t>
            </w:r>
            <w:r w:rsidRPr="00310D56" w:rsidR="0029515E">
              <w:rPr>
                <w:rFonts w:eastAsia="Times New Roman" w:cs="Arial"/>
                <w:b/>
                <w:sz w:val="20"/>
                <w:szCs w:val="20"/>
                <w:lang w:eastAsia="en-GB"/>
              </w:rPr>
              <w:t>2</w:t>
            </w:r>
            <w:r w:rsidRPr="00310D56">
              <w:rPr>
                <w:rFonts w:eastAsia="Times New Roman" w:cs="Arial"/>
                <w:b/>
                <w:sz w:val="20"/>
                <w:szCs w:val="20"/>
                <w:lang w:eastAsia="en-GB"/>
              </w:rPr>
              <w:t>/2</w:t>
            </w:r>
            <w:r w:rsidRPr="00310D56" w:rsidR="0029515E">
              <w:rPr>
                <w:rFonts w:eastAsia="Times New Roman" w:cs="Arial"/>
                <w:b/>
                <w:sz w:val="20"/>
                <w:szCs w:val="20"/>
                <w:lang w:eastAsia="en-GB"/>
              </w:rPr>
              <w:t>3</w:t>
            </w:r>
          </w:p>
        </w:tc>
        <w:tc>
          <w:tcPr>
            <w:tcW w:w="5670" w:type="dxa"/>
            <w:tcBorders>
              <w:top w:val="single" w:color="auto" w:sz="4" w:space="0"/>
              <w:left w:val="single" w:color="auto" w:sz="4" w:space="0"/>
              <w:bottom w:val="nil"/>
              <w:right w:val="nil"/>
            </w:tcBorders>
            <w:shd w:val="clear" w:color="auto" w:fill="DBE5F1" w:themeFill="accent1" w:themeFillTint="33"/>
            <w:noWrap/>
            <w:vAlign w:val="bottom"/>
            <w:hideMark/>
          </w:tcPr>
          <w:p w:rsidRPr="00310D56" w:rsidR="00F729D4" w:rsidP="0058043A" w:rsidRDefault="00F729D4" w14:paraId="530B2754" w14:textId="77777777">
            <w:pPr>
              <w:spacing w:after="0" w:line="240" w:lineRule="auto"/>
              <w:rPr>
                <w:rFonts w:eastAsia="Times New Roman" w:cs="Arial"/>
                <w:b/>
                <w:sz w:val="20"/>
                <w:szCs w:val="20"/>
                <w:lang w:eastAsia="en-GB"/>
              </w:rPr>
            </w:pPr>
            <w:r w:rsidRPr="00310D56">
              <w:rPr>
                <w:rFonts w:eastAsia="Times New Roman" w:cs="Arial"/>
                <w:sz w:val="20"/>
                <w:szCs w:val="20"/>
                <w:lang w:eastAsia="en-GB"/>
              </w:rPr>
              <w:t> </w:t>
            </w:r>
            <w:r w:rsidRPr="00310D56">
              <w:rPr>
                <w:rFonts w:eastAsia="Times New Roman" w:cs="Arial"/>
                <w:b/>
                <w:sz w:val="20"/>
                <w:szCs w:val="20"/>
                <w:lang w:eastAsia="en-GB"/>
              </w:rPr>
              <w:t xml:space="preserve">Pensions Reserve </w:t>
            </w:r>
          </w:p>
        </w:tc>
        <w:tc>
          <w:tcPr>
            <w:tcW w:w="1418" w:type="dxa"/>
            <w:tcBorders>
              <w:top w:val="single" w:color="auto" w:sz="4" w:space="0"/>
              <w:left w:val="single" w:color="auto" w:sz="4" w:space="0"/>
              <w:bottom w:val="nil"/>
              <w:right w:val="single" w:color="auto" w:sz="4" w:space="0"/>
            </w:tcBorders>
            <w:shd w:val="clear" w:color="auto" w:fill="DBE5F1" w:themeFill="accent1" w:themeFillTint="33"/>
            <w:noWrap/>
            <w:vAlign w:val="bottom"/>
          </w:tcPr>
          <w:p w:rsidRPr="00310D56" w:rsidR="00F729D4" w:rsidP="00F729D4" w:rsidRDefault="00CE63CB" w14:paraId="6DF0A864" w14:textId="0FECE6D0">
            <w:pPr>
              <w:spacing w:after="0" w:line="240" w:lineRule="auto"/>
              <w:jc w:val="center"/>
              <w:rPr>
                <w:rFonts w:eastAsia="Times New Roman" w:cs="Arial"/>
                <w:b/>
                <w:bCs/>
                <w:sz w:val="20"/>
                <w:szCs w:val="20"/>
                <w:lang w:eastAsia="en-GB"/>
              </w:rPr>
            </w:pPr>
            <w:r w:rsidRPr="00310D56">
              <w:rPr>
                <w:rFonts w:eastAsia="Times New Roman" w:cs="Arial"/>
                <w:b/>
                <w:bCs/>
                <w:sz w:val="20"/>
                <w:szCs w:val="20"/>
                <w:lang w:eastAsia="en-GB"/>
              </w:rPr>
              <w:t>202</w:t>
            </w:r>
            <w:r w:rsidRPr="00310D56" w:rsidR="0029515E">
              <w:rPr>
                <w:rFonts w:eastAsia="Times New Roman" w:cs="Arial"/>
                <w:b/>
                <w:bCs/>
                <w:sz w:val="20"/>
                <w:szCs w:val="20"/>
                <w:lang w:eastAsia="en-GB"/>
              </w:rPr>
              <w:t>1</w:t>
            </w:r>
            <w:r w:rsidRPr="00310D56" w:rsidR="00990C7C">
              <w:rPr>
                <w:rFonts w:eastAsia="Times New Roman" w:cs="Arial"/>
                <w:b/>
                <w:bCs/>
                <w:sz w:val="20"/>
                <w:szCs w:val="20"/>
                <w:lang w:eastAsia="en-GB"/>
              </w:rPr>
              <w:t>/</w:t>
            </w:r>
            <w:r w:rsidRPr="00310D56">
              <w:rPr>
                <w:rFonts w:eastAsia="Times New Roman" w:cs="Arial"/>
                <w:b/>
                <w:bCs/>
                <w:sz w:val="20"/>
                <w:szCs w:val="20"/>
                <w:lang w:eastAsia="en-GB"/>
              </w:rPr>
              <w:t>2</w:t>
            </w:r>
            <w:r w:rsidRPr="00310D56" w:rsidR="0029515E">
              <w:rPr>
                <w:rFonts w:eastAsia="Times New Roman" w:cs="Arial"/>
                <w:b/>
                <w:bCs/>
                <w:sz w:val="20"/>
                <w:szCs w:val="20"/>
                <w:lang w:eastAsia="en-GB"/>
              </w:rPr>
              <w:t>2</w:t>
            </w:r>
          </w:p>
        </w:tc>
      </w:tr>
      <w:tr w:rsidRPr="00614894" w:rsidR="00F729D4" w:rsidTr="00A325B2" w14:paraId="3F93D5B7" w14:textId="77777777">
        <w:trPr>
          <w:trHeight w:val="255"/>
        </w:trPr>
        <w:tc>
          <w:tcPr>
            <w:tcW w:w="1559" w:type="dxa"/>
            <w:tcBorders>
              <w:top w:val="nil"/>
              <w:left w:val="single" w:color="auto" w:sz="4" w:space="0"/>
              <w:bottom w:val="single" w:color="auto" w:sz="4" w:space="0"/>
              <w:right w:val="nil"/>
            </w:tcBorders>
            <w:shd w:val="clear" w:color="auto" w:fill="DBE5F1" w:themeFill="accent1" w:themeFillTint="33"/>
          </w:tcPr>
          <w:p w:rsidRPr="00310D56" w:rsidR="00F729D4" w:rsidP="00F729D4" w:rsidRDefault="00F729D4" w14:paraId="6E31AF4C" w14:textId="77777777">
            <w:pPr>
              <w:spacing w:after="0" w:line="240" w:lineRule="auto"/>
              <w:jc w:val="center"/>
              <w:rPr>
                <w:rFonts w:eastAsia="Times New Roman" w:cs="Arial"/>
                <w:b/>
                <w:sz w:val="20"/>
                <w:szCs w:val="20"/>
                <w:lang w:eastAsia="en-GB"/>
              </w:rPr>
            </w:pPr>
            <w:r w:rsidRPr="00310D56">
              <w:rPr>
                <w:rFonts w:eastAsia="Times New Roman" w:cs="Arial"/>
                <w:b/>
                <w:sz w:val="20"/>
                <w:szCs w:val="20"/>
                <w:lang w:eastAsia="en-GB"/>
              </w:rPr>
              <w:t>£’000</w:t>
            </w:r>
          </w:p>
        </w:tc>
        <w:tc>
          <w:tcPr>
            <w:tcW w:w="5670" w:type="dxa"/>
            <w:tcBorders>
              <w:top w:val="nil"/>
              <w:left w:val="single" w:color="auto" w:sz="4" w:space="0"/>
              <w:bottom w:val="single" w:color="auto" w:sz="4" w:space="0"/>
              <w:right w:val="nil"/>
            </w:tcBorders>
            <w:shd w:val="clear" w:color="auto" w:fill="DBE5F1" w:themeFill="accent1" w:themeFillTint="33"/>
            <w:noWrap/>
            <w:vAlign w:val="bottom"/>
            <w:hideMark/>
          </w:tcPr>
          <w:p w:rsidRPr="00310D56" w:rsidR="00F729D4" w:rsidP="0058043A" w:rsidRDefault="00F729D4" w14:paraId="031EDFAA" w14:textId="77777777">
            <w:pPr>
              <w:spacing w:after="0" w:line="240" w:lineRule="auto"/>
              <w:rPr>
                <w:rFonts w:eastAsia="Times New Roman" w:cs="Arial"/>
                <w:sz w:val="20"/>
                <w:szCs w:val="20"/>
                <w:lang w:eastAsia="en-GB"/>
              </w:rPr>
            </w:pPr>
            <w:r w:rsidRPr="00310D56">
              <w:rPr>
                <w:rFonts w:eastAsia="Times New Roman" w:cs="Arial"/>
                <w:sz w:val="20"/>
                <w:szCs w:val="20"/>
                <w:lang w:eastAsia="en-GB"/>
              </w:rPr>
              <w:t> </w:t>
            </w:r>
          </w:p>
        </w:tc>
        <w:tc>
          <w:tcPr>
            <w:tcW w:w="1418" w:type="dxa"/>
            <w:tcBorders>
              <w:top w:val="nil"/>
              <w:left w:val="single" w:color="auto" w:sz="4" w:space="0"/>
              <w:bottom w:val="single" w:color="auto" w:sz="4" w:space="0"/>
              <w:right w:val="single" w:color="auto" w:sz="4" w:space="0"/>
            </w:tcBorders>
            <w:shd w:val="clear" w:color="auto" w:fill="DBE5F1" w:themeFill="accent1" w:themeFillTint="33"/>
            <w:noWrap/>
            <w:vAlign w:val="bottom"/>
          </w:tcPr>
          <w:p w:rsidRPr="00310D56" w:rsidR="00F729D4" w:rsidP="00F729D4" w:rsidRDefault="00F729D4" w14:paraId="52772358" w14:textId="77777777">
            <w:pPr>
              <w:spacing w:after="0" w:line="240" w:lineRule="auto"/>
              <w:jc w:val="center"/>
              <w:rPr>
                <w:rFonts w:eastAsia="Times New Roman" w:cs="Arial"/>
                <w:b/>
                <w:bCs/>
                <w:sz w:val="20"/>
                <w:szCs w:val="20"/>
                <w:lang w:eastAsia="en-GB"/>
              </w:rPr>
            </w:pPr>
            <w:r w:rsidRPr="00310D56">
              <w:rPr>
                <w:rFonts w:eastAsia="Times New Roman" w:cs="Arial"/>
                <w:b/>
                <w:bCs/>
                <w:sz w:val="20"/>
                <w:szCs w:val="20"/>
                <w:lang w:eastAsia="en-GB"/>
              </w:rPr>
              <w:t>£'000</w:t>
            </w:r>
          </w:p>
        </w:tc>
      </w:tr>
      <w:tr w:rsidRPr="00614894" w:rsidR="009E6DF8" w:rsidTr="00A325B2" w14:paraId="11B6E70C" w14:textId="77777777">
        <w:trPr>
          <w:trHeight w:val="74"/>
        </w:trPr>
        <w:tc>
          <w:tcPr>
            <w:tcW w:w="1559" w:type="dxa"/>
            <w:tcBorders>
              <w:top w:val="nil"/>
              <w:left w:val="single" w:color="auto" w:sz="4" w:space="0"/>
              <w:bottom w:val="nil"/>
              <w:right w:val="single" w:color="auto" w:sz="4" w:space="0"/>
            </w:tcBorders>
            <w:shd w:val="clear" w:color="auto" w:fill="auto"/>
            <w:vAlign w:val="bottom"/>
          </w:tcPr>
          <w:p w:rsidRPr="00310D56" w:rsidR="009E6DF8" w:rsidP="00C23C47" w:rsidRDefault="009F085B" w14:paraId="257AA9CB" w14:textId="7AE49598">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310D56" w:rsidR="00310D56">
              <w:rPr>
                <w:rFonts w:eastAsia="Times New Roman" w:cs="Arial"/>
                <w:b/>
                <w:bCs/>
                <w:sz w:val="20"/>
                <w:szCs w:val="20"/>
                <w:lang w:eastAsia="en-GB"/>
              </w:rPr>
              <w:t>3,480</w:t>
            </w:r>
            <w:r>
              <w:rPr>
                <w:rFonts w:eastAsia="Times New Roman" w:cs="Arial"/>
                <w:b/>
                <w:bCs/>
                <w:sz w:val="20"/>
                <w:szCs w:val="20"/>
                <w:lang w:eastAsia="en-GB"/>
              </w:rPr>
              <w:t>)</w:t>
            </w:r>
          </w:p>
        </w:tc>
        <w:tc>
          <w:tcPr>
            <w:tcW w:w="5670" w:type="dxa"/>
            <w:tcBorders>
              <w:top w:val="nil"/>
              <w:left w:val="single" w:color="auto" w:sz="4" w:space="0"/>
              <w:bottom w:val="nil"/>
              <w:right w:val="nil"/>
            </w:tcBorders>
            <w:shd w:val="clear" w:color="auto" w:fill="auto"/>
            <w:noWrap/>
            <w:vAlign w:val="bottom"/>
            <w:hideMark/>
          </w:tcPr>
          <w:p w:rsidRPr="00310D56" w:rsidR="009E6DF8" w:rsidP="009E6DF8" w:rsidRDefault="009E6DF8" w14:paraId="6DD0A231" w14:textId="77777777">
            <w:pPr>
              <w:spacing w:after="0" w:line="240" w:lineRule="auto"/>
              <w:rPr>
                <w:rFonts w:eastAsia="Times New Roman" w:cs="Arial"/>
                <w:sz w:val="20"/>
                <w:szCs w:val="20"/>
                <w:lang w:eastAsia="en-GB"/>
              </w:rPr>
            </w:pPr>
            <w:r w:rsidRPr="00310D56">
              <w:rPr>
                <w:rFonts w:eastAsia="Times New Roman" w:cs="Arial"/>
                <w:b/>
                <w:sz w:val="20"/>
                <w:szCs w:val="20"/>
                <w:lang w:eastAsia="en-GB"/>
              </w:rPr>
              <w:t xml:space="preserve">Balance as at the </w:t>
            </w:r>
            <w:proofErr w:type="gramStart"/>
            <w:r w:rsidRPr="00310D56">
              <w:rPr>
                <w:rFonts w:eastAsia="Times New Roman" w:cs="Arial"/>
                <w:b/>
                <w:sz w:val="20"/>
                <w:szCs w:val="20"/>
                <w:lang w:eastAsia="en-GB"/>
              </w:rPr>
              <w:t>1st</w:t>
            </w:r>
            <w:proofErr w:type="gramEnd"/>
            <w:r w:rsidRPr="00310D56">
              <w:rPr>
                <w:rFonts w:eastAsia="Times New Roman" w:cs="Arial"/>
                <w:b/>
                <w:sz w:val="20"/>
                <w:szCs w:val="20"/>
                <w:lang w:eastAsia="en-GB"/>
              </w:rPr>
              <w:t xml:space="preserve"> April </w:t>
            </w:r>
          </w:p>
        </w:tc>
        <w:tc>
          <w:tcPr>
            <w:tcW w:w="1418" w:type="dxa"/>
            <w:tcBorders>
              <w:top w:val="nil"/>
              <w:left w:val="single" w:color="auto" w:sz="4" w:space="0"/>
              <w:bottom w:val="nil"/>
              <w:right w:val="single" w:color="auto" w:sz="4" w:space="0"/>
            </w:tcBorders>
            <w:shd w:val="clear" w:color="auto" w:fill="auto"/>
            <w:noWrap/>
            <w:vAlign w:val="bottom"/>
          </w:tcPr>
          <w:p w:rsidRPr="00310D56" w:rsidR="009E6DF8" w:rsidP="00C23C47" w:rsidRDefault="009F085B" w14:paraId="77EB1CA5" w14:textId="6A6AE79C">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310D56" w:rsidR="00310D56">
              <w:rPr>
                <w:rFonts w:eastAsia="Times New Roman" w:cs="Arial"/>
                <w:b/>
                <w:bCs/>
                <w:sz w:val="20"/>
                <w:szCs w:val="20"/>
                <w:lang w:eastAsia="en-GB"/>
              </w:rPr>
              <w:t>4,040</w:t>
            </w:r>
            <w:r>
              <w:rPr>
                <w:rFonts w:eastAsia="Times New Roman" w:cs="Arial"/>
                <w:b/>
                <w:bCs/>
                <w:sz w:val="20"/>
                <w:szCs w:val="20"/>
                <w:lang w:eastAsia="en-GB"/>
              </w:rPr>
              <w:t>)</w:t>
            </w:r>
          </w:p>
        </w:tc>
      </w:tr>
      <w:tr w:rsidRPr="00614894" w:rsidR="009E6DF8" w:rsidTr="00A325B2" w14:paraId="4F357E89" w14:textId="77777777">
        <w:trPr>
          <w:trHeight w:val="255"/>
        </w:trPr>
        <w:tc>
          <w:tcPr>
            <w:tcW w:w="1559" w:type="dxa"/>
            <w:tcBorders>
              <w:top w:val="nil"/>
              <w:left w:val="single" w:color="auto" w:sz="4" w:space="0"/>
              <w:bottom w:val="nil"/>
              <w:right w:val="single" w:color="auto" w:sz="4" w:space="0"/>
            </w:tcBorders>
            <w:shd w:val="clear" w:color="auto" w:fill="auto"/>
            <w:vAlign w:val="bottom"/>
          </w:tcPr>
          <w:p w:rsidRPr="00310D56" w:rsidR="009E6DF8" w:rsidP="00C23C47" w:rsidRDefault="00310D56" w14:paraId="30CA69A3" w14:textId="2DE18E6F">
            <w:pPr>
              <w:spacing w:after="0" w:line="240" w:lineRule="auto"/>
              <w:jc w:val="right"/>
              <w:rPr>
                <w:rFonts w:eastAsia="Times New Roman" w:cs="Arial"/>
                <w:sz w:val="20"/>
                <w:szCs w:val="20"/>
                <w:lang w:eastAsia="en-GB"/>
              </w:rPr>
            </w:pPr>
            <w:r w:rsidRPr="00310D56">
              <w:rPr>
                <w:rFonts w:eastAsia="Times New Roman" w:cs="Arial"/>
                <w:sz w:val="20"/>
                <w:szCs w:val="20"/>
                <w:lang w:eastAsia="en-GB"/>
              </w:rPr>
              <w:t>3,</w:t>
            </w:r>
            <w:r>
              <w:rPr>
                <w:rFonts w:eastAsia="Times New Roman" w:cs="Arial"/>
                <w:sz w:val="20"/>
                <w:szCs w:val="20"/>
                <w:lang w:eastAsia="en-GB"/>
              </w:rPr>
              <w:t>350</w:t>
            </w:r>
          </w:p>
        </w:tc>
        <w:tc>
          <w:tcPr>
            <w:tcW w:w="5670" w:type="dxa"/>
            <w:tcBorders>
              <w:top w:val="nil"/>
              <w:left w:val="single" w:color="auto" w:sz="4" w:space="0"/>
              <w:bottom w:val="nil"/>
              <w:right w:val="nil"/>
            </w:tcBorders>
            <w:shd w:val="clear" w:color="auto" w:fill="auto"/>
            <w:noWrap/>
            <w:vAlign w:val="bottom"/>
            <w:hideMark/>
          </w:tcPr>
          <w:p w:rsidRPr="00310D56" w:rsidR="0088061A" w:rsidP="009E6DF8" w:rsidRDefault="009E6DF8" w14:paraId="6043677B" w14:textId="77777777">
            <w:pPr>
              <w:spacing w:after="0" w:line="240" w:lineRule="auto"/>
              <w:rPr>
                <w:rFonts w:eastAsia="Times New Roman" w:cs="Arial"/>
                <w:sz w:val="20"/>
                <w:szCs w:val="20"/>
                <w:lang w:eastAsia="en-GB"/>
              </w:rPr>
            </w:pPr>
            <w:r w:rsidRPr="00310D56">
              <w:rPr>
                <w:rFonts w:eastAsia="Times New Roman" w:cs="Arial"/>
                <w:sz w:val="20"/>
                <w:szCs w:val="20"/>
                <w:lang w:eastAsia="en-GB"/>
              </w:rPr>
              <w:t>Re-measurements o</w:t>
            </w:r>
            <w:r w:rsidRPr="00310D56" w:rsidR="001D6161">
              <w:rPr>
                <w:rFonts w:eastAsia="Times New Roman" w:cs="Arial"/>
                <w:sz w:val="20"/>
                <w:szCs w:val="20"/>
                <w:lang w:eastAsia="en-GB"/>
              </w:rPr>
              <w:t>f net defined liability/(asset)</w:t>
            </w:r>
          </w:p>
        </w:tc>
        <w:tc>
          <w:tcPr>
            <w:tcW w:w="1418" w:type="dxa"/>
            <w:tcBorders>
              <w:top w:val="nil"/>
              <w:left w:val="single" w:color="auto" w:sz="4" w:space="0"/>
              <w:bottom w:val="nil"/>
              <w:right w:val="single" w:color="auto" w:sz="4" w:space="0"/>
            </w:tcBorders>
            <w:shd w:val="clear" w:color="auto" w:fill="auto"/>
            <w:noWrap/>
            <w:vAlign w:val="bottom"/>
          </w:tcPr>
          <w:p w:rsidRPr="00310D56" w:rsidR="009E6DF8" w:rsidP="00C23C47" w:rsidRDefault="00310D56" w14:paraId="14E5CEA6" w14:textId="2F8A5448">
            <w:pPr>
              <w:spacing w:after="0" w:line="240" w:lineRule="auto"/>
              <w:jc w:val="right"/>
              <w:rPr>
                <w:rFonts w:eastAsia="Times New Roman" w:cs="Arial"/>
                <w:sz w:val="20"/>
                <w:szCs w:val="20"/>
                <w:lang w:eastAsia="en-GB"/>
              </w:rPr>
            </w:pPr>
            <w:r w:rsidRPr="00310D56">
              <w:rPr>
                <w:rFonts w:eastAsia="Times New Roman" w:cs="Arial"/>
                <w:sz w:val="20"/>
                <w:szCs w:val="20"/>
                <w:lang w:eastAsia="en-GB"/>
              </w:rPr>
              <w:t>1,020</w:t>
            </w:r>
          </w:p>
        </w:tc>
      </w:tr>
      <w:tr w:rsidRPr="00614894" w:rsidR="001D6161" w:rsidTr="00A325B2" w14:paraId="51882C31" w14:textId="77777777">
        <w:trPr>
          <w:trHeight w:val="255"/>
        </w:trPr>
        <w:tc>
          <w:tcPr>
            <w:tcW w:w="1559" w:type="dxa"/>
            <w:tcBorders>
              <w:top w:val="nil"/>
              <w:left w:val="single" w:color="auto" w:sz="4" w:space="0"/>
              <w:bottom w:val="nil"/>
              <w:right w:val="single" w:color="auto" w:sz="4" w:space="0"/>
            </w:tcBorders>
            <w:shd w:val="clear" w:color="auto" w:fill="auto"/>
            <w:vAlign w:val="bottom"/>
          </w:tcPr>
          <w:p w:rsidRPr="00310D56" w:rsidR="001D6161" w:rsidP="00C23C47" w:rsidRDefault="001D6161" w14:paraId="52442B81" w14:textId="77777777">
            <w:pPr>
              <w:spacing w:after="0" w:line="240" w:lineRule="auto"/>
              <w:jc w:val="right"/>
              <w:rPr>
                <w:rFonts w:eastAsia="Times New Roman" w:cs="Arial"/>
                <w:sz w:val="20"/>
                <w:szCs w:val="20"/>
                <w:lang w:eastAsia="en-GB"/>
              </w:rPr>
            </w:pPr>
          </w:p>
        </w:tc>
        <w:tc>
          <w:tcPr>
            <w:tcW w:w="5670" w:type="dxa"/>
            <w:tcBorders>
              <w:top w:val="nil"/>
              <w:left w:val="single" w:color="auto" w:sz="4" w:space="0"/>
              <w:bottom w:val="nil"/>
              <w:right w:val="nil"/>
            </w:tcBorders>
            <w:shd w:val="clear" w:color="auto" w:fill="auto"/>
            <w:noWrap/>
            <w:vAlign w:val="bottom"/>
          </w:tcPr>
          <w:p w:rsidRPr="00310D56" w:rsidR="001D6161" w:rsidP="009E6DF8" w:rsidRDefault="001D6161" w14:paraId="1C45D69F" w14:textId="77777777">
            <w:pPr>
              <w:spacing w:after="0" w:line="240" w:lineRule="auto"/>
              <w:rPr>
                <w:rFonts w:eastAsia="Times New Roman" w:cs="Arial"/>
                <w:sz w:val="20"/>
                <w:szCs w:val="20"/>
                <w:lang w:eastAsia="en-GB"/>
              </w:rPr>
            </w:pPr>
          </w:p>
        </w:tc>
        <w:tc>
          <w:tcPr>
            <w:tcW w:w="1418" w:type="dxa"/>
            <w:tcBorders>
              <w:top w:val="nil"/>
              <w:left w:val="single" w:color="auto" w:sz="4" w:space="0"/>
              <w:bottom w:val="nil"/>
              <w:right w:val="single" w:color="auto" w:sz="4" w:space="0"/>
            </w:tcBorders>
            <w:shd w:val="clear" w:color="auto" w:fill="auto"/>
            <w:noWrap/>
            <w:vAlign w:val="bottom"/>
          </w:tcPr>
          <w:p w:rsidRPr="00310D56" w:rsidR="001D6161" w:rsidP="00C23C47" w:rsidRDefault="001D6161" w14:paraId="3E4754AC" w14:textId="77777777">
            <w:pPr>
              <w:spacing w:after="0" w:line="240" w:lineRule="auto"/>
              <w:jc w:val="right"/>
              <w:rPr>
                <w:rFonts w:eastAsia="Times New Roman" w:cs="Arial"/>
                <w:sz w:val="20"/>
                <w:szCs w:val="20"/>
                <w:lang w:eastAsia="en-GB"/>
              </w:rPr>
            </w:pPr>
          </w:p>
        </w:tc>
      </w:tr>
      <w:tr w:rsidRPr="00614894" w:rsidR="009E6DF8" w:rsidTr="00A325B2" w14:paraId="2AF570F2" w14:textId="77777777">
        <w:trPr>
          <w:trHeight w:val="255"/>
        </w:trPr>
        <w:tc>
          <w:tcPr>
            <w:tcW w:w="1559" w:type="dxa"/>
            <w:tcBorders>
              <w:top w:val="nil"/>
              <w:left w:val="single" w:color="auto" w:sz="4" w:space="0"/>
              <w:bottom w:val="nil"/>
              <w:right w:val="single" w:color="auto" w:sz="4" w:space="0"/>
            </w:tcBorders>
            <w:shd w:val="clear" w:color="auto" w:fill="auto"/>
            <w:vAlign w:val="bottom"/>
          </w:tcPr>
          <w:p w:rsidRPr="00310D56" w:rsidR="00845F6A" w:rsidP="00C23C47" w:rsidRDefault="00845F6A" w14:paraId="6B71463A" w14:textId="645DA149">
            <w:pPr>
              <w:spacing w:after="0" w:line="240" w:lineRule="auto"/>
              <w:jc w:val="right"/>
              <w:rPr>
                <w:rFonts w:eastAsia="Times New Roman" w:cs="Arial"/>
                <w:sz w:val="20"/>
                <w:szCs w:val="20"/>
                <w:lang w:eastAsia="en-GB"/>
              </w:rPr>
            </w:pPr>
          </w:p>
          <w:p w:rsidRPr="00310D56" w:rsidR="009E6DF8" w:rsidP="00C23C47" w:rsidRDefault="009F085B" w14:paraId="7014283E" w14:textId="4FA76EE4">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310D56" w:rsidR="00310D56">
              <w:rPr>
                <w:rFonts w:eastAsia="Times New Roman" w:cs="Arial"/>
                <w:sz w:val="20"/>
                <w:szCs w:val="20"/>
                <w:lang w:eastAsia="en-GB"/>
              </w:rPr>
              <w:t>700</w:t>
            </w:r>
            <w:r>
              <w:rPr>
                <w:rFonts w:eastAsia="Times New Roman" w:cs="Arial"/>
                <w:sz w:val="20"/>
                <w:szCs w:val="20"/>
                <w:lang w:eastAsia="en-GB"/>
              </w:rPr>
              <w:t>)</w:t>
            </w:r>
          </w:p>
        </w:tc>
        <w:tc>
          <w:tcPr>
            <w:tcW w:w="5670" w:type="dxa"/>
            <w:tcBorders>
              <w:top w:val="nil"/>
              <w:left w:val="single" w:color="auto" w:sz="4" w:space="0"/>
              <w:bottom w:val="nil"/>
              <w:right w:val="nil"/>
            </w:tcBorders>
            <w:shd w:val="clear" w:color="auto" w:fill="auto"/>
            <w:noWrap/>
            <w:vAlign w:val="bottom"/>
            <w:hideMark/>
          </w:tcPr>
          <w:p w:rsidRPr="00310D56" w:rsidR="0088061A" w:rsidP="009E6DF8" w:rsidRDefault="009E6DF8" w14:paraId="5058C790" w14:textId="7F11C1F9">
            <w:pPr>
              <w:spacing w:after="0" w:line="240" w:lineRule="auto"/>
              <w:rPr>
                <w:rFonts w:eastAsia="Times New Roman" w:cs="Arial"/>
                <w:sz w:val="20"/>
                <w:szCs w:val="20"/>
                <w:lang w:eastAsia="en-GB"/>
              </w:rPr>
            </w:pPr>
            <w:r w:rsidRPr="00310D56">
              <w:rPr>
                <w:rFonts w:eastAsia="Times New Roman" w:cs="Arial"/>
                <w:sz w:val="20"/>
                <w:szCs w:val="20"/>
                <w:lang w:eastAsia="en-GB"/>
              </w:rPr>
              <w:t>Reversal of items relating to retirement benefits debited o</w:t>
            </w:r>
            <w:r w:rsidR="000676FB">
              <w:rPr>
                <w:rFonts w:eastAsia="Times New Roman" w:cs="Arial"/>
                <w:sz w:val="20"/>
                <w:szCs w:val="20"/>
                <w:lang w:eastAsia="en-GB"/>
              </w:rPr>
              <w:t>r</w:t>
            </w:r>
            <w:r w:rsidRPr="00310D56">
              <w:rPr>
                <w:rFonts w:eastAsia="Times New Roman" w:cs="Arial"/>
                <w:sz w:val="20"/>
                <w:szCs w:val="20"/>
                <w:lang w:eastAsia="en-GB"/>
              </w:rPr>
              <w:t xml:space="preserve"> credited to the Surplus or Deficit on the Provision of Services in the CIES</w:t>
            </w:r>
          </w:p>
        </w:tc>
        <w:tc>
          <w:tcPr>
            <w:tcW w:w="1418" w:type="dxa"/>
            <w:tcBorders>
              <w:top w:val="nil"/>
              <w:left w:val="single" w:color="auto" w:sz="4" w:space="0"/>
              <w:bottom w:val="nil"/>
              <w:right w:val="single" w:color="auto" w:sz="4" w:space="0"/>
            </w:tcBorders>
            <w:shd w:val="clear" w:color="auto" w:fill="auto"/>
            <w:noWrap/>
            <w:vAlign w:val="bottom"/>
          </w:tcPr>
          <w:p w:rsidRPr="00310D56" w:rsidR="009E6DF8" w:rsidP="00C23C47" w:rsidRDefault="009F085B" w14:paraId="78ECAEA9" w14:textId="15618A63">
            <w:pPr>
              <w:spacing w:after="0" w:line="240" w:lineRule="auto"/>
              <w:jc w:val="right"/>
              <w:rPr>
                <w:rFonts w:eastAsia="Times New Roman" w:cs="Arial"/>
                <w:sz w:val="20"/>
                <w:szCs w:val="20"/>
                <w:lang w:eastAsia="en-GB"/>
              </w:rPr>
            </w:pPr>
            <w:r>
              <w:rPr>
                <w:rFonts w:eastAsia="Times New Roman" w:cs="Arial"/>
                <w:sz w:val="20"/>
                <w:szCs w:val="20"/>
                <w:lang w:eastAsia="en-GB"/>
              </w:rPr>
              <w:t>(</w:t>
            </w:r>
            <w:r w:rsidRPr="00310D56" w:rsidR="00310D56">
              <w:rPr>
                <w:rFonts w:eastAsia="Times New Roman" w:cs="Arial"/>
                <w:sz w:val="20"/>
                <w:szCs w:val="20"/>
                <w:lang w:eastAsia="en-GB"/>
              </w:rPr>
              <w:t>750</w:t>
            </w:r>
            <w:r>
              <w:rPr>
                <w:rFonts w:eastAsia="Times New Roman" w:cs="Arial"/>
                <w:sz w:val="20"/>
                <w:szCs w:val="20"/>
                <w:lang w:eastAsia="en-GB"/>
              </w:rPr>
              <w:t>)</w:t>
            </w:r>
          </w:p>
        </w:tc>
      </w:tr>
      <w:tr w:rsidRPr="00614894" w:rsidR="00E218C4" w:rsidTr="00A325B2" w14:paraId="0C2EE853" w14:textId="77777777">
        <w:trPr>
          <w:trHeight w:val="255"/>
        </w:trPr>
        <w:tc>
          <w:tcPr>
            <w:tcW w:w="1559" w:type="dxa"/>
            <w:tcBorders>
              <w:top w:val="nil"/>
              <w:left w:val="single" w:color="auto" w:sz="4" w:space="0"/>
              <w:bottom w:val="nil"/>
              <w:right w:val="single" w:color="auto" w:sz="4" w:space="0"/>
            </w:tcBorders>
            <w:shd w:val="clear" w:color="auto" w:fill="auto"/>
            <w:vAlign w:val="bottom"/>
          </w:tcPr>
          <w:p w:rsidRPr="00310D56" w:rsidR="00E218C4" w:rsidP="00C23C47" w:rsidRDefault="00E218C4" w14:paraId="3A485F92" w14:textId="77777777">
            <w:pPr>
              <w:spacing w:after="0" w:line="240" w:lineRule="auto"/>
              <w:jc w:val="right"/>
              <w:rPr>
                <w:rFonts w:eastAsia="Times New Roman" w:cs="Arial"/>
                <w:sz w:val="20"/>
                <w:szCs w:val="20"/>
                <w:lang w:eastAsia="en-GB"/>
              </w:rPr>
            </w:pPr>
          </w:p>
        </w:tc>
        <w:tc>
          <w:tcPr>
            <w:tcW w:w="5670" w:type="dxa"/>
            <w:tcBorders>
              <w:top w:val="nil"/>
              <w:left w:val="single" w:color="auto" w:sz="4" w:space="0"/>
              <w:bottom w:val="nil"/>
              <w:right w:val="nil"/>
            </w:tcBorders>
            <w:shd w:val="clear" w:color="auto" w:fill="auto"/>
            <w:noWrap/>
            <w:vAlign w:val="bottom"/>
          </w:tcPr>
          <w:p w:rsidRPr="00310D56" w:rsidR="00E218C4" w:rsidP="009E6DF8" w:rsidRDefault="00E218C4" w14:paraId="05872B86" w14:textId="77777777">
            <w:pPr>
              <w:spacing w:after="0" w:line="240" w:lineRule="auto"/>
              <w:rPr>
                <w:rFonts w:eastAsia="Times New Roman" w:cs="Arial"/>
                <w:sz w:val="20"/>
                <w:szCs w:val="20"/>
                <w:lang w:eastAsia="en-GB"/>
              </w:rPr>
            </w:pPr>
          </w:p>
        </w:tc>
        <w:tc>
          <w:tcPr>
            <w:tcW w:w="1418" w:type="dxa"/>
            <w:tcBorders>
              <w:top w:val="nil"/>
              <w:left w:val="single" w:color="auto" w:sz="4" w:space="0"/>
              <w:bottom w:val="nil"/>
              <w:right w:val="single" w:color="auto" w:sz="4" w:space="0"/>
            </w:tcBorders>
            <w:shd w:val="clear" w:color="auto" w:fill="auto"/>
            <w:noWrap/>
            <w:vAlign w:val="bottom"/>
          </w:tcPr>
          <w:p w:rsidRPr="00310D56" w:rsidR="00E218C4" w:rsidP="00C23C47" w:rsidRDefault="00E218C4" w14:paraId="2D9D7219" w14:textId="77777777">
            <w:pPr>
              <w:spacing w:after="0" w:line="240" w:lineRule="auto"/>
              <w:jc w:val="right"/>
              <w:rPr>
                <w:rFonts w:eastAsia="Times New Roman" w:cs="Arial"/>
                <w:sz w:val="20"/>
                <w:szCs w:val="20"/>
                <w:lang w:eastAsia="en-GB"/>
              </w:rPr>
            </w:pPr>
          </w:p>
        </w:tc>
      </w:tr>
      <w:tr w:rsidRPr="00614894" w:rsidR="009E6DF8" w:rsidTr="00A325B2" w14:paraId="3F5DBD31" w14:textId="77777777">
        <w:trPr>
          <w:trHeight w:val="255"/>
        </w:trPr>
        <w:tc>
          <w:tcPr>
            <w:tcW w:w="1559" w:type="dxa"/>
            <w:tcBorders>
              <w:top w:val="nil"/>
              <w:left w:val="single" w:color="auto" w:sz="4" w:space="0"/>
              <w:bottom w:val="nil"/>
              <w:right w:val="single" w:color="auto" w:sz="4" w:space="0"/>
            </w:tcBorders>
            <w:shd w:val="clear" w:color="auto" w:fill="auto"/>
            <w:vAlign w:val="bottom"/>
          </w:tcPr>
          <w:p w:rsidRPr="00310D56" w:rsidR="009E6DF8" w:rsidP="00C23C47" w:rsidRDefault="00B715CA" w14:paraId="7E937750" w14:textId="2F8997C4">
            <w:pPr>
              <w:spacing w:after="0" w:line="240" w:lineRule="auto"/>
              <w:jc w:val="right"/>
              <w:rPr>
                <w:rFonts w:eastAsia="Times New Roman" w:cs="Arial"/>
                <w:sz w:val="20"/>
                <w:szCs w:val="20"/>
                <w:lang w:eastAsia="en-GB"/>
              </w:rPr>
            </w:pPr>
            <w:r w:rsidRPr="00310D56">
              <w:rPr>
                <w:rFonts w:eastAsia="Times New Roman" w:cs="Arial"/>
                <w:sz w:val="20"/>
                <w:szCs w:val="20"/>
                <w:lang w:eastAsia="en-GB"/>
              </w:rPr>
              <w:t xml:space="preserve">            </w:t>
            </w:r>
            <w:r w:rsidRPr="00310D56" w:rsidR="00310D56">
              <w:rPr>
                <w:rFonts w:eastAsia="Times New Roman" w:cs="Arial"/>
                <w:sz w:val="20"/>
                <w:szCs w:val="20"/>
                <w:lang w:eastAsia="en-GB"/>
              </w:rPr>
              <w:t>310</w:t>
            </w:r>
          </w:p>
        </w:tc>
        <w:tc>
          <w:tcPr>
            <w:tcW w:w="5670" w:type="dxa"/>
            <w:tcBorders>
              <w:top w:val="nil"/>
              <w:left w:val="single" w:color="auto" w:sz="4" w:space="0"/>
              <w:bottom w:val="nil"/>
              <w:right w:val="nil"/>
            </w:tcBorders>
            <w:shd w:val="clear" w:color="auto" w:fill="auto"/>
            <w:noWrap/>
            <w:vAlign w:val="bottom"/>
            <w:hideMark/>
          </w:tcPr>
          <w:p w:rsidRPr="00310D56" w:rsidR="009E6DF8" w:rsidP="009E6DF8" w:rsidRDefault="009E6DF8" w14:paraId="7A553CFB" w14:textId="77777777">
            <w:pPr>
              <w:spacing w:after="0" w:line="240" w:lineRule="auto"/>
              <w:rPr>
                <w:rFonts w:eastAsia="Times New Roman" w:cs="Arial"/>
                <w:sz w:val="20"/>
                <w:szCs w:val="20"/>
                <w:lang w:eastAsia="en-GB"/>
              </w:rPr>
            </w:pPr>
            <w:r w:rsidRPr="00310D56">
              <w:rPr>
                <w:rFonts w:eastAsia="Times New Roman" w:cs="Arial"/>
                <w:sz w:val="20"/>
                <w:szCs w:val="20"/>
                <w:lang w:eastAsia="en-GB"/>
              </w:rPr>
              <w:t>Employers pension contribution and direct payments to pensioners payable in the year</w:t>
            </w:r>
          </w:p>
        </w:tc>
        <w:tc>
          <w:tcPr>
            <w:tcW w:w="1418" w:type="dxa"/>
            <w:tcBorders>
              <w:top w:val="nil"/>
              <w:left w:val="single" w:color="auto" w:sz="4" w:space="0"/>
              <w:bottom w:val="nil"/>
              <w:right w:val="single" w:color="auto" w:sz="4" w:space="0"/>
            </w:tcBorders>
            <w:shd w:val="clear" w:color="auto" w:fill="auto"/>
            <w:noWrap/>
            <w:vAlign w:val="bottom"/>
          </w:tcPr>
          <w:p w:rsidRPr="00310D56" w:rsidR="009E6DF8" w:rsidP="00C23C47" w:rsidRDefault="00310D56" w14:paraId="33117261" w14:textId="503BD992">
            <w:pPr>
              <w:spacing w:after="0" w:line="240" w:lineRule="auto"/>
              <w:jc w:val="right"/>
              <w:rPr>
                <w:rFonts w:eastAsia="Times New Roman" w:cs="Arial"/>
                <w:sz w:val="20"/>
                <w:szCs w:val="20"/>
                <w:lang w:eastAsia="en-GB"/>
              </w:rPr>
            </w:pPr>
            <w:r w:rsidRPr="00310D56">
              <w:rPr>
                <w:rFonts w:eastAsia="Times New Roman" w:cs="Arial"/>
                <w:sz w:val="20"/>
                <w:szCs w:val="20"/>
                <w:lang w:eastAsia="en-GB"/>
              </w:rPr>
              <w:t>290</w:t>
            </w:r>
          </w:p>
        </w:tc>
      </w:tr>
      <w:tr w:rsidRPr="00614894" w:rsidR="009E6DF8" w:rsidTr="00A325B2" w14:paraId="28B96DCD" w14:textId="77777777">
        <w:trPr>
          <w:trHeight w:val="255"/>
        </w:trPr>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Pr="009E054E" w:rsidR="009E6DF8" w:rsidP="009E6DF8" w:rsidRDefault="009F085B" w14:paraId="0A2FE55C" w14:textId="4E5ADBCC">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9E054E" w:rsidR="00310D56">
              <w:rPr>
                <w:rFonts w:eastAsia="Times New Roman" w:cs="Arial"/>
                <w:b/>
                <w:sz w:val="20"/>
                <w:szCs w:val="20"/>
                <w:lang w:eastAsia="en-GB"/>
              </w:rPr>
              <w:t>520</w:t>
            </w:r>
            <w:r>
              <w:rPr>
                <w:rFonts w:eastAsia="Times New Roman" w:cs="Arial"/>
                <w:b/>
                <w:sz w:val="20"/>
                <w:szCs w:val="20"/>
                <w:lang w:eastAsia="en-GB"/>
              </w:rPr>
              <w:t>)</w:t>
            </w:r>
          </w:p>
        </w:tc>
        <w:tc>
          <w:tcPr>
            <w:tcW w:w="5670"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9E054E" w:rsidR="009E6DF8" w:rsidP="009E6DF8" w:rsidRDefault="009E6DF8" w14:paraId="6A7EA4C1" w14:textId="77777777">
            <w:pPr>
              <w:spacing w:after="0" w:line="240" w:lineRule="auto"/>
              <w:rPr>
                <w:rFonts w:eastAsia="Times New Roman" w:cs="Arial"/>
                <w:sz w:val="20"/>
                <w:szCs w:val="20"/>
                <w:lang w:eastAsia="en-GB"/>
              </w:rPr>
            </w:pPr>
            <w:r w:rsidRPr="009E054E">
              <w:rPr>
                <w:rFonts w:eastAsia="Times New Roman" w:cs="Arial"/>
                <w:b/>
                <w:bCs/>
                <w:sz w:val="20"/>
                <w:szCs w:val="20"/>
                <w:lang w:eastAsia="en-GB"/>
              </w:rPr>
              <w:t xml:space="preserve">Balance as at the </w:t>
            </w:r>
            <w:proofErr w:type="gramStart"/>
            <w:r w:rsidRPr="009E054E">
              <w:rPr>
                <w:rFonts w:eastAsia="Times New Roman" w:cs="Arial"/>
                <w:b/>
                <w:bCs/>
                <w:sz w:val="20"/>
                <w:szCs w:val="20"/>
                <w:lang w:eastAsia="en-GB"/>
              </w:rPr>
              <w:t>31st</w:t>
            </w:r>
            <w:proofErr w:type="gramEnd"/>
            <w:r w:rsidRPr="009E054E">
              <w:rPr>
                <w:rFonts w:eastAsia="Times New Roman" w:cs="Arial"/>
                <w:b/>
                <w:bCs/>
                <w:sz w:val="20"/>
                <w:szCs w:val="20"/>
                <w:lang w:eastAsia="en-GB"/>
              </w:rPr>
              <w:t xml:space="preserve"> March </w:t>
            </w: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310D56" w:rsidR="009E6DF8" w:rsidP="009E6DF8" w:rsidRDefault="009F085B" w14:paraId="17837202" w14:textId="355248A0">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310D56" w:rsidR="00310D56">
              <w:rPr>
                <w:rFonts w:eastAsia="Times New Roman" w:cs="Arial"/>
                <w:b/>
                <w:sz w:val="20"/>
                <w:szCs w:val="20"/>
                <w:lang w:eastAsia="en-GB"/>
              </w:rPr>
              <w:t>3,480</w:t>
            </w:r>
            <w:r>
              <w:rPr>
                <w:rFonts w:eastAsia="Times New Roman" w:cs="Arial"/>
                <w:b/>
                <w:sz w:val="20"/>
                <w:szCs w:val="20"/>
                <w:lang w:eastAsia="en-GB"/>
              </w:rPr>
              <w:t>)</w:t>
            </w:r>
          </w:p>
        </w:tc>
      </w:tr>
    </w:tbl>
    <w:p w:rsidRPr="00614894" w:rsidR="00980175" w:rsidP="003A3D87" w:rsidRDefault="00980175" w14:paraId="6CB6185A" w14:textId="77777777">
      <w:pPr>
        <w:ind w:left="709"/>
        <w:rPr>
          <w:highlight w:val="yellow"/>
        </w:rPr>
      </w:pPr>
    </w:p>
    <w:p w:rsidRPr="00C5221F" w:rsidR="00723164" w:rsidP="00467BBE" w:rsidRDefault="002B59DF" w14:paraId="20D12E75" w14:textId="77777777">
      <w:pPr>
        <w:pStyle w:val="Heading2"/>
      </w:pPr>
      <w:r w:rsidRPr="00C5221F">
        <w:t xml:space="preserve"> </w:t>
      </w:r>
      <w:r w:rsidRPr="00C5221F" w:rsidR="00803BC5">
        <w:t>Short Term Accumulated Absence Account</w:t>
      </w:r>
    </w:p>
    <w:p w:rsidRPr="00A325B2" w:rsidR="00F33C39" w:rsidP="00A325B2" w:rsidRDefault="00803BC5" w14:paraId="006CFF05" w14:textId="616B3141">
      <w:pPr>
        <w:jc w:val="both"/>
        <w:rPr>
          <w:rFonts w:cs="Arial"/>
        </w:rPr>
      </w:pPr>
      <w:r w:rsidRPr="00A325B2">
        <w:rPr>
          <w:rFonts w:cs="Arial"/>
        </w:rPr>
        <w:t>The short term accumulated absence account absorbs the differences that would otherwise ari</w:t>
      </w:r>
      <w:r w:rsidRPr="00A325B2" w:rsidR="00BB2DA8">
        <w:rPr>
          <w:rFonts w:cs="Arial"/>
        </w:rPr>
        <w:t xml:space="preserve">se on </w:t>
      </w:r>
      <w:r w:rsidRPr="00A325B2" w:rsidR="00AE1CBD">
        <w:rPr>
          <w:rFonts w:cs="Arial"/>
        </w:rPr>
        <w:t xml:space="preserve">VVC </w:t>
      </w:r>
      <w:r w:rsidRPr="00A325B2">
        <w:rPr>
          <w:rFonts w:cs="Arial"/>
        </w:rPr>
        <w:t>reserves from accruing for compensated absences earned but not yet taken in the financial year</w:t>
      </w:r>
      <w:r w:rsidRPr="00A325B2" w:rsidR="00980175">
        <w:rPr>
          <w:rFonts w:cs="Arial"/>
        </w:rPr>
        <w:t xml:space="preserve"> i.e. annual leave carried forward </w:t>
      </w:r>
      <w:proofErr w:type="gramStart"/>
      <w:r w:rsidRPr="00A325B2" w:rsidR="00980175">
        <w:rPr>
          <w:rFonts w:cs="Arial"/>
        </w:rPr>
        <w:t>at</w:t>
      </w:r>
      <w:proofErr w:type="gramEnd"/>
      <w:r w:rsidRPr="00A325B2" w:rsidR="00980175">
        <w:rPr>
          <w:rFonts w:cs="Arial"/>
        </w:rPr>
        <w:t xml:space="preserve"> 31</w:t>
      </w:r>
      <w:r w:rsidRPr="00A325B2" w:rsidR="00980175">
        <w:rPr>
          <w:rFonts w:cs="Arial"/>
          <w:vertAlign w:val="superscript"/>
        </w:rPr>
        <w:t>st</w:t>
      </w:r>
      <w:r w:rsidRPr="00A325B2" w:rsidR="00980175">
        <w:rPr>
          <w:rFonts w:cs="Arial"/>
        </w:rPr>
        <w:t xml:space="preserve"> March.  Statutory arrangements require that the impact on the </w:t>
      </w:r>
      <w:r w:rsidRPr="00A325B2" w:rsidR="00AE1CBD">
        <w:rPr>
          <w:rFonts w:cs="Arial"/>
        </w:rPr>
        <w:t>VVC</w:t>
      </w:r>
      <w:r w:rsidRPr="00A325B2" w:rsidR="001E2079">
        <w:rPr>
          <w:rFonts w:cs="Arial"/>
        </w:rPr>
        <w:t>’s</w:t>
      </w:r>
      <w:r w:rsidRPr="00A325B2" w:rsidR="00AE1CBD">
        <w:rPr>
          <w:rFonts w:cs="Arial"/>
        </w:rPr>
        <w:t xml:space="preserve"> </w:t>
      </w:r>
      <w:r w:rsidRPr="00A325B2" w:rsidR="00980175">
        <w:rPr>
          <w:rFonts w:cs="Arial"/>
        </w:rPr>
        <w:t>Fund Balance is neutralised by transfers to/from the Account.</w:t>
      </w:r>
    </w:p>
    <w:tbl>
      <w:tblPr>
        <w:tblW w:w="8647" w:type="dxa"/>
        <w:tblInd w:w="-5" w:type="dxa"/>
        <w:tblLook w:val="04A0" w:firstRow="1" w:lastRow="0" w:firstColumn="1" w:lastColumn="0" w:noHBand="0" w:noVBand="1"/>
      </w:tblPr>
      <w:tblGrid>
        <w:gridCol w:w="1559"/>
        <w:gridCol w:w="5670"/>
        <w:gridCol w:w="1418"/>
      </w:tblGrid>
      <w:tr w:rsidRPr="00614894" w:rsidR="00F729D4" w:rsidTr="00A325B2" w14:paraId="786DF6C7" w14:textId="77777777">
        <w:trPr>
          <w:trHeight w:val="255"/>
        </w:trPr>
        <w:tc>
          <w:tcPr>
            <w:tcW w:w="1559" w:type="dxa"/>
            <w:tcBorders>
              <w:top w:val="single" w:color="auto" w:sz="4" w:space="0"/>
              <w:left w:val="single" w:color="auto" w:sz="4" w:space="0"/>
              <w:bottom w:val="nil"/>
              <w:right w:val="nil"/>
            </w:tcBorders>
            <w:shd w:val="clear" w:color="auto" w:fill="DBE5F1" w:themeFill="accent1" w:themeFillTint="33"/>
          </w:tcPr>
          <w:p w:rsidRPr="004C5D3B" w:rsidR="00F729D4" w:rsidP="00F729D4" w:rsidRDefault="001045DC" w14:paraId="70801338" w14:textId="45D1C595">
            <w:pPr>
              <w:spacing w:after="0" w:line="240" w:lineRule="auto"/>
              <w:jc w:val="center"/>
              <w:rPr>
                <w:rFonts w:eastAsia="Times New Roman" w:cs="Arial"/>
                <w:b/>
                <w:sz w:val="20"/>
                <w:szCs w:val="20"/>
                <w:lang w:eastAsia="en-GB"/>
              </w:rPr>
            </w:pPr>
            <w:r w:rsidRPr="004C5D3B">
              <w:rPr>
                <w:rFonts w:eastAsia="Times New Roman" w:cs="Arial"/>
                <w:b/>
                <w:sz w:val="20"/>
                <w:szCs w:val="20"/>
                <w:lang w:eastAsia="en-GB"/>
              </w:rPr>
              <w:t>202</w:t>
            </w:r>
            <w:r w:rsidRPr="004C5D3B" w:rsidR="00A7158E">
              <w:rPr>
                <w:rFonts w:eastAsia="Times New Roman" w:cs="Arial"/>
                <w:b/>
                <w:sz w:val="20"/>
                <w:szCs w:val="20"/>
                <w:lang w:eastAsia="en-GB"/>
              </w:rPr>
              <w:t>2</w:t>
            </w:r>
            <w:r w:rsidRPr="004C5D3B">
              <w:rPr>
                <w:rFonts w:eastAsia="Times New Roman" w:cs="Arial"/>
                <w:b/>
                <w:sz w:val="20"/>
                <w:szCs w:val="20"/>
                <w:lang w:eastAsia="en-GB"/>
              </w:rPr>
              <w:t>/2</w:t>
            </w:r>
            <w:r w:rsidRPr="004C5D3B" w:rsidR="00A7158E">
              <w:rPr>
                <w:rFonts w:eastAsia="Times New Roman" w:cs="Arial"/>
                <w:b/>
                <w:sz w:val="20"/>
                <w:szCs w:val="20"/>
                <w:lang w:eastAsia="en-GB"/>
              </w:rPr>
              <w:t>3</w:t>
            </w:r>
          </w:p>
        </w:tc>
        <w:tc>
          <w:tcPr>
            <w:tcW w:w="5670" w:type="dxa"/>
            <w:tcBorders>
              <w:top w:val="single" w:color="auto" w:sz="4" w:space="0"/>
              <w:left w:val="single" w:color="auto" w:sz="4" w:space="0"/>
              <w:bottom w:val="nil"/>
              <w:right w:val="nil"/>
            </w:tcBorders>
            <w:shd w:val="clear" w:color="auto" w:fill="DBE5F1" w:themeFill="accent1" w:themeFillTint="33"/>
            <w:noWrap/>
            <w:vAlign w:val="bottom"/>
            <w:hideMark/>
          </w:tcPr>
          <w:p w:rsidRPr="004C5D3B" w:rsidR="00F729D4" w:rsidP="00594D25" w:rsidRDefault="00F729D4" w14:paraId="7C6E3238" w14:textId="77777777">
            <w:pPr>
              <w:spacing w:after="0" w:line="240" w:lineRule="auto"/>
              <w:rPr>
                <w:rFonts w:eastAsia="Times New Roman" w:cs="Arial"/>
                <w:b/>
                <w:sz w:val="20"/>
                <w:szCs w:val="20"/>
                <w:lang w:eastAsia="en-GB"/>
              </w:rPr>
            </w:pPr>
            <w:r w:rsidRPr="004C5D3B">
              <w:rPr>
                <w:rFonts w:eastAsia="Times New Roman" w:cs="Arial"/>
                <w:b/>
                <w:sz w:val="20"/>
                <w:szCs w:val="20"/>
                <w:lang w:eastAsia="en-GB"/>
              </w:rPr>
              <w:t> Accumulated Absences Account</w:t>
            </w:r>
          </w:p>
        </w:tc>
        <w:tc>
          <w:tcPr>
            <w:tcW w:w="1418" w:type="dxa"/>
            <w:tcBorders>
              <w:top w:val="single" w:color="auto" w:sz="4" w:space="0"/>
              <w:left w:val="single" w:color="auto" w:sz="4" w:space="0"/>
              <w:bottom w:val="nil"/>
              <w:right w:val="single" w:color="auto" w:sz="4" w:space="0"/>
            </w:tcBorders>
            <w:shd w:val="clear" w:color="auto" w:fill="DBE5F1" w:themeFill="accent1" w:themeFillTint="33"/>
            <w:noWrap/>
            <w:vAlign w:val="bottom"/>
          </w:tcPr>
          <w:p w:rsidRPr="004C5D3B" w:rsidR="00F729D4" w:rsidP="00594D25" w:rsidRDefault="001045DC" w14:paraId="2A8982DC" w14:textId="5F26F66C">
            <w:pPr>
              <w:spacing w:after="0" w:line="240" w:lineRule="auto"/>
              <w:jc w:val="center"/>
              <w:rPr>
                <w:rFonts w:eastAsia="Times New Roman" w:cs="Arial"/>
                <w:b/>
                <w:bCs/>
                <w:sz w:val="20"/>
                <w:szCs w:val="20"/>
                <w:lang w:eastAsia="en-GB"/>
              </w:rPr>
            </w:pPr>
            <w:r w:rsidRPr="004C5D3B">
              <w:rPr>
                <w:rFonts w:eastAsia="Times New Roman" w:cs="Arial"/>
                <w:b/>
                <w:bCs/>
                <w:sz w:val="20"/>
                <w:szCs w:val="20"/>
                <w:lang w:eastAsia="en-GB"/>
              </w:rPr>
              <w:t>202</w:t>
            </w:r>
            <w:r w:rsidRPr="004C5D3B" w:rsidR="00A7158E">
              <w:rPr>
                <w:rFonts w:eastAsia="Times New Roman" w:cs="Arial"/>
                <w:b/>
                <w:bCs/>
                <w:sz w:val="20"/>
                <w:szCs w:val="20"/>
                <w:lang w:eastAsia="en-GB"/>
              </w:rPr>
              <w:t>1</w:t>
            </w:r>
            <w:r w:rsidRPr="004C5D3B" w:rsidR="00A67D90">
              <w:rPr>
                <w:rFonts w:eastAsia="Times New Roman" w:cs="Arial"/>
                <w:b/>
                <w:bCs/>
                <w:sz w:val="20"/>
                <w:szCs w:val="20"/>
                <w:lang w:eastAsia="en-GB"/>
              </w:rPr>
              <w:t>/</w:t>
            </w:r>
            <w:r w:rsidRPr="004C5D3B">
              <w:rPr>
                <w:rFonts w:eastAsia="Times New Roman" w:cs="Arial"/>
                <w:b/>
                <w:bCs/>
                <w:sz w:val="20"/>
                <w:szCs w:val="20"/>
                <w:lang w:eastAsia="en-GB"/>
              </w:rPr>
              <w:t>2</w:t>
            </w:r>
            <w:r w:rsidRPr="004C5D3B" w:rsidR="00A7158E">
              <w:rPr>
                <w:rFonts w:eastAsia="Times New Roman" w:cs="Arial"/>
                <w:b/>
                <w:bCs/>
                <w:sz w:val="20"/>
                <w:szCs w:val="20"/>
                <w:lang w:eastAsia="en-GB"/>
              </w:rPr>
              <w:t>2</w:t>
            </w:r>
          </w:p>
        </w:tc>
      </w:tr>
      <w:tr w:rsidRPr="00614894" w:rsidR="00F729D4" w:rsidTr="00A325B2" w14:paraId="7768A25B" w14:textId="77777777">
        <w:trPr>
          <w:trHeight w:val="255"/>
        </w:trPr>
        <w:tc>
          <w:tcPr>
            <w:tcW w:w="1559" w:type="dxa"/>
            <w:tcBorders>
              <w:top w:val="nil"/>
              <w:left w:val="single" w:color="auto" w:sz="4" w:space="0"/>
              <w:bottom w:val="single" w:color="auto" w:sz="4" w:space="0"/>
              <w:right w:val="nil"/>
            </w:tcBorders>
            <w:shd w:val="clear" w:color="auto" w:fill="DBE5F1" w:themeFill="accent1" w:themeFillTint="33"/>
          </w:tcPr>
          <w:p w:rsidRPr="004C5D3B" w:rsidR="00F729D4" w:rsidP="00F729D4" w:rsidRDefault="00F729D4" w14:paraId="2DA12DB9" w14:textId="77777777">
            <w:pPr>
              <w:spacing w:after="0" w:line="240" w:lineRule="auto"/>
              <w:jc w:val="center"/>
              <w:rPr>
                <w:rFonts w:eastAsia="Times New Roman" w:cs="Arial"/>
                <w:b/>
                <w:sz w:val="20"/>
                <w:szCs w:val="20"/>
                <w:lang w:eastAsia="en-GB"/>
              </w:rPr>
            </w:pPr>
            <w:r w:rsidRPr="004C5D3B">
              <w:rPr>
                <w:rFonts w:eastAsia="Times New Roman" w:cs="Arial"/>
                <w:b/>
                <w:sz w:val="20"/>
                <w:szCs w:val="20"/>
                <w:lang w:eastAsia="en-GB"/>
              </w:rPr>
              <w:t>£’000</w:t>
            </w:r>
          </w:p>
        </w:tc>
        <w:tc>
          <w:tcPr>
            <w:tcW w:w="5670" w:type="dxa"/>
            <w:tcBorders>
              <w:top w:val="nil"/>
              <w:left w:val="single" w:color="auto" w:sz="4" w:space="0"/>
              <w:bottom w:val="single" w:color="auto" w:sz="4" w:space="0"/>
              <w:right w:val="nil"/>
            </w:tcBorders>
            <w:shd w:val="clear" w:color="auto" w:fill="DBE5F1" w:themeFill="accent1" w:themeFillTint="33"/>
            <w:noWrap/>
            <w:vAlign w:val="bottom"/>
            <w:hideMark/>
          </w:tcPr>
          <w:p w:rsidRPr="004C5D3B" w:rsidR="00F729D4" w:rsidP="00594D25" w:rsidRDefault="00F729D4" w14:paraId="1B63EEBF" w14:textId="77777777">
            <w:pPr>
              <w:spacing w:after="0" w:line="240" w:lineRule="auto"/>
              <w:rPr>
                <w:rFonts w:eastAsia="Times New Roman" w:cs="Arial"/>
                <w:sz w:val="20"/>
                <w:szCs w:val="20"/>
                <w:lang w:eastAsia="en-GB"/>
              </w:rPr>
            </w:pPr>
            <w:r w:rsidRPr="004C5D3B">
              <w:rPr>
                <w:rFonts w:eastAsia="Times New Roman" w:cs="Arial"/>
                <w:sz w:val="20"/>
                <w:szCs w:val="20"/>
                <w:lang w:eastAsia="en-GB"/>
              </w:rPr>
              <w:t> </w:t>
            </w:r>
          </w:p>
        </w:tc>
        <w:tc>
          <w:tcPr>
            <w:tcW w:w="1418"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4C5D3B" w:rsidR="00F729D4" w:rsidP="00594D25" w:rsidRDefault="00F729D4" w14:paraId="63CAD560" w14:textId="77777777">
            <w:pPr>
              <w:spacing w:after="0" w:line="240" w:lineRule="auto"/>
              <w:jc w:val="center"/>
              <w:rPr>
                <w:rFonts w:eastAsia="Times New Roman" w:cs="Arial"/>
                <w:b/>
                <w:bCs/>
                <w:sz w:val="20"/>
                <w:szCs w:val="20"/>
                <w:lang w:eastAsia="en-GB"/>
              </w:rPr>
            </w:pPr>
            <w:r w:rsidRPr="004C5D3B">
              <w:rPr>
                <w:rFonts w:eastAsia="Times New Roman" w:cs="Arial"/>
                <w:b/>
                <w:bCs/>
                <w:sz w:val="20"/>
                <w:szCs w:val="20"/>
                <w:lang w:eastAsia="en-GB"/>
              </w:rPr>
              <w:t>£'000</w:t>
            </w:r>
          </w:p>
        </w:tc>
      </w:tr>
      <w:tr w:rsidRPr="00614894" w:rsidR="002C2425" w:rsidTr="00A325B2" w14:paraId="0985DAFB" w14:textId="77777777">
        <w:trPr>
          <w:trHeight w:val="255"/>
        </w:trPr>
        <w:tc>
          <w:tcPr>
            <w:tcW w:w="1559" w:type="dxa"/>
            <w:tcBorders>
              <w:top w:val="nil"/>
              <w:left w:val="single" w:color="auto" w:sz="4" w:space="0"/>
              <w:bottom w:val="nil"/>
              <w:right w:val="single" w:color="auto" w:sz="4" w:space="0"/>
            </w:tcBorders>
            <w:shd w:val="clear" w:color="auto" w:fill="auto"/>
            <w:vAlign w:val="bottom"/>
          </w:tcPr>
          <w:p w:rsidRPr="00F330EE" w:rsidR="002C2425" w:rsidP="002C2425" w:rsidRDefault="009F085B" w14:paraId="04297F23" w14:textId="1BF460FE">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F330EE" w:rsidR="00C81336">
              <w:rPr>
                <w:rFonts w:eastAsia="Times New Roman" w:cs="Arial"/>
                <w:b/>
                <w:sz w:val="20"/>
                <w:szCs w:val="20"/>
                <w:lang w:eastAsia="en-GB"/>
              </w:rPr>
              <w:t>19</w:t>
            </w:r>
            <w:r>
              <w:rPr>
                <w:rFonts w:eastAsia="Times New Roman" w:cs="Arial"/>
                <w:b/>
                <w:sz w:val="20"/>
                <w:szCs w:val="20"/>
                <w:lang w:eastAsia="en-GB"/>
              </w:rPr>
              <w:t>)</w:t>
            </w:r>
          </w:p>
        </w:tc>
        <w:tc>
          <w:tcPr>
            <w:tcW w:w="5670" w:type="dxa"/>
            <w:tcBorders>
              <w:top w:val="nil"/>
              <w:left w:val="single" w:color="auto" w:sz="4" w:space="0"/>
              <w:bottom w:val="nil"/>
              <w:right w:val="nil"/>
            </w:tcBorders>
            <w:shd w:val="clear" w:color="auto" w:fill="auto"/>
            <w:noWrap/>
            <w:vAlign w:val="bottom"/>
            <w:hideMark/>
          </w:tcPr>
          <w:p w:rsidRPr="00F330EE" w:rsidR="002C2425" w:rsidP="002C2425" w:rsidRDefault="002C2425" w14:paraId="46FF21C7" w14:textId="77777777">
            <w:pPr>
              <w:spacing w:after="0" w:line="240" w:lineRule="auto"/>
              <w:rPr>
                <w:rFonts w:eastAsia="Times New Roman" w:cs="Arial"/>
                <w:b/>
                <w:sz w:val="20"/>
                <w:szCs w:val="20"/>
                <w:lang w:eastAsia="en-GB"/>
              </w:rPr>
            </w:pPr>
            <w:r w:rsidRPr="00F330EE">
              <w:rPr>
                <w:rFonts w:eastAsia="Times New Roman" w:cs="Arial"/>
                <w:b/>
                <w:sz w:val="20"/>
                <w:szCs w:val="20"/>
                <w:lang w:eastAsia="en-GB"/>
              </w:rPr>
              <w:t xml:space="preserve">Balance as </w:t>
            </w:r>
            <w:proofErr w:type="gramStart"/>
            <w:r w:rsidRPr="00F330EE">
              <w:rPr>
                <w:rFonts w:eastAsia="Times New Roman" w:cs="Arial"/>
                <w:b/>
                <w:sz w:val="20"/>
                <w:szCs w:val="20"/>
                <w:lang w:eastAsia="en-GB"/>
              </w:rPr>
              <w:t>at</w:t>
            </w:r>
            <w:proofErr w:type="gramEnd"/>
            <w:r w:rsidRPr="00F330EE">
              <w:rPr>
                <w:rFonts w:eastAsia="Times New Roman" w:cs="Arial"/>
                <w:b/>
                <w:sz w:val="20"/>
                <w:szCs w:val="20"/>
                <w:lang w:eastAsia="en-GB"/>
              </w:rPr>
              <w:t xml:space="preserve"> 1st April </w:t>
            </w:r>
          </w:p>
        </w:tc>
        <w:tc>
          <w:tcPr>
            <w:tcW w:w="1418" w:type="dxa"/>
            <w:tcBorders>
              <w:top w:val="nil"/>
              <w:left w:val="single" w:color="auto" w:sz="4" w:space="0"/>
              <w:bottom w:val="nil"/>
              <w:right w:val="single" w:color="auto" w:sz="4" w:space="0"/>
            </w:tcBorders>
            <w:shd w:val="clear" w:color="auto" w:fill="auto"/>
            <w:noWrap/>
            <w:vAlign w:val="bottom"/>
          </w:tcPr>
          <w:p w:rsidRPr="00F330EE" w:rsidR="002C2425" w:rsidP="002C2425" w:rsidRDefault="009F085B" w14:paraId="44BFB4BF" w14:textId="3EB62565">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F330EE" w:rsidR="004C5D3B">
              <w:rPr>
                <w:rFonts w:eastAsia="Times New Roman" w:cs="Arial"/>
                <w:b/>
                <w:sz w:val="20"/>
                <w:szCs w:val="20"/>
                <w:lang w:eastAsia="en-GB"/>
              </w:rPr>
              <w:t>42</w:t>
            </w:r>
            <w:r>
              <w:rPr>
                <w:rFonts w:eastAsia="Times New Roman" w:cs="Arial"/>
                <w:b/>
                <w:sz w:val="20"/>
                <w:szCs w:val="20"/>
                <w:lang w:eastAsia="en-GB"/>
              </w:rPr>
              <w:t>)</w:t>
            </w:r>
          </w:p>
        </w:tc>
      </w:tr>
      <w:tr w:rsidRPr="00614894" w:rsidR="002C2425" w:rsidTr="00A325B2" w14:paraId="3009E3DA" w14:textId="77777777">
        <w:trPr>
          <w:trHeight w:val="255"/>
        </w:trPr>
        <w:tc>
          <w:tcPr>
            <w:tcW w:w="1559" w:type="dxa"/>
            <w:tcBorders>
              <w:top w:val="nil"/>
              <w:left w:val="single" w:color="auto" w:sz="4" w:space="0"/>
              <w:bottom w:val="nil"/>
              <w:right w:val="single" w:color="auto" w:sz="4" w:space="0"/>
            </w:tcBorders>
            <w:shd w:val="clear" w:color="auto" w:fill="auto"/>
            <w:vAlign w:val="bottom"/>
          </w:tcPr>
          <w:p w:rsidRPr="00F330EE" w:rsidR="002C2425" w:rsidP="002C2425" w:rsidRDefault="009F085B" w14:paraId="6F2E8F9F" w14:textId="070EC31A">
            <w:pPr>
              <w:spacing w:after="0" w:line="240" w:lineRule="auto"/>
              <w:jc w:val="right"/>
              <w:rPr>
                <w:rFonts w:eastAsia="Times New Roman" w:cs="Arial"/>
                <w:b/>
                <w:sz w:val="20"/>
                <w:szCs w:val="20"/>
                <w:lang w:eastAsia="en-GB"/>
              </w:rPr>
            </w:pPr>
            <w:r>
              <w:rPr>
                <w:rFonts w:eastAsia="Times New Roman" w:cs="Arial"/>
                <w:b/>
                <w:sz w:val="20"/>
                <w:szCs w:val="20"/>
                <w:lang w:eastAsia="en-GB"/>
              </w:rPr>
              <w:t>(</w:t>
            </w:r>
            <w:r w:rsidRPr="00F330EE" w:rsidR="00F330EE">
              <w:rPr>
                <w:rFonts w:eastAsia="Times New Roman" w:cs="Arial"/>
                <w:b/>
                <w:sz w:val="20"/>
                <w:szCs w:val="20"/>
                <w:lang w:eastAsia="en-GB"/>
              </w:rPr>
              <w:t>21</w:t>
            </w:r>
            <w:r>
              <w:rPr>
                <w:rFonts w:eastAsia="Times New Roman" w:cs="Arial"/>
                <w:b/>
                <w:sz w:val="20"/>
                <w:szCs w:val="20"/>
                <w:lang w:eastAsia="en-GB"/>
              </w:rPr>
              <w:t>)</w:t>
            </w:r>
          </w:p>
        </w:tc>
        <w:tc>
          <w:tcPr>
            <w:tcW w:w="5670" w:type="dxa"/>
            <w:tcBorders>
              <w:top w:val="nil"/>
              <w:left w:val="single" w:color="auto" w:sz="4" w:space="0"/>
              <w:bottom w:val="nil"/>
              <w:right w:val="nil"/>
            </w:tcBorders>
            <w:shd w:val="clear" w:color="auto" w:fill="auto"/>
            <w:noWrap/>
            <w:vAlign w:val="bottom"/>
          </w:tcPr>
          <w:p w:rsidRPr="00F330EE" w:rsidR="002C2425" w:rsidP="002C2425" w:rsidRDefault="002C2425" w14:paraId="6848A8B1" w14:textId="77777777">
            <w:pPr>
              <w:spacing w:after="0" w:line="240" w:lineRule="auto"/>
              <w:rPr>
                <w:rFonts w:eastAsia="Times New Roman" w:cs="Arial"/>
                <w:sz w:val="20"/>
                <w:szCs w:val="20"/>
                <w:lang w:eastAsia="en-GB"/>
              </w:rPr>
            </w:pPr>
            <w:r w:rsidRPr="00F330EE">
              <w:rPr>
                <w:rFonts w:eastAsia="Times New Roman" w:cs="Arial"/>
                <w:sz w:val="20"/>
                <w:szCs w:val="20"/>
                <w:lang w:eastAsia="en-GB"/>
              </w:rPr>
              <w:t>Amounts accrued at the end of the current year</w:t>
            </w:r>
          </w:p>
        </w:tc>
        <w:tc>
          <w:tcPr>
            <w:tcW w:w="1418" w:type="dxa"/>
            <w:tcBorders>
              <w:top w:val="nil"/>
              <w:left w:val="single" w:color="auto" w:sz="4" w:space="0"/>
              <w:bottom w:val="nil"/>
              <w:right w:val="single" w:color="auto" w:sz="4" w:space="0"/>
            </w:tcBorders>
            <w:shd w:val="clear" w:color="auto" w:fill="auto"/>
            <w:noWrap/>
            <w:vAlign w:val="bottom"/>
          </w:tcPr>
          <w:p w:rsidRPr="00F330EE" w:rsidR="002C2425" w:rsidP="00F330EE" w:rsidRDefault="00F330EE" w14:paraId="467C77BA" w14:textId="6E5DDCB0">
            <w:pPr>
              <w:spacing w:after="0" w:line="240" w:lineRule="auto"/>
              <w:jc w:val="right"/>
              <w:rPr>
                <w:rFonts w:eastAsia="Times New Roman" w:cs="Arial"/>
                <w:b/>
                <w:sz w:val="20"/>
                <w:szCs w:val="20"/>
                <w:lang w:eastAsia="en-GB"/>
              </w:rPr>
            </w:pPr>
            <w:r w:rsidRPr="00F330EE">
              <w:rPr>
                <w:rFonts w:eastAsia="Times New Roman" w:cs="Arial"/>
                <w:b/>
                <w:sz w:val="20"/>
                <w:szCs w:val="20"/>
                <w:lang w:eastAsia="en-GB"/>
              </w:rPr>
              <w:t xml:space="preserve"> </w:t>
            </w:r>
            <w:r w:rsidR="009F085B">
              <w:rPr>
                <w:rFonts w:eastAsia="Times New Roman" w:cs="Arial"/>
                <w:b/>
                <w:sz w:val="20"/>
                <w:szCs w:val="20"/>
                <w:lang w:eastAsia="en-GB"/>
              </w:rPr>
              <w:t>(</w:t>
            </w:r>
            <w:r w:rsidRPr="00F330EE">
              <w:rPr>
                <w:rFonts w:eastAsia="Times New Roman" w:cs="Arial"/>
                <w:b/>
                <w:sz w:val="20"/>
                <w:szCs w:val="20"/>
                <w:lang w:eastAsia="en-GB"/>
              </w:rPr>
              <w:t>19</w:t>
            </w:r>
            <w:r w:rsidR="009F085B">
              <w:rPr>
                <w:rFonts w:eastAsia="Times New Roman" w:cs="Arial"/>
                <w:b/>
                <w:sz w:val="20"/>
                <w:szCs w:val="20"/>
                <w:lang w:eastAsia="en-GB"/>
              </w:rPr>
              <w:t>)</w:t>
            </w:r>
          </w:p>
        </w:tc>
      </w:tr>
      <w:tr w:rsidRPr="00614894" w:rsidR="002C2425" w:rsidTr="00A325B2" w14:paraId="3A912AE0" w14:textId="77777777">
        <w:trPr>
          <w:trHeight w:val="255"/>
        </w:trPr>
        <w:tc>
          <w:tcPr>
            <w:tcW w:w="1559" w:type="dxa"/>
            <w:tcBorders>
              <w:top w:val="nil"/>
              <w:left w:val="single" w:color="auto" w:sz="4" w:space="0"/>
              <w:bottom w:val="nil"/>
              <w:right w:val="single" w:color="auto" w:sz="4" w:space="0"/>
            </w:tcBorders>
            <w:shd w:val="clear" w:color="auto" w:fill="auto"/>
          </w:tcPr>
          <w:p w:rsidRPr="00F330EE" w:rsidR="002C2425" w:rsidP="002C2425" w:rsidRDefault="00F330EE" w14:paraId="0676EE67" w14:textId="54586247">
            <w:pPr>
              <w:spacing w:after="0" w:line="240" w:lineRule="auto"/>
              <w:jc w:val="right"/>
              <w:rPr>
                <w:rFonts w:eastAsia="Times New Roman" w:cs="Arial"/>
                <w:sz w:val="20"/>
                <w:szCs w:val="20"/>
                <w:lang w:eastAsia="en-GB"/>
              </w:rPr>
            </w:pPr>
            <w:r w:rsidRPr="00F330EE">
              <w:rPr>
                <w:rFonts w:eastAsia="Times New Roman" w:cs="Arial"/>
                <w:sz w:val="20"/>
                <w:szCs w:val="20"/>
                <w:lang w:eastAsia="en-GB"/>
              </w:rPr>
              <w:t>19</w:t>
            </w:r>
          </w:p>
        </w:tc>
        <w:tc>
          <w:tcPr>
            <w:tcW w:w="5670" w:type="dxa"/>
            <w:tcBorders>
              <w:top w:val="nil"/>
              <w:left w:val="single" w:color="auto" w:sz="4" w:space="0"/>
              <w:bottom w:val="nil"/>
              <w:right w:val="nil"/>
            </w:tcBorders>
            <w:shd w:val="clear" w:color="auto" w:fill="auto"/>
            <w:noWrap/>
            <w:vAlign w:val="bottom"/>
            <w:hideMark/>
          </w:tcPr>
          <w:p w:rsidRPr="00F330EE" w:rsidR="002C2425" w:rsidP="002C2425" w:rsidRDefault="002C2425" w14:paraId="1BA48E7B" w14:textId="77777777">
            <w:pPr>
              <w:spacing w:after="0" w:line="240" w:lineRule="auto"/>
              <w:rPr>
                <w:rFonts w:eastAsia="Times New Roman" w:cs="Arial"/>
                <w:sz w:val="20"/>
                <w:szCs w:val="20"/>
                <w:lang w:eastAsia="en-GB"/>
              </w:rPr>
            </w:pPr>
            <w:r w:rsidRPr="00F330EE">
              <w:rPr>
                <w:rFonts w:eastAsia="Times New Roman" w:cs="Arial"/>
                <w:sz w:val="20"/>
                <w:szCs w:val="20"/>
                <w:lang w:eastAsia="en-GB"/>
              </w:rPr>
              <w:t>Amounts by which officer remuneration charges to the CIES on an accrual basis is different from remuneration chargeable in the year in accordance with the statutory requirements.</w:t>
            </w:r>
          </w:p>
        </w:tc>
        <w:tc>
          <w:tcPr>
            <w:tcW w:w="1418" w:type="dxa"/>
            <w:tcBorders>
              <w:top w:val="nil"/>
              <w:left w:val="single" w:color="auto" w:sz="4" w:space="0"/>
              <w:bottom w:val="nil"/>
              <w:right w:val="single" w:color="auto" w:sz="4" w:space="0"/>
            </w:tcBorders>
            <w:shd w:val="clear" w:color="auto" w:fill="auto"/>
            <w:noWrap/>
          </w:tcPr>
          <w:p w:rsidRPr="00F330EE" w:rsidR="002C2425" w:rsidP="002C2425" w:rsidRDefault="00F330EE" w14:paraId="12FACCD8" w14:textId="632EC754">
            <w:pPr>
              <w:spacing w:after="0" w:line="240" w:lineRule="auto"/>
              <w:jc w:val="right"/>
              <w:rPr>
                <w:rFonts w:eastAsia="Times New Roman" w:cs="Arial"/>
                <w:sz w:val="20"/>
                <w:szCs w:val="20"/>
                <w:lang w:eastAsia="en-GB"/>
              </w:rPr>
            </w:pPr>
            <w:r w:rsidRPr="00F330EE">
              <w:rPr>
                <w:rFonts w:eastAsia="Times New Roman" w:cs="Arial"/>
                <w:sz w:val="20"/>
                <w:szCs w:val="20"/>
                <w:lang w:eastAsia="en-GB"/>
              </w:rPr>
              <w:t>42</w:t>
            </w:r>
          </w:p>
        </w:tc>
      </w:tr>
      <w:tr w:rsidRPr="00614894" w:rsidR="002C2425" w:rsidTr="00A325B2" w14:paraId="31D4B124" w14:textId="77777777">
        <w:trPr>
          <w:trHeight w:val="255"/>
        </w:trPr>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Pr="004C5D3B" w:rsidR="002C2425" w:rsidP="002C2425" w:rsidRDefault="009F085B" w14:paraId="6E2693E3" w14:textId="064B1B6B">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C5D3B" w:rsidR="00C81336">
              <w:rPr>
                <w:rFonts w:eastAsia="Times New Roman" w:cs="Arial"/>
                <w:b/>
                <w:bCs/>
                <w:sz w:val="20"/>
                <w:szCs w:val="20"/>
                <w:lang w:eastAsia="en-GB"/>
              </w:rPr>
              <w:t>21</w:t>
            </w:r>
            <w:r>
              <w:rPr>
                <w:rFonts w:eastAsia="Times New Roman" w:cs="Arial"/>
                <w:b/>
                <w:bCs/>
                <w:sz w:val="20"/>
                <w:szCs w:val="20"/>
                <w:lang w:eastAsia="en-GB"/>
              </w:rPr>
              <w:t>)</w:t>
            </w:r>
          </w:p>
        </w:tc>
        <w:tc>
          <w:tcPr>
            <w:tcW w:w="5670"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4C5D3B" w:rsidR="002C2425" w:rsidP="002C2425" w:rsidRDefault="002C2425" w14:paraId="5904545D" w14:textId="77777777">
            <w:pPr>
              <w:spacing w:after="0" w:line="240" w:lineRule="auto"/>
              <w:rPr>
                <w:rFonts w:eastAsia="Times New Roman" w:cs="Arial"/>
                <w:b/>
                <w:bCs/>
                <w:sz w:val="20"/>
                <w:szCs w:val="20"/>
                <w:lang w:eastAsia="en-GB"/>
              </w:rPr>
            </w:pPr>
            <w:r w:rsidRPr="004C5D3B">
              <w:rPr>
                <w:rFonts w:eastAsia="Times New Roman" w:cs="Arial"/>
                <w:b/>
                <w:bCs/>
                <w:sz w:val="20"/>
                <w:szCs w:val="20"/>
                <w:lang w:eastAsia="en-GB"/>
              </w:rPr>
              <w:t xml:space="preserve">Balance as </w:t>
            </w:r>
            <w:proofErr w:type="gramStart"/>
            <w:r w:rsidRPr="004C5D3B">
              <w:rPr>
                <w:rFonts w:eastAsia="Times New Roman" w:cs="Arial"/>
                <w:b/>
                <w:bCs/>
                <w:sz w:val="20"/>
                <w:szCs w:val="20"/>
                <w:lang w:eastAsia="en-GB"/>
              </w:rPr>
              <w:t>at</w:t>
            </w:r>
            <w:proofErr w:type="gramEnd"/>
            <w:r w:rsidRPr="004C5D3B">
              <w:rPr>
                <w:rFonts w:eastAsia="Times New Roman" w:cs="Arial"/>
                <w:b/>
                <w:bCs/>
                <w:sz w:val="20"/>
                <w:szCs w:val="20"/>
                <w:lang w:eastAsia="en-GB"/>
              </w:rPr>
              <w:t xml:space="preserve"> 31st March </w:t>
            </w: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tcPr>
          <w:p w:rsidRPr="004C5D3B" w:rsidR="002C2425" w:rsidP="002C2425" w:rsidRDefault="009F085B" w14:paraId="16255904" w14:textId="201E0FDF">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r w:rsidRPr="004C5D3B" w:rsidR="004C5D3B">
              <w:rPr>
                <w:rFonts w:eastAsia="Times New Roman" w:cs="Arial"/>
                <w:b/>
                <w:bCs/>
                <w:sz w:val="20"/>
                <w:szCs w:val="20"/>
                <w:lang w:eastAsia="en-GB"/>
              </w:rPr>
              <w:t>19</w:t>
            </w:r>
            <w:r>
              <w:rPr>
                <w:rFonts w:eastAsia="Times New Roman" w:cs="Arial"/>
                <w:b/>
                <w:bCs/>
                <w:sz w:val="20"/>
                <w:szCs w:val="20"/>
                <w:lang w:eastAsia="en-GB"/>
              </w:rPr>
              <w:t>)</w:t>
            </w:r>
          </w:p>
        </w:tc>
      </w:tr>
    </w:tbl>
    <w:p w:rsidR="00BB2DA8" w:rsidP="00BB2DA8" w:rsidRDefault="00BB2DA8" w14:paraId="479C7EE1" w14:textId="30B8EACF">
      <w:pPr>
        <w:rPr>
          <w:highlight w:val="yellow"/>
        </w:rPr>
      </w:pPr>
    </w:p>
    <w:p w:rsidRPr="00614894" w:rsidR="009F085B" w:rsidP="00BB2DA8" w:rsidRDefault="009F085B" w14:paraId="4114C205" w14:textId="77777777">
      <w:pPr>
        <w:rPr>
          <w:highlight w:val="yellow"/>
        </w:rPr>
      </w:pPr>
    </w:p>
    <w:p w:rsidRPr="002B7A1C" w:rsidR="00D613A2" w:rsidP="00467BBE" w:rsidRDefault="00D613A2" w14:paraId="59BC5E8B" w14:textId="77777777">
      <w:pPr>
        <w:pStyle w:val="Heading2"/>
      </w:pPr>
      <w:r w:rsidRPr="002B7A1C">
        <w:lastRenderedPageBreak/>
        <w:t>Capital Adjustment Account</w:t>
      </w:r>
    </w:p>
    <w:p w:rsidRPr="002B7A1C" w:rsidR="006D4B98" w:rsidP="002B7A1C" w:rsidRDefault="00AE1CBD" w14:paraId="45F6D923" w14:textId="1D6F5AAD">
      <w:pPr>
        <w:pStyle w:val="ListParagraph"/>
        <w:ind w:left="709"/>
        <w:jc w:val="both"/>
        <w:rPr>
          <w:rFonts w:cs="Arial"/>
        </w:rPr>
      </w:pPr>
      <w:r w:rsidRPr="006A70E1">
        <w:rPr>
          <w:rFonts w:cs="Arial"/>
        </w:rPr>
        <w:t xml:space="preserve">VVC </w:t>
      </w:r>
      <w:r w:rsidRPr="002B7A1C" w:rsidR="002B7A1C">
        <w:rPr>
          <w:rFonts w:cs="Arial"/>
        </w:rPr>
        <w:t>does not have any capital assets or capital expenditure.</w:t>
      </w:r>
      <w:r w:rsidRPr="002B7A1C" w:rsidR="00D613A2">
        <w:rPr>
          <w:rFonts w:cs="Arial"/>
        </w:rPr>
        <w:t xml:space="preserve"> </w:t>
      </w:r>
    </w:p>
    <w:p w:rsidRPr="002B7A1C" w:rsidR="00803BC5" w:rsidP="00467BBE" w:rsidRDefault="00803BC5" w14:paraId="29F4EC48" w14:textId="77777777">
      <w:pPr>
        <w:pStyle w:val="Heading2"/>
      </w:pPr>
      <w:bookmarkStart w:name="_Toc485903726" w:id="45"/>
      <w:r w:rsidRPr="002B7A1C">
        <w:t>Retirement Benefits</w:t>
      </w:r>
      <w:r w:rsidRPr="002B7A1C" w:rsidR="000746B4">
        <w:t xml:space="preserve"> </w:t>
      </w:r>
      <w:r w:rsidRPr="002B7A1C">
        <w:t>Defined Benefit Schemes</w:t>
      </w:r>
      <w:bookmarkEnd w:id="45"/>
    </w:p>
    <w:p w:rsidRPr="002B7A1C" w:rsidR="00803BC5" w:rsidP="006B6507" w:rsidRDefault="00803BC5" w14:paraId="34195475" w14:textId="77777777">
      <w:pPr>
        <w:pStyle w:val="Heading3"/>
        <w:ind w:left="709"/>
        <w:rPr>
          <w:sz w:val="22"/>
          <w:szCs w:val="22"/>
        </w:rPr>
      </w:pPr>
      <w:r w:rsidRPr="002B7A1C">
        <w:rPr>
          <w:sz w:val="22"/>
          <w:szCs w:val="22"/>
        </w:rPr>
        <w:t>Local Government Pension Scheme Funded Benefits</w:t>
      </w:r>
    </w:p>
    <w:p w:rsidR="00E71F71" w:rsidP="00E71F71" w:rsidRDefault="00E71F71" w14:paraId="4411063D" w14:textId="2D02572A">
      <w:pPr>
        <w:pStyle w:val="ListParagraph"/>
        <w:rPr>
          <w:rStyle w:val="eop"/>
          <w:rFonts w:cs="Arial"/>
        </w:rPr>
      </w:pPr>
      <w:r>
        <w:rPr>
          <w:rStyle w:val="normaltextrun"/>
          <w:rFonts w:cs="Arial"/>
          <w:lang w:val="en-US"/>
        </w:rPr>
        <w:t>The disclosures below relate to the funded liabilities within the Cardiff and Vale of Glamorgan Pension Fund (the Fund) which is part of the Local Government Pension Scheme (the LGPS). The LGPS is a funded defined benefit plan with benefits earned up to 31 March 2014 being linked to final salary. Benefits after 31 March 2014 are based on a Career Average Revalued Earnings scheme. Details of the benefits to be paid for the period covered by this disclosure are set out in the ‘Local Government Pension Scheme Regulations 2013’ and ‘The Local Government Pension Scheme (Transitional Provisions, Savings and Amendment) Regulations 2014’.</w:t>
      </w:r>
      <w:r>
        <w:rPr>
          <w:rStyle w:val="eop"/>
          <w:rFonts w:cs="Arial"/>
        </w:rPr>
        <w:t> </w:t>
      </w:r>
    </w:p>
    <w:p w:rsidR="00E71F71" w:rsidP="00E71F71" w:rsidRDefault="00E71F71" w14:paraId="4DD6A1C0" w14:textId="77777777">
      <w:pPr>
        <w:pStyle w:val="ListParagraph"/>
        <w:rPr>
          <w:rFonts w:ascii="Segoe UI" w:hAnsi="Segoe UI" w:cs="Segoe UI"/>
          <w:sz w:val="18"/>
          <w:szCs w:val="18"/>
        </w:rPr>
      </w:pPr>
    </w:p>
    <w:p w:rsidR="00E71F71" w:rsidP="00E71F71" w:rsidRDefault="00E71F71" w14:paraId="59854FC8" w14:textId="77777777">
      <w:pPr>
        <w:pStyle w:val="ListParagraph"/>
        <w:rPr>
          <w:rStyle w:val="normaltextrun"/>
          <w:rFonts w:cs="Arial"/>
          <w:lang w:val="en-US"/>
        </w:rPr>
      </w:pPr>
      <w:r>
        <w:rPr>
          <w:rStyle w:val="normaltextrun"/>
          <w:rFonts w:cs="Arial"/>
          <w:lang w:val="en-US"/>
        </w:rPr>
        <w:t xml:space="preserve">The funded nature of the LGPS requires the Employer and its employees to pay contributions into the Fund, calculated at a level intended to balance the pension liabilities with investment assets. Information on the framework for calculating contributions to be paid is set out in LGPS Regulations 2013 and the Fund’s Funding Strategy Statement. The last actuarial valuation was </w:t>
      </w:r>
      <w:proofErr w:type="gramStart"/>
      <w:r>
        <w:rPr>
          <w:rStyle w:val="normaltextrun"/>
          <w:rFonts w:cs="Arial"/>
          <w:lang w:val="en-US"/>
        </w:rPr>
        <w:t>at</w:t>
      </w:r>
      <w:proofErr w:type="gramEnd"/>
      <w:r>
        <w:rPr>
          <w:rStyle w:val="normaltextrun"/>
          <w:rFonts w:cs="Arial"/>
          <w:lang w:val="en-US"/>
        </w:rPr>
        <w:t xml:space="preserve"> 31 March 2022 and the contributions to be paid until 31 March 2024 resulting from that valuation are set out in the Fund’s rates and adjustment certificate. </w:t>
      </w:r>
    </w:p>
    <w:p w:rsidR="00E71F71" w:rsidP="00E71F71" w:rsidRDefault="00E71F71" w14:paraId="5C292D0C" w14:textId="3E082522">
      <w:pPr>
        <w:pStyle w:val="ListParagraph"/>
        <w:rPr>
          <w:rFonts w:ascii="Segoe UI" w:hAnsi="Segoe UI" w:cs="Segoe UI"/>
          <w:sz w:val="18"/>
          <w:szCs w:val="18"/>
        </w:rPr>
      </w:pPr>
      <w:r>
        <w:rPr>
          <w:rStyle w:val="eop"/>
          <w:rFonts w:cs="Arial"/>
        </w:rPr>
        <w:t> </w:t>
      </w:r>
    </w:p>
    <w:p w:rsidR="00E71F71" w:rsidP="00E71F71" w:rsidRDefault="00E71F71" w14:paraId="32B20BDD" w14:textId="77777777">
      <w:pPr>
        <w:pStyle w:val="ListParagraph"/>
        <w:rPr>
          <w:rFonts w:ascii="Segoe UI" w:hAnsi="Segoe UI" w:cs="Segoe UI"/>
          <w:sz w:val="18"/>
          <w:szCs w:val="18"/>
        </w:rPr>
      </w:pPr>
      <w:proofErr w:type="gramStart"/>
      <w:r>
        <w:rPr>
          <w:rStyle w:val="normaltextrun"/>
          <w:rFonts w:cs="Arial"/>
          <w:lang w:val="en-US"/>
        </w:rPr>
        <w:t>The Fund Administering Authority, City and County of Cardiff,</w:t>
      </w:r>
      <w:proofErr w:type="gramEnd"/>
      <w:r>
        <w:rPr>
          <w:rStyle w:val="normaltextrun"/>
          <w:rFonts w:cs="Arial"/>
          <w:lang w:val="en-US"/>
        </w:rPr>
        <w:t xml:space="preserve"> is responsible for the governance of the Fund.</w:t>
      </w:r>
      <w:r>
        <w:rPr>
          <w:rStyle w:val="eop"/>
          <w:rFonts w:cs="Arial"/>
        </w:rPr>
        <w:t> </w:t>
      </w:r>
    </w:p>
    <w:p w:rsidRPr="00E71F71" w:rsidR="00953D51" w:rsidP="00E71F71" w:rsidRDefault="00953D51" w14:paraId="694C005C" w14:textId="3E15DF7C">
      <w:pPr>
        <w:pStyle w:val="ListParagraph"/>
        <w:rPr>
          <w:highlight w:val="yellow"/>
        </w:rPr>
      </w:pPr>
    </w:p>
    <w:p w:rsidRPr="00E71F71" w:rsidR="00E71F71" w:rsidP="00E71F71" w:rsidRDefault="00E71F71" w14:paraId="7F1C79A9" w14:textId="67E599A8">
      <w:pPr>
        <w:pStyle w:val="ListParagraph"/>
        <w:rPr>
          <w:b/>
        </w:rPr>
      </w:pPr>
      <w:r w:rsidRPr="00E71F71">
        <w:rPr>
          <w:b/>
        </w:rPr>
        <w:t>Local Government Pension Scheme Unfunded Benefits</w:t>
      </w:r>
    </w:p>
    <w:p w:rsidR="00E71F71" w:rsidP="00E71F71" w:rsidRDefault="00E71F71" w14:paraId="6E44C1EE" w14:textId="5ED0C9FC">
      <w:pPr>
        <w:pStyle w:val="ListParagraph"/>
        <w:rPr>
          <w:highlight w:val="yellow"/>
        </w:rPr>
      </w:pPr>
    </w:p>
    <w:p w:rsidR="00E71F71" w:rsidP="00E71F71" w:rsidRDefault="00E71F71" w14:paraId="10C25691" w14:textId="66E8755B">
      <w:pPr>
        <w:pStyle w:val="ListParagraph"/>
        <w:rPr>
          <w:rStyle w:val="eop"/>
          <w:rFonts w:cs="Arial"/>
        </w:rPr>
      </w:pPr>
      <w:r>
        <w:rPr>
          <w:rStyle w:val="normaltextrun"/>
          <w:rFonts w:cs="Arial"/>
          <w:lang w:val="en-US"/>
        </w:rPr>
        <w:t>The disclosures below also relate to the unfunded pension arrangements established by The Vale of Glamorgan Council. These are termination benefits made on a discretionary basis upon early retirement in respect of members of the Local Government Pension Scheme (LGPS) under the Local Government (Early Termination of Employment) (Discretionary Compensation) (England and Wales) Regulations and members of the Teachers’ Pension Scheme.</w:t>
      </w:r>
      <w:r>
        <w:rPr>
          <w:rStyle w:val="eop"/>
          <w:rFonts w:cs="Arial"/>
        </w:rPr>
        <w:t> </w:t>
      </w:r>
    </w:p>
    <w:p w:rsidR="00E71F71" w:rsidP="00E71F71" w:rsidRDefault="00E71F71" w14:paraId="7EEB1AD1" w14:textId="77777777">
      <w:pPr>
        <w:pStyle w:val="ListParagraph"/>
        <w:rPr>
          <w:rFonts w:ascii="Segoe UI" w:hAnsi="Segoe UI" w:cs="Segoe UI"/>
          <w:sz w:val="18"/>
          <w:szCs w:val="18"/>
        </w:rPr>
      </w:pPr>
    </w:p>
    <w:p w:rsidR="00E71F71" w:rsidP="00E71F71" w:rsidRDefault="00E71F71" w14:paraId="0A7FA543" w14:textId="082ADA31">
      <w:pPr>
        <w:pStyle w:val="ListParagraph"/>
        <w:rPr>
          <w:rStyle w:val="eop"/>
          <w:rFonts w:cs="Arial"/>
        </w:rPr>
      </w:pPr>
      <w:r>
        <w:rPr>
          <w:rStyle w:val="normaltextrun"/>
          <w:rFonts w:cs="Arial"/>
          <w:lang w:val="en-US"/>
        </w:rPr>
        <w:t xml:space="preserve">The latest actuarial valuation of unfunded benefits took place as </w:t>
      </w:r>
      <w:proofErr w:type="gramStart"/>
      <w:r>
        <w:rPr>
          <w:rStyle w:val="normaltextrun"/>
          <w:rFonts w:cs="Arial"/>
          <w:lang w:val="en-US"/>
        </w:rPr>
        <w:t>at</w:t>
      </w:r>
      <w:proofErr w:type="gramEnd"/>
      <w:r>
        <w:rPr>
          <w:rStyle w:val="normaltextrun"/>
          <w:rFonts w:cs="Arial"/>
          <w:lang w:val="en-US"/>
        </w:rPr>
        <w:t xml:space="preserve"> 31 March 2022. Liabilities have been estimated by the independent qualified actuary basis on an actuarial basis using the projected unit credit method.</w:t>
      </w:r>
      <w:r>
        <w:rPr>
          <w:rStyle w:val="eop"/>
          <w:rFonts w:cs="Arial"/>
        </w:rPr>
        <w:t> </w:t>
      </w:r>
    </w:p>
    <w:p w:rsidR="00E71F71" w:rsidP="00E71F71" w:rsidRDefault="00E71F71" w14:paraId="6F014451" w14:textId="77777777">
      <w:pPr>
        <w:pStyle w:val="ListParagraph"/>
        <w:rPr>
          <w:rStyle w:val="eop"/>
          <w:rFonts w:cs="Arial"/>
        </w:rPr>
      </w:pPr>
    </w:p>
    <w:p w:rsidRPr="00E71F71" w:rsidR="00E71F71" w:rsidP="00E71F71" w:rsidRDefault="00E71F71" w14:paraId="5F7E37AD" w14:textId="7917C642">
      <w:pPr>
        <w:pStyle w:val="ListParagraph"/>
        <w:rPr>
          <w:b/>
        </w:rPr>
      </w:pPr>
      <w:r w:rsidRPr="00E71F71">
        <w:rPr>
          <w:b/>
        </w:rPr>
        <w:t xml:space="preserve">Key Issues impacting the actuarial </w:t>
      </w:r>
      <w:proofErr w:type="gramStart"/>
      <w:r w:rsidRPr="00E71F71">
        <w:rPr>
          <w:b/>
        </w:rPr>
        <w:t>calculation</w:t>
      </w:r>
      <w:proofErr w:type="gramEnd"/>
    </w:p>
    <w:p w:rsidRPr="00E71F71" w:rsidR="00E71F71" w:rsidP="00E71F71" w:rsidRDefault="00E71F71" w14:paraId="201DB9E8" w14:textId="2F71AA5C">
      <w:pPr>
        <w:pStyle w:val="ListParagraph"/>
        <w:rPr>
          <w:b/>
        </w:rPr>
      </w:pPr>
    </w:p>
    <w:p w:rsidRPr="00E71F71" w:rsidR="00E71F71" w:rsidP="00E71F71" w:rsidRDefault="00E71F71" w14:paraId="36A1644A" w14:textId="3B69EDBA">
      <w:pPr>
        <w:pStyle w:val="ListParagraph"/>
        <w:rPr>
          <w:b/>
        </w:rPr>
      </w:pPr>
      <w:r w:rsidRPr="00E71F71">
        <w:rPr>
          <w:b/>
        </w:rPr>
        <w:t>2022 Actuarial Valuation</w:t>
      </w:r>
    </w:p>
    <w:p w:rsidRPr="00614894" w:rsidR="00E71F71" w:rsidP="00E71F71" w:rsidRDefault="00E71F71" w14:paraId="69D1C0F3" w14:textId="77777777">
      <w:pPr>
        <w:pStyle w:val="ListParagraph"/>
        <w:rPr>
          <w:b/>
          <w:highlight w:val="yellow"/>
        </w:rPr>
      </w:pPr>
    </w:p>
    <w:p w:rsidR="00E758A4" w:rsidP="00E71F71" w:rsidRDefault="00E71F71" w14:paraId="23B6B82B" w14:textId="7F9CC423">
      <w:pPr>
        <w:pStyle w:val="ListParagraph"/>
        <w:rPr>
          <w:rStyle w:val="eop"/>
          <w:rFonts w:cs="Arial"/>
          <w:color w:val="000000"/>
          <w:shd w:val="clear" w:color="auto" w:fill="FFFFFF"/>
        </w:rPr>
      </w:pPr>
      <w:r>
        <w:rPr>
          <w:rStyle w:val="normaltextrun"/>
          <w:rFonts w:cs="Arial"/>
          <w:color w:val="000000"/>
          <w:shd w:val="clear" w:color="auto" w:fill="FFFFFF"/>
          <w:lang w:val="en-US"/>
        </w:rPr>
        <w:t>These results allow for the 2022 Actuarial Valuation of the Cardiff and Vale Pension Fund. The effect of this is shown in the Actuarial (gains)/losses due to liability experience and the Return on plan assets (</w:t>
      </w:r>
      <w:proofErr w:type="gramStart"/>
      <w:r>
        <w:rPr>
          <w:rStyle w:val="normaltextrun"/>
          <w:rFonts w:cs="Arial"/>
          <w:color w:val="000000"/>
          <w:shd w:val="clear" w:color="auto" w:fill="FFFFFF"/>
          <w:lang w:val="en-US"/>
        </w:rPr>
        <w:t>in excess of</w:t>
      </w:r>
      <w:proofErr w:type="gramEnd"/>
      <w:r>
        <w:rPr>
          <w:rStyle w:val="normaltextrun"/>
          <w:rFonts w:cs="Arial"/>
          <w:color w:val="000000"/>
          <w:shd w:val="clear" w:color="auto" w:fill="FFFFFF"/>
          <w:lang w:val="en-US"/>
        </w:rPr>
        <w:t xml:space="preserve">)/below that recognised in net interest and is reflected in the balance sheet position. The demographic assumptions </w:t>
      </w:r>
      <w:r>
        <w:rPr>
          <w:rStyle w:val="normaltextrun"/>
          <w:rFonts w:cs="Arial"/>
          <w:color w:val="000000"/>
          <w:shd w:val="clear" w:color="auto" w:fill="FFFFFF"/>
          <w:lang w:val="en-US"/>
        </w:rPr>
        <w:lastRenderedPageBreak/>
        <w:t>have also been adjusted, and the Current Service Cost has also been updated to reflect the employer’s membership data as at the 2022 valuation. </w:t>
      </w:r>
      <w:r>
        <w:rPr>
          <w:rStyle w:val="eop"/>
          <w:rFonts w:cs="Arial"/>
          <w:color w:val="000000"/>
          <w:shd w:val="clear" w:color="auto" w:fill="FFFFFF"/>
        </w:rPr>
        <w:t> </w:t>
      </w:r>
    </w:p>
    <w:p w:rsidR="00E71F71" w:rsidP="00E71F71" w:rsidRDefault="00E71F71" w14:paraId="3C1D60EF" w14:textId="4E1C9228">
      <w:pPr>
        <w:pStyle w:val="ListParagraph"/>
        <w:rPr>
          <w:rStyle w:val="eop"/>
          <w:rFonts w:cs="Arial"/>
          <w:color w:val="000000"/>
          <w:shd w:val="clear" w:color="auto" w:fill="FFFFFF"/>
        </w:rPr>
      </w:pPr>
    </w:p>
    <w:p w:rsidRPr="00E71F71" w:rsidR="00E71F71" w:rsidP="00E71F71" w:rsidRDefault="00E71F71" w14:paraId="391FE07F" w14:textId="77777777">
      <w:pPr>
        <w:pStyle w:val="ListParagraph"/>
        <w:rPr>
          <w:highlight w:val="yellow"/>
        </w:rPr>
      </w:pPr>
    </w:p>
    <w:p w:rsidRPr="00E71F71" w:rsidR="00E758A4" w:rsidP="00E758A4" w:rsidRDefault="00E71F71" w14:paraId="33C40EEE" w14:textId="3EB0A4D7">
      <w:pPr>
        <w:pStyle w:val="ListParagraph"/>
        <w:rPr>
          <w:b/>
        </w:rPr>
      </w:pPr>
      <w:r w:rsidRPr="00E71F71">
        <w:rPr>
          <w:b/>
        </w:rPr>
        <w:t>McCloud Judgement</w:t>
      </w:r>
    </w:p>
    <w:p w:rsidRPr="00E71F71" w:rsidR="00E71F71" w:rsidP="00E758A4" w:rsidRDefault="00E71F71" w14:paraId="19B095B0" w14:textId="77777777">
      <w:pPr>
        <w:pStyle w:val="ListParagraph"/>
        <w:rPr>
          <w:b/>
        </w:rPr>
      </w:pPr>
    </w:p>
    <w:p w:rsidR="00293B0B" w:rsidP="00E71F71" w:rsidRDefault="00E71F71" w14:paraId="6A316B27" w14:textId="16ABF3E4">
      <w:pPr>
        <w:pStyle w:val="ListParagraph"/>
        <w:rPr>
          <w:rStyle w:val="eop"/>
          <w:rFonts w:cs="Arial"/>
          <w:color w:val="000000"/>
          <w:shd w:val="clear" w:color="auto" w:fill="FFFFFF"/>
        </w:rPr>
      </w:pPr>
      <w:r w:rsidRPr="00E71F71">
        <w:rPr>
          <w:rStyle w:val="normaltextrun"/>
          <w:rFonts w:cs="Arial"/>
          <w:color w:val="000000"/>
          <w:shd w:val="clear" w:color="auto" w:fill="FFFFFF"/>
          <w:lang w:val="en-US"/>
        </w:rPr>
        <w:t xml:space="preserve">All employers will have accounted for McCloud in previous years and there is therefore no requirement to </w:t>
      </w:r>
      <w:proofErr w:type="spellStart"/>
      <w:r w:rsidRPr="00E71F71">
        <w:rPr>
          <w:rStyle w:val="normaltextrun"/>
          <w:rFonts w:cs="Arial"/>
          <w:color w:val="000000"/>
          <w:shd w:val="clear" w:color="auto" w:fill="FFFFFF"/>
          <w:lang w:val="en-US"/>
        </w:rPr>
        <w:t>recognise</w:t>
      </w:r>
      <w:proofErr w:type="spellEnd"/>
      <w:r w:rsidRPr="00E71F71">
        <w:rPr>
          <w:rStyle w:val="normaltextrun"/>
          <w:rFonts w:cs="Arial"/>
          <w:color w:val="000000"/>
          <w:shd w:val="clear" w:color="auto" w:fill="FFFFFF"/>
          <w:lang w:val="en-US"/>
        </w:rPr>
        <w:t xml:space="preserve"> an additional past service cost in relation to this.</w:t>
      </w:r>
      <w:r w:rsidRPr="00E71F71">
        <w:rPr>
          <w:rStyle w:val="eop"/>
          <w:rFonts w:cs="Arial"/>
          <w:color w:val="000000"/>
          <w:shd w:val="clear" w:color="auto" w:fill="FFFFFF"/>
        </w:rPr>
        <w:t> </w:t>
      </w:r>
    </w:p>
    <w:p w:rsidRPr="00E71F71" w:rsidR="00E71F71" w:rsidP="00E71F71" w:rsidRDefault="00E71F71" w14:paraId="5DB832A4" w14:textId="77777777">
      <w:pPr>
        <w:pStyle w:val="ListParagraph"/>
        <w:rPr>
          <w:b/>
        </w:rPr>
      </w:pPr>
    </w:p>
    <w:p w:rsidRPr="00E71F71" w:rsidR="007215C4" w:rsidP="006B6507" w:rsidRDefault="007215C4" w14:paraId="04E8AD09" w14:textId="2FB5AFF3">
      <w:pPr>
        <w:pStyle w:val="ListParagraph"/>
        <w:ind w:left="709"/>
        <w:jc w:val="both"/>
        <w:rPr>
          <w:rFonts w:cs="Arial"/>
          <w:b/>
        </w:rPr>
      </w:pPr>
      <w:r w:rsidRPr="00E71F71">
        <w:rPr>
          <w:rFonts w:cs="Arial"/>
          <w:b/>
        </w:rPr>
        <w:t>Assets Returns</w:t>
      </w:r>
    </w:p>
    <w:p w:rsidRPr="00614894" w:rsidR="00E71F71" w:rsidP="006B6507" w:rsidRDefault="00E71F71" w14:paraId="682BC2CF" w14:textId="77777777">
      <w:pPr>
        <w:pStyle w:val="ListParagraph"/>
        <w:ind w:left="709"/>
        <w:jc w:val="both"/>
        <w:rPr>
          <w:rFonts w:cs="Arial"/>
          <w:b/>
          <w:highlight w:val="yellow"/>
        </w:rPr>
      </w:pPr>
    </w:p>
    <w:p w:rsidRPr="00614894" w:rsidR="007215C4" w:rsidP="006B6507" w:rsidRDefault="00E71F71" w14:paraId="6D42DB07" w14:textId="3A18425B">
      <w:pPr>
        <w:pStyle w:val="ListParagraph"/>
        <w:ind w:left="709"/>
        <w:jc w:val="both"/>
        <w:rPr>
          <w:rFonts w:cs="Arial"/>
          <w:highlight w:val="yellow"/>
        </w:rPr>
      </w:pPr>
      <w:r>
        <w:rPr>
          <w:rStyle w:val="normaltextrun"/>
          <w:rFonts w:cs="Arial"/>
          <w:color w:val="000000"/>
        </w:rPr>
        <w:t>Asset Returns over the accounting period have been lower than expected.  This has led to a loss on assets over the accounting period and a worsening balance sheet position before allowance for the 2022 Actuarial Valuation.</w:t>
      </w:r>
    </w:p>
    <w:p w:rsidRPr="00E71F71" w:rsidR="007215C4" w:rsidP="006B6507" w:rsidRDefault="007215C4" w14:paraId="0E24CC8D" w14:textId="77777777">
      <w:pPr>
        <w:pStyle w:val="ListParagraph"/>
        <w:ind w:left="709"/>
        <w:jc w:val="both"/>
        <w:rPr>
          <w:rFonts w:cs="Arial"/>
        </w:rPr>
      </w:pPr>
    </w:p>
    <w:p w:rsidRPr="00E71F71" w:rsidR="007215C4" w:rsidP="006B6507" w:rsidRDefault="007215C4" w14:paraId="34C80335" w14:textId="77777777">
      <w:pPr>
        <w:pStyle w:val="ListParagraph"/>
        <w:ind w:left="709"/>
        <w:jc w:val="both"/>
        <w:rPr>
          <w:rFonts w:cs="Arial"/>
          <w:b/>
        </w:rPr>
      </w:pPr>
      <w:r w:rsidRPr="00E71F71">
        <w:rPr>
          <w:rFonts w:cs="Arial"/>
          <w:b/>
        </w:rPr>
        <w:t>Financial Assumptions</w:t>
      </w:r>
    </w:p>
    <w:p w:rsidRPr="00614894" w:rsidR="007215C4" w:rsidP="006B6507" w:rsidRDefault="007215C4" w14:paraId="782FD4C1" w14:textId="77777777">
      <w:pPr>
        <w:pStyle w:val="ListParagraph"/>
        <w:ind w:left="709"/>
        <w:jc w:val="both"/>
        <w:rPr>
          <w:rFonts w:cs="Arial"/>
          <w:highlight w:val="yellow"/>
        </w:rPr>
      </w:pPr>
    </w:p>
    <w:p w:rsidR="00E71F71" w:rsidP="00E71F71" w:rsidRDefault="00E71F71" w14:paraId="61013033" w14:textId="77777777">
      <w:pPr>
        <w:pStyle w:val="ListParagraph"/>
        <w:rPr>
          <w:rStyle w:val="normaltextrun"/>
          <w:rFonts w:cs="Arial"/>
          <w:lang w:val="en-US"/>
        </w:rPr>
      </w:pPr>
      <w:r>
        <w:rPr>
          <w:rStyle w:val="normaltextrun"/>
          <w:rFonts w:cs="Arial"/>
          <w:lang w:val="en-US"/>
        </w:rPr>
        <w:t>All inflation linked benefits are determined by reference to CPI. The recommended CPI Inflation at each duration has been calculated using the Aon UK Gilts Prices RPI curve adjusted for the RPI-CPI wedge, establishing an equivalent average CPI inflation rate for the four sample schemes.</w:t>
      </w:r>
    </w:p>
    <w:p w:rsidR="00E71F71" w:rsidP="00E71F71" w:rsidRDefault="00E71F71" w14:paraId="73FCF2BE" w14:textId="1D6C5B8F">
      <w:pPr>
        <w:pStyle w:val="ListParagraph"/>
        <w:rPr>
          <w:rFonts w:ascii="Segoe UI" w:hAnsi="Segoe UI" w:cs="Segoe UI"/>
          <w:sz w:val="18"/>
          <w:szCs w:val="18"/>
        </w:rPr>
      </w:pPr>
      <w:r>
        <w:rPr>
          <w:rStyle w:val="eop"/>
          <w:rFonts w:cs="Arial"/>
        </w:rPr>
        <w:t> </w:t>
      </w:r>
    </w:p>
    <w:p w:rsidR="00E71F71" w:rsidP="00E71F71" w:rsidRDefault="00E71F71" w14:paraId="5803CDC8" w14:textId="77777777">
      <w:pPr>
        <w:pStyle w:val="ListParagraph"/>
        <w:rPr>
          <w:rStyle w:val="normaltextrun"/>
          <w:rFonts w:cs="Arial"/>
          <w:lang w:val="en-US"/>
        </w:rPr>
      </w:pPr>
      <w:r>
        <w:rPr>
          <w:rStyle w:val="normaltextrun"/>
          <w:rFonts w:cs="Arial"/>
          <w:lang w:val="en-US"/>
        </w:rPr>
        <w:t>The defined benefit obligation has been adjusted for actual CPI inflation being higher (or lower) than assumed. Over this accounting period the adjustment is based on actual CPI inflation of 13.8% between September 2021 and February 2023.</w:t>
      </w:r>
    </w:p>
    <w:p w:rsidR="00E71F71" w:rsidP="00E71F71" w:rsidRDefault="00E71F71" w14:paraId="49F95810" w14:textId="05A2F7A9">
      <w:pPr>
        <w:pStyle w:val="ListParagraph"/>
        <w:rPr>
          <w:rFonts w:ascii="Segoe UI" w:hAnsi="Segoe UI" w:cs="Segoe UI"/>
          <w:sz w:val="18"/>
          <w:szCs w:val="18"/>
        </w:rPr>
      </w:pPr>
      <w:r>
        <w:rPr>
          <w:rStyle w:val="eop"/>
          <w:rFonts w:cs="Arial"/>
        </w:rPr>
        <w:t> </w:t>
      </w:r>
    </w:p>
    <w:p w:rsidR="00E71F71" w:rsidP="00E71F71" w:rsidRDefault="00E71F71" w14:paraId="7DB4388C" w14:textId="77777777">
      <w:pPr>
        <w:pStyle w:val="ListParagraph"/>
        <w:rPr>
          <w:rFonts w:ascii="Segoe UI" w:hAnsi="Segoe UI" w:cs="Segoe UI"/>
          <w:sz w:val="18"/>
          <w:szCs w:val="18"/>
        </w:rPr>
      </w:pPr>
      <w:r>
        <w:rPr>
          <w:rStyle w:val="normaltextrun"/>
          <w:rFonts w:cs="Arial"/>
          <w:lang w:val="en-US"/>
        </w:rPr>
        <w:t>The defined benefit obligation has been adjusted to allow for salary increases of 7% per annum in line with the average settlement for 2022 under the National Joint Council negotiations. This impacts the value of active members’ liabilities that remain linked to final salary.</w:t>
      </w:r>
      <w:r>
        <w:rPr>
          <w:rStyle w:val="eop"/>
          <w:rFonts w:cs="Arial"/>
        </w:rPr>
        <w:t> </w:t>
      </w:r>
    </w:p>
    <w:p w:rsidR="00C4580F" w:rsidP="00E71F71" w:rsidRDefault="00C4580F" w14:paraId="084B292F" w14:textId="30CE2838">
      <w:pPr>
        <w:pStyle w:val="ListParagraph"/>
        <w:rPr>
          <w:highlight w:val="yellow"/>
        </w:rPr>
      </w:pPr>
    </w:p>
    <w:p w:rsidRPr="00E71F71" w:rsidR="00E71F71" w:rsidP="00E71F71" w:rsidRDefault="00E71F71" w14:paraId="6FE9CA44" w14:textId="7D966825">
      <w:pPr>
        <w:pStyle w:val="ListParagraph"/>
        <w:rPr>
          <w:b/>
          <w:bCs/>
        </w:rPr>
      </w:pPr>
      <w:r w:rsidRPr="00E71F71">
        <w:rPr>
          <w:b/>
          <w:bCs/>
        </w:rPr>
        <w:t>Demographic Assumptions</w:t>
      </w:r>
    </w:p>
    <w:p w:rsidR="00E71F71" w:rsidP="00E71F71" w:rsidRDefault="00E71F71" w14:paraId="6D299233" w14:textId="77777777">
      <w:pPr>
        <w:pStyle w:val="ListParagraph"/>
        <w:rPr>
          <w:rStyle w:val="normaltextrun"/>
          <w:rFonts w:cs="Arial"/>
          <w:lang w:val="en-US"/>
        </w:rPr>
      </w:pPr>
    </w:p>
    <w:p w:rsidRPr="00E71F71" w:rsidR="00E71F71" w:rsidP="00E71F71" w:rsidRDefault="00E71F71" w14:paraId="116060E5" w14:textId="4E16D7D4">
      <w:pPr>
        <w:pStyle w:val="ListParagraph"/>
        <w:rPr>
          <w:rStyle w:val="eop"/>
          <w:rFonts w:cs="Arial"/>
        </w:rPr>
      </w:pPr>
      <w:r w:rsidRPr="00E71F71">
        <w:rPr>
          <w:rStyle w:val="normaltextrun"/>
          <w:rFonts w:cs="Arial"/>
          <w:lang w:val="en-US"/>
        </w:rPr>
        <w:t>All mortality assumptions are based on an analysis of the Fund</w:t>
      </w:r>
      <w:r w:rsidR="00E6303C">
        <w:rPr>
          <w:rStyle w:val="normaltextrun"/>
          <w:rFonts w:cs="Arial"/>
          <w:lang w:val="en-US"/>
        </w:rPr>
        <w:t>’</w:t>
      </w:r>
      <w:r w:rsidRPr="00E71F71">
        <w:rPr>
          <w:rStyle w:val="normaltextrun"/>
          <w:rFonts w:cs="Arial"/>
          <w:lang w:val="en-US"/>
        </w:rPr>
        <w:t>s recent mortality experience that was carried out in advance of the 2022 valuation of the Fund using Aon’s demographic horizon’s longevity model. </w:t>
      </w:r>
      <w:r w:rsidRPr="00E71F71">
        <w:rPr>
          <w:rStyle w:val="eop"/>
          <w:rFonts w:cs="Arial"/>
        </w:rPr>
        <w:t> </w:t>
      </w:r>
    </w:p>
    <w:p w:rsidR="00E71F71" w:rsidP="00E71F71" w:rsidRDefault="00E71F71" w14:paraId="4EE95142" w14:textId="77777777">
      <w:pPr>
        <w:pStyle w:val="ListParagraph"/>
        <w:rPr>
          <w:rFonts w:ascii="Segoe UI" w:hAnsi="Segoe UI" w:cs="Segoe UI"/>
          <w:sz w:val="18"/>
          <w:szCs w:val="18"/>
        </w:rPr>
      </w:pPr>
    </w:p>
    <w:p w:rsidR="00E71F71" w:rsidP="00E71F71" w:rsidRDefault="00E71F71" w14:paraId="3971E3D8" w14:textId="57DB9B10">
      <w:pPr>
        <w:pStyle w:val="ListParagraph"/>
        <w:rPr>
          <w:rFonts w:ascii="Segoe UI" w:hAnsi="Segoe UI" w:cs="Segoe UI"/>
          <w:sz w:val="18"/>
          <w:szCs w:val="18"/>
        </w:rPr>
      </w:pPr>
      <w:r>
        <w:rPr>
          <w:rStyle w:val="normaltextrun"/>
          <w:rFonts w:cs="Arial"/>
          <w:lang w:val="en-US"/>
        </w:rPr>
        <w:t xml:space="preserve">Other demographic assumptions are the rates of withdrawal and ill health retirements (for active members). The allowance made for cash commutation on retirement, the proportion of members whose death gives rise to a </w:t>
      </w:r>
      <w:r w:rsidR="00A04101">
        <w:rPr>
          <w:rStyle w:val="normaltextrun"/>
          <w:rFonts w:cs="Arial"/>
          <w:lang w:val="en-US"/>
        </w:rPr>
        <w:t>dependent’s</w:t>
      </w:r>
      <w:r>
        <w:rPr>
          <w:rStyle w:val="normaltextrun"/>
          <w:rFonts w:cs="Arial"/>
          <w:lang w:val="en-US"/>
        </w:rPr>
        <w:t xml:space="preserve"> pension and the assumed </w:t>
      </w:r>
      <w:proofErr w:type="gramStart"/>
      <w:r>
        <w:rPr>
          <w:rStyle w:val="normaltextrun"/>
          <w:rFonts w:cs="Arial"/>
          <w:lang w:val="en-US"/>
        </w:rPr>
        <w:t>levels</w:t>
      </w:r>
      <w:proofErr w:type="gramEnd"/>
      <w:r>
        <w:rPr>
          <w:rStyle w:val="normaltextrun"/>
          <w:rFonts w:cs="Arial"/>
          <w:lang w:val="en-US"/>
        </w:rPr>
        <w:t xml:space="preserve"> of promotional salary increases. These assumptions have been kept as the same level as in the 2022 valuation.</w:t>
      </w:r>
      <w:r>
        <w:rPr>
          <w:rStyle w:val="eop"/>
          <w:rFonts w:cs="Arial"/>
        </w:rPr>
        <w:t> </w:t>
      </w:r>
    </w:p>
    <w:p w:rsidR="00636EB1" w:rsidP="00E71F71" w:rsidRDefault="00636EB1" w14:paraId="605E3AD8" w14:textId="0E97836B">
      <w:pPr>
        <w:pStyle w:val="ListParagraph"/>
        <w:rPr>
          <w:highlight w:val="yellow"/>
        </w:rPr>
      </w:pPr>
    </w:p>
    <w:p w:rsidR="00E71F71" w:rsidP="00E71F71" w:rsidRDefault="00E71F71" w14:paraId="4447E437" w14:textId="15D1D41C">
      <w:pPr>
        <w:pStyle w:val="ListParagraph"/>
        <w:ind w:left="709"/>
        <w:jc w:val="both"/>
        <w:rPr>
          <w:rFonts w:cs="Arial"/>
          <w:b/>
        </w:rPr>
      </w:pPr>
      <w:r>
        <w:rPr>
          <w:rFonts w:cs="Arial"/>
          <w:b/>
        </w:rPr>
        <w:t>Impact of Covid-19 on Mortality</w:t>
      </w:r>
    </w:p>
    <w:p w:rsidRPr="00E71F71" w:rsidR="00E71F71" w:rsidP="00E71F71" w:rsidRDefault="00E71F71" w14:paraId="2DC2ECF2" w14:textId="77777777">
      <w:pPr>
        <w:pStyle w:val="ListParagraph"/>
        <w:ind w:left="709"/>
        <w:jc w:val="both"/>
        <w:rPr>
          <w:rFonts w:cs="Arial"/>
          <w:b/>
        </w:rPr>
      </w:pPr>
    </w:p>
    <w:p w:rsidR="005E4BFE" w:rsidP="00A07E5A" w:rsidRDefault="00A07E5A" w14:paraId="5831AB2C" w14:textId="5EC4999C">
      <w:pPr>
        <w:pStyle w:val="ListParagraph"/>
        <w:rPr>
          <w:rStyle w:val="eop"/>
          <w:rFonts w:cs="Arial"/>
        </w:rPr>
      </w:pPr>
      <w:r w:rsidRPr="005D0A38">
        <w:rPr>
          <w:rFonts w:cs="Arial"/>
        </w:rPr>
        <w:t>The 2022 valuation reflects the impact of the Covid-19 on mortality rate</w:t>
      </w:r>
      <w:r w:rsidR="00F81225">
        <w:rPr>
          <w:rFonts w:cs="Arial"/>
        </w:rPr>
        <w:t>s</w:t>
      </w:r>
      <w:r>
        <w:rPr>
          <w:rFonts w:cs="Arial"/>
        </w:rPr>
        <w:t>.</w:t>
      </w:r>
    </w:p>
    <w:p w:rsidRPr="00E71F71" w:rsidR="00E71F71" w:rsidP="00E71F71" w:rsidRDefault="00E71F71" w14:paraId="32BD9522" w14:textId="77777777">
      <w:pPr>
        <w:pStyle w:val="ListParagraph"/>
        <w:rPr>
          <w:rFonts w:ascii="Segoe UI" w:hAnsi="Segoe UI" w:cs="Segoe UI"/>
          <w:sz w:val="18"/>
          <w:szCs w:val="18"/>
        </w:rPr>
      </w:pPr>
    </w:p>
    <w:p w:rsidR="006B4F79" w:rsidP="00464183" w:rsidRDefault="006B4F79" w14:paraId="4EF7A8D3" w14:textId="77777777">
      <w:pPr>
        <w:pStyle w:val="ListParagraph"/>
        <w:ind w:left="709"/>
        <w:jc w:val="both"/>
        <w:rPr>
          <w:rFonts w:cs="Arial"/>
          <w:b/>
        </w:rPr>
      </w:pPr>
    </w:p>
    <w:p w:rsidR="006B4F79" w:rsidP="00464183" w:rsidRDefault="006B4F79" w14:paraId="4510823F" w14:textId="77777777">
      <w:pPr>
        <w:pStyle w:val="ListParagraph"/>
        <w:ind w:left="709"/>
        <w:jc w:val="both"/>
        <w:rPr>
          <w:rFonts w:cs="Arial"/>
          <w:b/>
        </w:rPr>
      </w:pPr>
    </w:p>
    <w:p w:rsidRPr="00BF3983" w:rsidR="00B56D94" w:rsidP="00464183" w:rsidRDefault="003B601E" w14:paraId="0DA6B269" w14:textId="0E148A76">
      <w:pPr>
        <w:pStyle w:val="ListParagraph"/>
        <w:ind w:left="709"/>
        <w:jc w:val="both"/>
        <w:rPr>
          <w:rFonts w:cs="Arial"/>
          <w:b/>
        </w:rPr>
      </w:pPr>
      <w:r w:rsidRPr="00BF3983">
        <w:rPr>
          <w:rFonts w:cs="Arial"/>
          <w:b/>
        </w:rPr>
        <w:lastRenderedPageBreak/>
        <w:t>Key Assumptions</w:t>
      </w:r>
    </w:p>
    <w:p w:rsidRPr="00BF3983" w:rsidR="00C30417" w:rsidP="00464183" w:rsidRDefault="00C30417" w14:paraId="4F171700" w14:textId="77777777">
      <w:pPr>
        <w:pStyle w:val="ListParagraph"/>
        <w:ind w:left="709"/>
        <w:jc w:val="both"/>
        <w:rPr>
          <w:rFonts w:cs="Arial"/>
        </w:rPr>
      </w:pPr>
    </w:p>
    <w:p w:rsidRPr="00BF3983" w:rsidR="00845F6A" w:rsidP="006B6507" w:rsidRDefault="00720CB5" w14:paraId="15812B0F" w14:textId="5EC62EB0">
      <w:pPr>
        <w:pStyle w:val="ListParagraph"/>
        <w:ind w:left="709"/>
        <w:jc w:val="both"/>
        <w:rPr>
          <w:rFonts w:cs="Arial"/>
        </w:rPr>
      </w:pPr>
      <w:r w:rsidRPr="00BF3983">
        <w:rPr>
          <w:rFonts w:cs="Arial"/>
        </w:rPr>
        <w:t xml:space="preserve">The </w:t>
      </w:r>
      <w:proofErr w:type="gramStart"/>
      <w:r w:rsidRPr="00BF3983">
        <w:rPr>
          <w:rFonts w:cs="Arial"/>
        </w:rPr>
        <w:t>principle</w:t>
      </w:r>
      <w:proofErr w:type="gramEnd"/>
      <w:r w:rsidRPr="00BF3983">
        <w:rPr>
          <w:rFonts w:cs="Arial"/>
        </w:rPr>
        <w:t xml:space="preserve"> assumptions used by the actuary in </w:t>
      </w:r>
      <w:r w:rsidRPr="00BF3983" w:rsidR="00F4686E">
        <w:rPr>
          <w:rFonts w:cs="Arial"/>
        </w:rPr>
        <w:t xml:space="preserve">updating </w:t>
      </w:r>
      <w:r w:rsidRPr="00BF3983">
        <w:rPr>
          <w:rFonts w:cs="Arial"/>
        </w:rPr>
        <w:t>the latest valuation of the Fund for IAS purposes were:</w:t>
      </w:r>
    </w:p>
    <w:tbl>
      <w:tblPr>
        <w:tblW w:w="8363" w:type="dxa"/>
        <w:tblInd w:w="817" w:type="dxa"/>
        <w:tblLook w:val="04A0" w:firstRow="1" w:lastRow="0" w:firstColumn="1" w:lastColumn="0" w:noHBand="0" w:noVBand="1"/>
      </w:tblPr>
      <w:tblGrid>
        <w:gridCol w:w="4536"/>
        <w:gridCol w:w="1985"/>
        <w:gridCol w:w="1842"/>
      </w:tblGrid>
      <w:tr w:rsidRPr="00BF3983" w:rsidR="00720CB5" w:rsidTr="00AE4F97" w14:paraId="1500E34E" w14:textId="77777777">
        <w:trPr>
          <w:trHeight w:val="300"/>
        </w:trPr>
        <w:tc>
          <w:tcPr>
            <w:tcW w:w="4536" w:type="dxa"/>
            <w:tcBorders>
              <w:top w:val="single" w:color="auto" w:sz="4" w:space="0"/>
              <w:left w:val="single" w:color="auto" w:sz="4" w:space="0"/>
              <w:bottom w:val="nil"/>
              <w:right w:val="nil"/>
            </w:tcBorders>
            <w:shd w:val="clear" w:color="auto" w:fill="DBE5F1" w:themeFill="accent1" w:themeFillTint="33"/>
            <w:noWrap/>
            <w:vAlign w:val="bottom"/>
            <w:hideMark/>
          </w:tcPr>
          <w:p w:rsidRPr="00BF3983" w:rsidR="00720CB5" w:rsidP="00720CB5" w:rsidRDefault="00720CB5" w14:paraId="7565EED7" w14:textId="77777777">
            <w:pPr>
              <w:spacing w:after="0" w:line="240" w:lineRule="auto"/>
              <w:rPr>
                <w:rFonts w:eastAsia="Times New Roman" w:cs="Arial"/>
                <w:color w:val="000000"/>
                <w:sz w:val="20"/>
                <w:szCs w:val="20"/>
                <w:lang w:eastAsia="en-GB"/>
              </w:rPr>
            </w:pPr>
            <w:r w:rsidRPr="00BF3983">
              <w:rPr>
                <w:rFonts w:eastAsia="Times New Roman" w:cs="Arial"/>
                <w:color w:val="000000"/>
                <w:sz w:val="20"/>
                <w:szCs w:val="20"/>
                <w:lang w:eastAsia="en-GB"/>
              </w:rPr>
              <w:t> </w:t>
            </w:r>
          </w:p>
        </w:tc>
        <w:tc>
          <w:tcPr>
            <w:tcW w:w="1985"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BF3983" w:rsidR="00720CB5" w:rsidP="00681C2D" w:rsidRDefault="00720CB5" w14:paraId="628891C2" w14:textId="5B2DE2C4">
            <w:pPr>
              <w:spacing w:after="0" w:line="240" w:lineRule="auto"/>
              <w:jc w:val="right"/>
              <w:rPr>
                <w:rFonts w:eastAsia="Times New Roman" w:cs="Arial"/>
                <w:b/>
                <w:bCs/>
                <w:color w:val="000000"/>
                <w:sz w:val="20"/>
                <w:szCs w:val="20"/>
                <w:lang w:eastAsia="en-GB"/>
              </w:rPr>
            </w:pPr>
            <w:r w:rsidRPr="00BF3983">
              <w:rPr>
                <w:rFonts w:eastAsia="Times New Roman" w:cs="Arial"/>
                <w:b/>
                <w:bCs/>
                <w:color w:val="000000"/>
                <w:sz w:val="20"/>
                <w:szCs w:val="20"/>
                <w:lang w:eastAsia="en-GB"/>
              </w:rPr>
              <w:t xml:space="preserve">31st </w:t>
            </w:r>
            <w:r w:rsidRPr="00BF3983" w:rsidR="00C45BD2">
              <w:rPr>
                <w:rFonts w:eastAsia="Times New Roman" w:cs="Arial"/>
                <w:b/>
                <w:bCs/>
                <w:color w:val="000000"/>
                <w:sz w:val="20"/>
                <w:szCs w:val="20"/>
                <w:lang w:eastAsia="en-GB"/>
              </w:rPr>
              <w:t>March 202</w:t>
            </w:r>
            <w:r w:rsidRPr="00BF3983" w:rsidR="00A7158E">
              <w:rPr>
                <w:rFonts w:eastAsia="Times New Roman" w:cs="Arial"/>
                <w:b/>
                <w:bCs/>
                <w:color w:val="000000"/>
                <w:sz w:val="20"/>
                <w:szCs w:val="20"/>
                <w:lang w:eastAsia="en-GB"/>
              </w:rPr>
              <w:t>3</w:t>
            </w:r>
          </w:p>
        </w:tc>
        <w:tc>
          <w:tcPr>
            <w:tcW w:w="1842" w:type="dxa"/>
            <w:tcBorders>
              <w:top w:val="single" w:color="auto" w:sz="4" w:space="0"/>
              <w:left w:val="nil"/>
              <w:bottom w:val="nil"/>
              <w:right w:val="single" w:color="auto" w:sz="4" w:space="0"/>
            </w:tcBorders>
            <w:shd w:val="clear" w:color="auto" w:fill="DBE5F1" w:themeFill="accent1" w:themeFillTint="33"/>
            <w:noWrap/>
            <w:vAlign w:val="bottom"/>
            <w:hideMark/>
          </w:tcPr>
          <w:p w:rsidRPr="00BF3983" w:rsidR="00720CB5" w:rsidP="00681C2D" w:rsidRDefault="00A67D90" w14:paraId="2C4CAFCC" w14:textId="67D55D9F">
            <w:pPr>
              <w:spacing w:after="0" w:line="240" w:lineRule="auto"/>
              <w:jc w:val="right"/>
              <w:rPr>
                <w:rFonts w:eastAsia="Times New Roman" w:cs="Arial"/>
                <w:b/>
                <w:bCs/>
                <w:color w:val="000000"/>
                <w:sz w:val="20"/>
                <w:szCs w:val="20"/>
                <w:lang w:eastAsia="en-GB"/>
              </w:rPr>
            </w:pPr>
            <w:r w:rsidRPr="00BF3983">
              <w:rPr>
                <w:rFonts w:eastAsia="Times New Roman" w:cs="Arial"/>
                <w:b/>
                <w:bCs/>
                <w:color w:val="000000"/>
                <w:sz w:val="20"/>
                <w:szCs w:val="20"/>
                <w:lang w:eastAsia="en-GB"/>
              </w:rPr>
              <w:t>31st March 20</w:t>
            </w:r>
            <w:r w:rsidRPr="00BF3983" w:rsidR="00C45BD2">
              <w:rPr>
                <w:rFonts w:eastAsia="Times New Roman" w:cs="Arial"/>
                <w:b/>
                <w:bCs/>
                <w:color w:val="000000"/>
                <w:sz w:val="20"/>
                <w:szCs w:val="20"/>
                <w:lang w:eastAsia="en-GB"/>
              </w:rPr>
              <w:t>2</w:t>
            </w:r>
            <w:r w:rsidRPr="00BF3983" w:rsidR="00A7158E">
              <w:rPr>
                <w:rFonts w:eastAsia="Times New Roman" w:cs="Arial"/>
                <w:b/>
                <w:bCs/>
                <w:color w:val="000000"/>
                <w:sz w:val="20"/>
                <w:szCs w:val="20"/>
                <w:lang w:eastAsia="en-GB"/>
              </w:rPr>
              <w:t>2</w:t>
            </w:r>
          </w:p>
        </w:tc>
      </w:tr>
      <w:tr w:rsidRPr="00614894" w:rsidR="00720CB5" w:rsidTr="00AE4F97" w14:paraId="3EC1C8ED" w14:textId="77777777">
        <w:trPr>
          <w:trHeight w:val="300"/>
        </w:trPr>
        <w:tc>
          <w:tcPr>
            <w:tcW w:w="4536" w:type="dxa"/>
            <w:tcBorders>
              <w:top w:val="nil"/>
              <w:left w:val="single" w:color="auto" w:sz="4" w:space="0"/>
              <w:bottom w:val="single" w:color="auto" w:sz="4" w:space="0"/>
              <w:right w:val="nil"/>
            </w:tcBorders>
            <w:shd w:val="clear" w:color="auto" w:fill="DBE5F1" w:themeFill="accent1" w:themeFillTint="33"/>
            <w:noWrap/>
            <w:vAlign w:val="bottom"/>
            <w:hideMark/>
          </w:tcPr>
          <w:p w:rsidRPr="00BF3983" w:rsidR="00720CB5" w:rsidP="00720CB5" w:rsidRDefault="00720CB5" w14:paraId="5E1CD1AB" w14:textId="77777777">
            <w:pPr>
              <w:spacing w:after="0" w:line="240" w:lineRule="auto"/>
              <w:rPr>
                <w:rFonts w:eastAsia="Times New Roman" w:cs="Arial"/>
                <w:color w:val="000000"/>
                <w:sz w:val="20"/>
                <w:szCs w:val="20"/>
                <w:lang w:eastAsia="en-GB"/>
              </w:rPr>
            </w:pPr>
            <w:r w:rsidRPr="00BF3983">
              <w:rPr>
                <w:rFonts w:eastAsia="Times New Roman" w:cs="Arial"/>
                <w:color w:val="000000"/>
                <w:sz w:val="20"/>
                <w:szCs w:val="20"/>
                <w:lang w:eastAsia="en-GB"/>
              </w:rPr>
              <w:t> </w:t>
            </w:r>
          </w:p>
        </w:tc>
        <w:tc>
          <w:tcPr>
            <w:tcW w:w="1985"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BF3983" w:rsidR="00720CB5" w:rsidP="00681C2D" w:rsidRDefault="00720CB5" w14:paraId="12A47F04" w14:textId="77777777">
            <w:pPr>
              <w:spacing w:after="0" w:line="240" w:lineRule="auto"/>
              <w:jc w:val="right"/>
              <w:rPr>
                <w:rFonts w:eastAsia="Times New Roman" w:cs="Arial"/>
                <w:b/>
                <w:bCs/>
                <w:color w:val="000000"/>
                <w:sz w:val="20"/>
                <w:szCs w:val="20"/>
                <w:lang w:eastAsia="en-GB"/>
              </w:rPr>
            </w:pPr>
            <w:r w:rsidRPr="00BF3983">
              <w:rPr>
                <w:rFonts w:eastAsia="Times New Roman" w:cs="Arial"/>
                <w:b/>
                <w:bCs/>
                <w:color w:val="000000"/>
                <w:sz w:val="20"/>
                <w:szCs w:val="20"/>
                <w:lang w:eastAsia="en-GB"/>
              </w:rPr>
              <w:t>% per annum</w:t>
            </w:r>
          </w:p>
        </w:tc>
        <w:tc>
          <w:tcPr>
            <w:tcW w:w="1842" w:type="dxa"/>
            <w:tcBorders>
              <w:top w:val="nil"/>
              <w:left w:val="nil"/>
              <w:bottom w:val="single" w:color="auto" w:sz="4" w:space="0"/>
              <w:right w:val="single" w:color="auto" w:sz="4" w:space="0"/>
            </w:tcBorders>
            <w:shd w:val="clear" w:color="auto" w:fill="DBE5F1" w:themeFill="accent1" w:themeFillTint="33"/>
            <w:noWrap/>
            <w:vAlign w:val="bottom"/>
            <w:hideMark/>
          </w:tcPr>
          <w:p w:rsidRPr="00BF3983" w:rsidR="00720CB5" w:rsidP="00681C2D" w:rsidRDefault="00720CB5" w14:paraId="4BA97386" w14:textId="77777777">
            <w:pPr>
              <w:spacing w:after="0" w:line="240" w:lineRule="auto"/>
              <w:jc w:val="right"/>
              <w:rPr>
                <w:rFonts w:eastAsia="Times New Roman" w:cs="Arial"/>
                <w:b/>
                <w:bCs/>
                <w:color w:val="000000"/>
                <w:sz w:val="20"/>
                <w:szCs w:val="20"/>
                <w:lang w:eastAsia="en-GB"/>
              </w:rPr>
            </w:pPr>
            <w:r w:rsidRPr="00BF3983">
              <w:rPr>
                <w:rFonts w:eastAsia="Times New Roman" w:cs="Arial"/>
                <w:b/>
                <w:bCs/>
                <w:color w:val="000000"/>
                <w:sz w:val="20"/>
                <w:szCs w:val="20"/>
                <w:lang w:eastAsia="en-GB"/>
              </w:rPr>
              <w:t>% per annum</w:t>
            </w:r>
          </w:p>
        </w:tc>
      </w:tr>
      <w:tr w:rsidRPr="00614894" w:rsidR="00720CB5" w:rsidTr="009B0B00" w14:paraId="6C5BE7D9" w14:textId="77777777">
        <w:trPr>
          <w:trHeight w:val="300"/>
        </w:trPr>
        <w:tc>
          <w:tcPr>
            <w:tcW w:w="4536" w:type="dxa"/>
            <w:tcBorders>
              <w:top w:val="nil"/>
              <w:left w:val="single" w:color="auto" w:sz="4" w:space="0"/>
              <w:bottom w:val="nil"/>
              <w:right w:val="nil"/>
            </w:tcBorders>
            <w:shd w:val="clear" w:color="auto" w:fill="auto"/>
            <w:noWrap/>
            <w:vAlign w:val="bottom"/>
            <w:hideMark/>
          </w:tcPr>
          <w:p w:rsidRPr="00BF3983" w:rsidR="00720CB5" w:rsidP="00720CB5" w:rsidRDefault="00720CB5" w14:paraId="2B45FF7F" w14:textId="77777777">
            <w:pPr>
              <w:spacing w:after="0" w:line="240" w:lineRule="auto"/>
              <w:rPr>
                <w:rFonts w:eastAsia="Times New Roman" w:cs="Arial"/>
                <w:color w:val="000000"/>
                <w:sz w:val="20"/>
                <w:szCs w:val="20"/>
                <w:lang w:eastAsia="en-GB"/>
              </w:rPr>
            </w:pPr>
            <w:r w:rsidRPr="00BF3983">
              <w:rPr>
                <w:rFonts w:eastAsia="Times New Roman" w:cs="Arial"/>
                <w:color w:val="000000"/>
                <w:sz w:val="20"/>
                <w:szCs w:val="20"/>
                <w:lang w:eastAsia="en-GB"/>
              </w:rPr>
              <w:t>Discount Rate</w:t>
            </w:r>
          </w:p>
        </w:tc>
        <w:tc>
          <w:tcPr>
            <w:tcW w:w="1985" w:type="dxa"/>
            <w:tcBorders>
              <w:top w:val="nil"/>
              <w:left w:val="single" w:color="auto" w:sz="4" w:space="0"/>
              <w:bottom w:val="nil"/>
              <w:right w:val="single" w:color="auto" w:sz="4" w:space="0"/>
            </w:tcBorders>
            <w:shd w:val="clear" w:color="auto" w:fill="auto"/>
            <w:noWrap/>
            <w:vAlign w:val="bottom"/>
            <w:hideMark/>
          </w:tcPr>
          <w:p w:rsidRPr="00BF3983" w:rsidR="00720CB5" w:rsidP="00720CB5" w:rsidRDefault="00BF3983" w14:paraId="376764FB" w14:textId="3BD006E7">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4.60</w:t>
            </w:r>
            <w:r w:rsidRPr="00BF3983" w:rsidR="009602D9">
              <w:rPr>
                <w:rFonts w:eastAsia="Times New Roman" w:cs="Arial"/>
                <w:color w:val="000000"/>
                <w:sz w:val="20"/>
                <w:szCs w:val="20"/>
                <w:lang w:eastAsia="en-GB"/>
              </w:rPr>
              <w:t>%</w:t>
            </w:r>
          </w:p>
        </w:tc>
        <w:tc>
          <w:tcPr>
            <w:tcW w:w="1842" w:type="dxa"/>
            <w:tcBorders>
              <w:top w:val="nil"/>
              <w:left w:val="nil"/>
              <w:bottom w:val="nil"/>
              <w:right w:val="single" w:color="auto" w:sz="4" w:space="0"/>
            </w:tcBorders>
            <w:shd w:val="clear" w:color="auto" w:fill="auto"/>
            <w:noWrap/>
            <w:vAlign w:val="bottom"/>
          </w:tcPr>
          <w:p w:rsidRPr="00BF3983" w:rsidR="00720CB5" w:rsidP="009602D9" w:rsidRDefault="00C45BD2" w14:paraId="1499D3B8" w14:textId="56C6701C">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2.</w:t>
            </w:r>
            <w:r w:rsidRPr="00BF3983" w:rsidR="00A7158E">
              <w:rPr>
                <w:rFonts w:eastAsia="Times New Roman" w:cs="Arial"/>
                <w:color w:val="000000"/>
                <w:sz w:val="20"/>
                <w:szCs w:val="20"/>
                <w:lang w:eastAsia="en-GB"/>
              </w:rPr>
              <w:t>7</w:t>
            </w:r>
            <w:r w:rsidRPr="00BF3983" w:rsidR="00FD5584">
              <w:rPr>
                <w:rFonts w:eastAsia="Times New Roman" w:cs="Arial"/>
                <w:color w:val="000000"/>
                <w:sz w:val="20"/>
                <w:szCs w:val="20"/>
                <w:lang w:eastAsia="en-GB"/>
              </w:rPr>
              <w:t>0</w:t>
            </w:r>
            <w:r w:rsidRPr="00BF3983" w:rsidR="00FA4AAF">
              <w:rPr>
                <w:rFonts w:eastAsia="Times New Roman" w:cs="Arial"/>
                <w:color w:val="000000"/>
                <w:sz w:val="20"/>
                <w:szCs w:val="20"/>
                <w:lang w:eastAsia="en-GB"/>
              </w:rPr>
              <w:t>%</w:t>
            </w:r>
          </w:p>
        </w:tc>
      </w:tr>
      <w:tr w:rsidRPr="00614894" w:rsidR="003B601E" w:rsidTr="009B0B00" w14:paraId="087E6A57" w14:textId="77777777">
        <w:trPr>
          <w:trHeight w:val="300"/>
        </w:trPr>
        <w:tc>
          <w:tcPr>
            <w:tcW w:w="4536" w:type="dxa"/>
            <w:tcBorders>
              <w:top w:val="nil"/>
              <w:left w:val="single" w:color="auto" w:sz="4" w:space="0"/>
              <w:bottom w:val="nil"/>
              <w:right w:val="nil"/>
            </w:tcBorders>
            <w:shd w:val="clear" w:color="auto" w:fill="auto"/>
            <w:noWrap/>
            <w:vAlign w:val="bottom"/>
          </w:tcPr>
          <w:p w:rsidRPr="00BF3983" w:rsidR="003B601E" w:rsidP="00720CB5" w:rsidRDefault="003B601E" w14:paraId="2D894D19" w14:textId="4ACCCFFD">
            <w:pPr>
              <w:spacing w:after="0" w:line="240" w:lineRule="auto"/>
              <w:rPr>
                <w:rFonts w:eastAsia="Times New Roman" w:cs="Arial"/>
                <w:color w:val="000000"/>
                <w:sz w:val="20"/>
                <w:szCs w:val="20"/>
                <w:lang w:eastAsia="en-GB"/>
              </w:rPr>
            </w:pPr>
            <w:r w:rsidRPr="00BF3983">
              <w:rPr>
                <w:rFonts w:eastAsia="Times New Roman" w:cs="Arial"/>
                <w:color w:val="000000"/>
                <w:sz w:val="20"/>
                <w:szCs w:val="20"/>
                <w:lang w:eastAsia="en-GB"/>
              </w:rPr>
              <w:t>CPI Inflation</w:t>
            </w:r>
          </w:p>
        </w:tc>
        <w:tc>
          <w:tcPr>
            <w:tcW w:w="1985" w:type="dxa"/>
            <w:tcBorders>
              <w:top w:val="nil"/>
              <w:left w:val="single" w:color="auto" w:sz="4" w:space="0"/>
              <w:bottom w:val="nil"/>
              <w:right w:val="single" w:color="auto" w:sz="4" w:space="0"/>
            </w:tcBorders>
            <w:shd w:val="clear" w:color="auto" w:fill="auto"/>
            <w:noWrap/>
            <w:vAlign w:val="bottom"/>
          </w:tcPr>
          <w:p w:rsidRPr="00BF3983" w:rsidR="003B601E" w:rsidP="00720CB5" w:rsidRDefault="00BF3983" w14:paraId="075F8629" w14:textId="57355634">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2.60</w:t>
            </w:r>
            <w:r w:rsidRPr="00BF3983" w:rsidR="003B601E">
              <w:rPr>
                <w:rFonts w:eastAsia="Times New Roman" w:cs="Arial"/>
                <w:color w:val="000000"/>
                <w:sz w:val="20"/>
                <w:szCs w:val="20"/>
                <w:lang w:eastAsia="en-GB"/>
              </w:rPr>
              <w:t>%</w:t>
            </w:r>
          </w:p>
        </w:tc>
        <w:tc>
          <w:tcPr>
            <w:tcW w:w="1842" w:type="dxa"/>
            <w:tcBorders>
              <w:top w:val="nil"/>
              <w:left w:val="nil"/>
              <w:bottom w:val="nil"/>
              <w:right w:val="single" w:color="auto" w:sz="4" w:space="0"/>
            </w:tcBorders>
            <w:shd w:val="clear" w:color="auto" w:fill="auto"/>
            <w:noWrap/>
            <w:vAlign w:val="bottom"/>
          </w:tcPr>
          <w:p w:rsidRPr="00BF3983" w:rsidR="003B601E" w:rsidP="009602D9" w:rsidRDefault="00C45BD2" w14:paraId="76AA90B5" w14:textId="2C563BD0">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2.</w:t>
            </w:r>
            <w:r w:rsidRPr="00BF3983" w:rsidR="00A7158E">
              <w:rPr>
                <w:rFonts w:eastAsia="Times New Roman" w:cs="Arial"/>
                <w:color w:val="000000"/>
                <w:sz w:val="20"/>
                <w:szCs w:val="20"/>
                <w:lang w:eastAsia="en-GB"/>
              </w:rPr>
              <w:t>9</w:t>
            </w:r>
            <w:r w:rsidRPr="00BF3983" w:rsidR="003B601E">
              <w:rPr>
                <w:rFonts w:eastAsia="Times New Roman" w:cs="Arial"/>
                <w:color w:val="000000"/>
                <w:sz w:val="20"/>
                <w:szCs w:val="20"/>
                <w:lang w:eastAsia="en-GB"/>
              </w:rPr>
              <w:t>0%</w:t>
            </w:r>
          </w:p>
        </w:tc>
      </w:tr>
      <w:tr w:rsidRPr="00614894" w:rsidR="00720CB5" w:rsidTr="009B0B00" w14:paraId="21860C9A" w14:textId="77777777">
        <w:trPr>
          <w:trHeight w:val="300"/>
        </w:trPr>
        <w:tc>
          <w:tcPr>
            <w:tcW w:w="4536" w:type="dxa"/>
            <w:tcBorders>
              <w:top w:val="nil"/>
              <w:left w:val="single" w:color="auto" w:sz="4" w:space="0"/>
              <w:bottom w:val="nil"/>
              <w:right w:val="nil"/>
            </w:tcBorders>
            <w:shd w:val="clear" w:color="auto" w:fill="auto"/>
            <w:noWrap/>
            <w:vAlign w:val="bottom"/>
            <w:hideMark/>
          </w:tcPr>
          <w:p w:rsidRPr="00BF3983" w:rsidR="00720CB5" w:rsidP="00720CB5" w:rsidRDefault="00720CB5" w14:paraId="1CDA5DE7" w14:textId="77777777">
            <w:pPr>
              <w:spacing w:after="0" w:line="240" w:lineRule="auto"/>
              <w:rPr>
                <w:rFonts w:eastAsia="Times New Roman" w:cs="Arial"/>
                <w:color w:val="000000"/>
                <w:sz w:val="20"/>
                <w:szCs w:val="20"/>
                <w:lang w:eastAsia="en-GB"/>
              </w:rPr>
            </w:pPr>
            <w:r w:rsidRPr="00BF3983">
              <w:rPr>
                <w:rFonts w:eastAsia="Times New Roman" w:cs="Arial"/>
                <w:color w:val="000000"/>
                <w:sz w:val="20"/>
                <w:szCs w:val="20"/>
                <w:lang w:eastAsia="en-GB"/>
              </w:rPr>
              <w:t>Rate of Increase to Pensions in Payment</w:t>
            </w:r>
          </w:p>
        </w:tc>
        <w:tc>
          <w:tcPr>
            <w:tcW w:w="1985" w:type="dxa"/>
            <w:tcBorders>
              <w:top w:val="nil"/>
              <w:left w:val="single" w:color="auto" w:sz="4" w:space="0"/>
              <w:bottom w:val="nil"/>
              <w:right w:val="single" w:color="auto" w:sz="4" w:space="0"/>
            </w:tcBorders>
            <w:shd w:val="clear" w:color="auto" w:fill="auto"/>
            <w:noWrap/>
            <w:vAlign w:val="bottom"/>
            <w:hideMark/>
          </w:tcPr>
          <w:p w:rsidRPr="00BF3983" w:rsidR="00720CB5" w:rsidP="00720CB5" w:rsidRDefault="00BF3983" w14:paraId="00513A51" w14:textId="23B57844">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2.60</w:t>
            </w:r>
            <w:r w:rsidRPr="00BF3983" w:rsidR="009602D9">
              <w:rPr>
                <w:rFonts w:eastAsia="Times New Roman" w:cs="Arial"/>
                <w:color w:val="000000"/>
                <w:sz w:val="20"/>
                <w:szCs w:val="20"/>
                <w:lang w:eastAsia="en-GB"/>
              </w:rPr>
              <w:t>%</w:t>
            </w:r>
          </w:p>
        </w:tc>
        <w:tc>
          <w:tcPr>
            <w:tcW w:w="1842" w:type="dxa"/>
            <w:tcBorders>
              <w:top w:val="nil"/>
              <w:left w:val="nil"/>
              <w:bottom w:val="nil"/>
              <w:right w:val="single" w:color="auto" w:sz="4" w:space="0"/>
            </w:tcBorders>
            <w:shd w:val="clear" w:color="auto" w:fill="auto"/>
            <w:noWrap/>
            <w:vAlign w:val="bottom"/>
          </w:tcPr>
          <w:p w:rsidRPr="00BF3983" w:rsidR="00720CB5" w:rsidP="009602D9" w:rsidRDefault="00C45BD2" w14:paraId="4736EF45" w14:textId="7EBA0081">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2.</w:t>
            </w:r>
            <w:r w:rsidRPr="00BF3983" w:rsidR="00A7158E">
              <w:rPr>
                <w:rFonts w:eastAsia="Times New Roman" w:cs="Arial"/>
                <w:color w:val="000000"/>
                <w:sz w:val="20"/>
                <w:szCs w:val="20"/>
                <w:lang w:eastAsia="en-GB"/>
              </w:rPr>
              <w:t>9</w:t>
            </w:r>
            <w:r w:rsidRPr="00BF3983" w:rsidR="00FD5584">
              <w:rPr>
                <w:rFonts w:eastAsia="Times New Roman" w:cs="Arial"/>
                <w:color w:val="000000"/>
                <w:sz w:val="20"/>
                <w:szCs w:val="20"/>
                <w:lang w:eastAsia="en-GB"/>
              </w:rPr>
              <w:t>0</w:t>
            </w:r>
            <w:r w:rsidRPr="00BF3983" w:rsidR="00FA4AAF">
              <w:rPr>
                <w:rFonts w:eastAsia="Times New Roman" w:cs="Arial"/>
                <w:color w:val="000000"/>
                <w:sz w:val="20"/>
                <w:szCs w:val="20"/>
                <w:lang w:eastAsia="en-GB"/>
              </w:rPr>
              <w:t>%</w:t>
            </w:r>
          </w:p>
        </w:tc>
      </w:tr>
      <w:tr w:rsidRPr="00614894" w:rsidR="00720CB5" w:rsidTr="009B0B00" w14:paraId="156D94D7" w14:textId="77777777">
        <w:trPr>
          <w:trHeight w:val="300"/>
        </w:trPr>
        <w:tc>
          <w:tcPr>
            <w:tcW w:w="4536" w:type="dxa"/>
            <w:tcBorders>
              <w:top w:val="nil"/>
              <w:left w:val="single" w:color="auto" w:sz="4" w:space="0"/>
              <w:bottom w:val="nil"/>
              <w:right w:val="nil"/>
            </w:tcBorders>
            <w:shd w:val="clear" w:color="auto" w:fill="auto"/>
            <w:noWrap/>
            <w:vAlign w:val="bottom"/>
            <w:hideMark/>
          </w:tcPr>
          <w:p w:rsidRPr="00BF3983" w:rsidR="00720CB5" w:rsidP="003B601E" w:rsidRDefault="003B601E" w14:paraId="2E9E2C57" w14:textId="1A8079A6">
            <w:pPr>
              <w:spacing w:after="0" w:line="240" w:lineRule="auto"/>
              <w:rPr>
                <w:rFonts w:eastAsia="Times New Roman" w:cs="Arial"/>
                <w:color w:val="000000"/>
                <w:sz w:val="20"/>
                <w:szCs w:val="20"/>
                <w:lang w:eastAsia="en-GB"/>
              </w:rPr>
            </w:pPr>
            <w:r w:rsidRPr="00BF3983">
              <w:rPr>
                <w:rFonts w:eastAsia="Times New Roman" w:cs="Arial"/>
                <w:color w:val="000000"/>
                <w:sz w:val="20"/>
                <w:szCs w:val="20"/>
                <w:lang w:eastAsia="en-GB"/>
              </w:rPr>
              <w:t>Pension Accounts Revaluations Rate</w:t>
            </w:r>
          </w:p>
        </w:tc>
        <w:tc>
          <w:tcPr>
            <w:tcW w:w="1985" w:type="dxa"/>
            <w:tcBorders>
              <w:top w:val="nil"/>
              <w:left w:val="single" w:color="auto" w:sz="4" w:space="0"/>
              <w:bottom w:val="nil"/>
              <w:right w:val="single" w:color="auto" w:sz="4" w:space="0"/>
            </w:tcBorders>
            <w:shd w:val="clear" w:color="auto" w:fill="auto"/>
            <w:noWrap/>
            <w:vAlign w:val="bottom"/>
            <w:hideMark/>
          </w:tcPr>
          <w:p w:rsidRPr="00BF3983" w:rsidR="00720CB5" w:rsidP="00720CB5" w:rsidRDefault="00BF3983" w14:paraId="0517C885" w14:textId="43663F00">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2.60</w:t>
            </w:r>
            <w:r w:rsidRPr="00BF3983" w:rsidR="009602D9">
              <w:rPr>
                <w:rFonts w:eastAsia="Times New Roman" w:cs="Arial"/>
                <w:color w:val="000000"/>
                <w:sz w:val="20"/>
                <w:szCs w:val="20"/>
                <w:lang w:eastAsia="en-GB"/>
              </w:rPr>
              <w:t>%</w:t>
            </w:r>
          </w:p>
        </w:tc>
        <w:tc>
          <w:tcPr>
            <w:tcW w:w="1842" w:type="dxa"/>
            <w:tcBorders>
              <w:top w:val="nil"/>
              <w:left w:val="nil"/>
              <w:bottom w:val="nil"/>
              <w:right w:val="single" w:color="auto" w:sz="4" w:space="0"/>
            </w:tcBorders>
            <w:shd w:val="clear" w:color="auto" w:fill="auto"/>
            <w:noWrap/>
            <w:vAlign w:val="bottom"/>
          </w:tcPr>
          <w:p w:rsidRPr="00BF3983" w:rsidR="00720CB5" w:rsidP="009602D9" w:rsidRDefault="00C45BD2" w14:paraId="7C7451A8" w14:textId="1317A5A2">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2.</w:t>
            </w:r>
            <w:r w:rsidRPr="00BF3983" w:rsidR="00A7158E">
              <w:rPr>
                <w:rFonts w:eastAsia="Times New Roman" w:cs="Arial"/>
                <w:color w:val="000000"/>
                <w:sz w:val="20"/>
                <w:szCs w:val="20"/>
                <w:lang w:eastAsia="en-GB"/>
              </w:rPr>
              <w:t>9</w:t>
            </w:r>
            <w:r w:rsidRPr="00BF3983" w:rsidR="00FD5584">
              <w:rPr>
                <w:rFonts w:eastAsia="Times New Roman" w:cs="Arial"/>
                <w:color w:val="000000"/>
                <w:sz w:val="20"/>
                <w:szCs w:val="20"/>
                <w:lang w:eastAsia="en-GB"/>
              </w:rPr>
              <w:t>0</w:t>
            </w:r>
            <w:r w:rsidRPr="00BF3983" w:rsidR="00FA4AAF">
              <w:rPr>
                <w:rFonts w:eastAsia="Times New Roman" w:cs="Arial"/>
                <w:color w:val="000000"/>
                <w:sz w:val="20"/>
                <w:szCs w:val="20"/>
                <w:lang w:eastAsia="en-GB"/>
              </w:rPr>
              <w:t>%</w:t>
            </w:r>
          </w:p>
        </w:tc>
      </w:tr>
      <w:tr w:rsidRPr="00614894" w:rsidR="00720CB5" w:rsidTr="009B0B00" w14:paraId="636D1B51" w14:textId="77777777">
        <w:trPr>
          <w:trHeight w:val="300"/>
        </w:trPr>
        <w:tc>
          <w:tcPr>
            <w:tcW w:w="4536" w:type="dxa"/>
            <w:tcBorders>
              <w:top w:val="nil"/>
              <w:left w:val="single" w:color="auto" w:sz="4" w:space="0"/>
              <w:bottom w:val="single" w:color="auto" w:sz="4" w:space="0"/>
              <w:right w:val="nil"/>
            </w:tcBorders>
            <w:shd w:val="clear" w:color="auto" w:fill="auto"/>
            <w:noWrap/>
            <w:vAlign w:val="bottom"/>
            <w:hideMark/>
          </w:tcPr>
          <w:p w:rsidRPr="00BF3983" w:rsidR="00720CB5" w:rsidP="00720CB5" w:rsidRDefault="00720CB5" w14:paraId="27F3CADB" w14:textId="77777777">
            <w:pPr>
              <w:spacing w:after="0" w:line="240" w:lineRule="auto"/>
              <w:rPr>
                <w:rFonts w:eastAsia="Times New Roman" w:cs="Arial"/>
                <w:color w:val="000000"/>
                <w:sz w:val="20"/>
                <w:szCs w:val="20"/>
                <w:lang w:eastAsia="en-GB"/>
              </w:rPr>
            </w:pPr>
            <w:r w:rsidRPr="00BF3983">
              <w:rPr>
                <w:rFonts w:eastAsia="Times New Roman" w:cs="Arial"/>
                <w:color w:val="000000"/>
                <w:sz w:val="20"/>
                <w:szCs w:val="20"/>
                <w:lang w:eastAsia="en-GB"/>
              </w:rPr>
              <w:t>Rate of Increase in Salaries</w:t>
            </w:r>
          </w:p>
        </w:tc>
        <w:tc>
          <w:tcPr>
            <w:tcW w:w="1985" w:type="dxa"/>
            <w:tcBorders>
              <w:top w:val="nil"/>
              <w:left w:val="single" w:color="auto" w:sz="4" w:space="0"/>
              <w:bottom w:val="single" w:color="auto" w:sz="4" w:space="0"/>
              <w:right w:val="single" w:color="auto" w:sz="4" w:space="0"/>
            </w:tcBorders>
            <w:shd w:val="clear" w:color="auto" w:fill="auto"/>
            <w:noWrap/>
            <w:vAlign w:val="bottom"/>
            <w:hideMark/>
          </w:tcPr>
          <w:p w:rsidRPr="00BF3983" w:rsidR="00720CB5" w:rsidP="00720CB5" w:rsidRDefault="00BF3983" w14:paraId="4EBA09BA" w14:textId="6A91FDA9">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3.60</w:t>
            </w:r>
            <w:r w:rsidRPr="00BF3983" w:rsidR="009602D9">
              <w:rPr>
                <w:rFonts w:eastAsia="Times New Roman" w:cs="Arial"/>
                <w:color w:val="000000"/>
                <w:sz w:val="20"/>
                <w:szCs w:val="20"/>
                <w:lang w:eastAsia="en-GB"/>
              </w:rPr>
              <w:t>%</w:t>
            </w:r>
          </w:p>
        </w:tc>
        <w:tc>
          <w:tcPr>
            <w:tcW w:w="1842" w:type="dxa"/>
            <w:tcBorders>
              <w:top w:val="nil"/>
              <w:left w:val="nil"/>
              <w:bottom w:val="single" w:color="auto" w:sz="4" w:space="0"/>
              <w:right w:val="single" w:color="auto" w:sz="4" w:space="0"/>
            </w:tcBorders>
            <w:shd w:val="clear" w:color="auto" w:fill="auto"/>
            <w:noWrap/>
            <w:vAlign w:val="bottom"/>
          </w:tcPr>
          <w:p w:rsidRPr="00BF3983" w:rsidR="00720CB5" w:rsidP="009602D9" w:rsidRDefault="00C45BD2" w14:paraId="5213FA10" w14:textId="0133F0A2">
            <w:pPr>
              <w:spacing w:after="0" w:line="240" w:lineRule="auto"/>
              <w:jc w:val="right"/>
              <w:rPr>
                <w:rFonts w:eastAsia="Times New Roman" w:cs="Arial"/>
                <w:color w:val="000000"/>
                <w:sz w:val="20"/>
                <w:szCs w:val="20"/>
                <w:lang w:eastAsia="en-GB"/>
              </w:rPr>
            </w:pPr>
            <w:r w:rsidRPr="00BF3983">
              <w:rPr>
                <w:rFonts w:eastAsia="Times New Roman" w:cs="Arial"/>
                <w:color w:val="000000"/>
                <w:sz w:val="20"/>
                <w:szCs w:val="20"/>
                <w:lang w:eastAsia="en-GB"/>
              </w:rPr>
              <w:t>3.</w:t>
            </w:r>
            <w:r w:rsidRPr="00BF3983" w:rsidR="00A7158E">
              <w:rPr>
                <w:rFonts w:eastAsia="Times New Roman" w:cs="Arial"/>
                <w:color w:val="000000"/>
                <w:sz w:val="20"/>
                <w:szCs w:val="20"/>
                <w:lang w:eastAsia="en-GB"/>
              </w:rPr>
              <w:t>9</w:t>
            </w:r>
            <w:r w:rsidRPr="00BF3983" w:rsidR="00FD5584">
              <w:rPr>
                <w:rFonts w:eastAsia="Times New Roman" w:cs="Arial"/>
                <w:color w:val="000000"/>
                <w:sz w:val="20"/>
                <w:szCs w:val="20"/>
                <w:lang w:eastAsia="en-GB"/>
              </w:rPr>
              <w:t>0</w:t>
            </w:r>
            <w:r w:rsidRPr="00BF3983" w:rsidR="00FA4AAF">
              <w:rPr>
                <w:rFonts w:eastAsia="Times New Roman" w:cs="Arial"/>
                <w:color w:val="000000"/>
                <w:sz w:val="20"/>
                <w:szCs w:val="20"/>
                <w:lang w:eastAsia="en-GB"/>
              </w:rPr>
              <w:t>%</w:t>
            </w:r>
          </w:p>
        </w:tc>
      </w:tr>
    </w:tbl>
    <w:p w:rsidRPr="00614894" w:rsidR="00D75F9F" w:rsidP="00803BC5" w:rsidRDefault="00D75F9F" w14:paraId="6BBDD4A8" w14:textId="77777777">
      <w:pPr>
        <w:pStyle w:val="ListParagraph"/>
        <w:ind w:left="1080"/>
        <w:jc w:val="both"/>
        <w:rPr>
          <w:rFonts w:cs="Arial"/>
          <w:highlight w:val="yellow"/>
        </w:rPr>
      </w:pPr>
    </w:p>
    <w:p w:rsidRPr="00BF3983" w:rsidR="001F0835" w:rsidP="00C44E1F" w:rsidRDefault="001F0835" w14:paraId="6C940FE3" w14:textId="31DF5CF2">
      <w:pPr>
        <w:pStyle w:val="ListParagraph"/>
        <w:numPr>
          <w:ilvl w:val="0"/>
          <w:numId w:val="4"/>
        </w:numPr>
        <w:jc w:val="both"/>
        <w:rPr>
          <w:rStyle w:val="eop"/>
          <w:rFonts w:cs="Arial"/>
        </w:rPr>
      </w:pPr>
      <w:r w:rsidRPr="00BF3983">
        <w:rPr>
          <w:rFonts w:cs="Arial"/>
        </w:rPr>
        <w:t xml:space="preserve">The </w:t>
      </w:r>
      <w:r w:rsidRPr="00BF3983" w:rsidR="00C30417">
        <w:rPr>
          <w:rFonts w:cs="Arial"/>
        </w:rPr>
        <w:t xml:space="preserve">duration </w:t>
      </w:r>
      <w:r w:rsidRPr="00BF3983" w:rsidR="00BF3983">
        <w:rPr>
          <w:rStyle w:val="normaltextrun"/>
          <w:rFonts w:cs="Arial"/>
          <w:color w:val="000000"/>
          <w:shd w:val="clear" w:color="auto" w:fill="FFFFFF"/>
          <w:lang w:val="en-US"/>
        </w:rPr>
        <w:t>of the liabilities is the average period between the calculation date and the date at which benefit payments fall due.  Durations will be calculated based on the output of the most recent valuation exercise of the Employer’s funded liabilities</w:t>
      </w:r>
      <w:r w:rsidR="00E6303C">
        <w:rPr>
          <w:rStyle w:val="eop"/>
          <w:rFonts w:cs="Arial"/>
          <w:color w:val="000000"/>
          <w:shd w:val="clear" w:color="auto" w:fill="FFFFFF"/>
        </w:rPr>
        <w:t>.</w:t>
      </w:r>
    </w:p>
    <w:p w:rsidRPr="00BF3983" w:rsidR="00BF3983" w:rsidP="00C44E1F" w:rsidRDefault="00BF3983" w14:paraId="2DE3F1AC" w14:textId="1F47427D">
      <w:pPr>
        <w:pStyle w:val="ListParagraph"/>
        <w:numPr>
          <w:ilvl w:val="0"/>
          <w:numId w:val="4"/>
        </w:numPr>
        <w:jc w:val="both"/>
        <w:rPr>
          <w:rStyle w:val="eop"/>
          <w:rFonts w:cs="Arial"/>
        </w:rPr>
      </w:pPr>
      <w:r w:rsidRPr="00BF3983">
        <w:rPr>
          <w:rStyle w:val="normaltextrun"/>
          <w:rFonts w:cs="Arial"/>
          <w:color w:val="000000"/>
          <w:shd w:val="clear" w:color="auto" w:fill="FFFFFF"/>
          <w:lang w:val="en-US"/>
        </w:rPr>
        <w:t>Employers may also prepare a separate disclosure note for their unfunded benefit schemes’ which pay pensions awarded at retirement on a discretionary basis.  The duration of the unfunded liabilities will usually be shorter than the duration of the LGPS benefits.  In the interest of pragmatism and practicality it is recommended that the financial assumptions used to report the unfunded scheme liabilities are the same as those used for valuing funded benefits.</w:t>
      </w:r>
      <w:r w:rsidRPr="00BF3983">
        <w:rPr>
          <w:rStyle w:val="eop"/>
          <w:rFonts w:cs="Arial"/>
          <w:color w:val="000000"/>
          <w:shd w:val="clear" w:color="auto" w:fill="FFFFFF"/>
        </w:rPr>
        <w:t> </w:t>
      </w:r>
    </w:p>
    <w:p w:rsidRPr="00BF3983" w:rsidR="00BF3983" w:rsidP="00C44E1F" w:rsidRDefault="00BF3983" w14:paraId="0BCE72DB" w14:textId="75627358">
      <w:pPr>
        <w:pStyle w:val="ListParagraph"/>
        <w:numPr>
          <w:ilvl w:val="0"/>
          <w:numId w:val="4"/>
        </w:numPr>
        <w:jc w:val="both"/>
        <w:rPr>
          <w:rStyle w:val="eop"/>
          <w:rFonts w:cs="Arial"/>
        </w:rPr>
      </w:pPr>
      <w:r w:rsidRPr="00BF3983">
        <w:rPr>
          <w:rStyle w:val="normaltextrun"/>
          <w:rFonts w:cs="Arial"/>
          <w:color w:val="000000"/>
          <w:shd w:val="clear" w:color="auto" w:fill="FFFFFF"/>
          <w:lang w:val="en-US"/>
        </w:rPr>
        <w:t xml:space="preserve">Pension increases on pension </w:t>
      </w:r>
      <w:proofErr w:type="gramStart"/>
      <w:r w:rsidRPr="00BF3983">
        <w:rPr>
          <w:rStyle w:val="normaltextrun"/>
          <w:rFonts w:cs="Arial"/>
          <w:color w:val="000000"/>
          <w:shd w:val="clear" w:color="auto" w:fill="FFFFFF"/>
          <w:lang w:val="en-US"/>
        </w:rPr>
        <w:t>in excess of</w:t>
      </w:r>
      <w:proofErr w:type="gramEnd"/>
      <w:r w:rsidRPr="00BF3983">
        <w:rPr>
          <w:rStyle w:val="normaltextrun"/>
          <w:rFonts w:cs="Arial"/>
          <w:color w:val="000000"/>
          <w:shd w:val="clear" w:color="auto" w:fill="FFFFFF"/>
          <w:lang w:val="en-US"/>
        </w:rPr>
        <w:t xml:space="preserve"> the Guaranteed Minimum Pension in payment where appropriate.</w:t>
      </w:r>
      <w:r w:rsidRPr="00BF3983">
        <w:rPr>
          <w:rStyle w:val="eop"/>
          <w:rFonts w:cs="Arial"/>
          <w:color w:val="000000"/>
          <w:shd w:val="clear" w:color="auto" w:fill="FFFFFF"/>
        </w:rPr>
        <w:t> </w:t>
      </w:r>
    </w:p>
    <w:p w:rsidRPr="00BF3983" w:rsidR="00BF3983" w:rsidP="00C44E1F" w:rsidRDefault="00BF3983" w14:paraId="5CEFE27D" w14:textId="2F934CAD">
      <w:pPr>
        <w:pStyle w:val="ListParagraph"/>
        <w:numPr>
          <w:ilvl w:val="0"/>
          <w:numId w:val="4"/>
        </w:numPr>
        <w:jc w:val="both"/>
        <w:rPr>
          <w:rStyle w:val="eop"/>
          <w:rFonts w:cs="Arial"/>
        </w:rPr>
      </w:pPr>
      <w:r w:rsidRPr="00BF3983">
        <w:rPr>
          <w:rStyle w:val="normaltextrun"/>
          <w:rFonts w:cs="Arial"/>
          <w:color w:val="000000"/>
          <w:shd w:val="clear" w:color="auto" w:fill="FFFFFF"/>
          <w:lang w:val="en-US"/>
        </w:rPr>
        <w:t>It is recommended that the assumption for the revaluation rate of pension accounts is set equal to the assumption for pension increases.</w:t>
      </w:r>
      <w:r w:rsidRPr="00BF3983">
        <w:rPr>
          <w:rStyle w:val="eop"/>
          <w:rFonts w:cs="Arial"/>
          <w:color w:val="000000"/>
          <w:shd w:val="clear" w:color="auto" w:fill="FFFFFF"/>
        </w:rPr>
        <w:t> </w:t>
      </w:r>
    </w:p>
    <w:p w:rsidRPr="00916693" w:rsidR="004756C0" w:rsidP="004756C0" w:rsidRDefault="004756C0" w14:paraId="741B9C2A" w14:textId="77777777">
      <w:pPr>
        <w:pStyle w:val="ListParagraph"/>
        <w:numPr>
          <w:ilvl w:val="0"/>
          <w:numId w:val="4"/>
        </w:numPr>
        <w:jc w:val="both"/>
        <w:rPr>
          <w:rFonts w:cs="Arial"/>
        </w:rPr>
      </w:pPr>
      <w:r w:rsidRPr="00916693">
        <w:rPr>
          <w:rFonts w:cs="Arial"/>
        </w:rPr>
        <w:t>The defined benefit obligation has been adjusted to allow for salary increases of 7% pa in line with the average settlement for 2022 under National Joint Council negotiations.  This impacts the value of active members’ liabilities that remain linked to final salary.</w:t>
      </w:r>
    </w:p>
    <w:p w:rsidRPr="00BF3983" w:rsidR="00BF3983" w:rsidP="00C44E1F" w:rsidRDefault="00BF3983" w14:paraId="7E234EE6" w14:textId="76CE215E">
      <w:pPr>
        <w:pStyle w:val="ListParagraph"/>
        <w:numPr>
          <w:ilvl w:val="0"/>
          <w:numId w:val="4"/>
        </w:numPr>
        <w:jc w:val="both"/>
        <w:rPr>
          <w:rFonts w:cs="Arial"/>
        </w:rPr>
      </w:pPr>
      <w:r w:rsidRPr="00BF3983">
        <w:rPr>
          <w:rStyle w:val="normaltextrun"/>
          <w:rFonts w:cs="Arial"/>
          <w:color w:val="000000"/>
          <w:shd w:val="clear" w:color="auto" w:fill="FFFFFF"/>
          <w:lang w:val="en-US"/>
        </w:rPr>
        <w:t xml:space="preserve">The mortality tables shown apply to normal health retirements.  Different rates may apply to retirements in ill </w:t>
      </w:r>
      <w:proofErr w:type="gramStart"/>
      <w:r w:rsidRPr="00BF3983">
        <w:rPr>
          <w:rStyle w:val="normaltextrun"/>
          <w:rFonts w:cs="Arial"/>
          <w:color w:val="000000"/>
          <w:shd w:val="clear" w:color="auto" w:fill="FFFFFF"/>
          <w:lang w:val="en-US"/>
        </w:rPr>
        <w:t>health</w:t>
      </w:r>
      <w:proofErr w:type="gramEnd"/>
      <w:r w:rsidRPr="00BF3983">
        <w:rPr>
          <w:rStyle w:val="eop"/>
          <w:rFonts w:cs="Arial"/>
          <w:color w:val="000000"/>
          <w:shd w:val="clear" w:color="auto" w:fill="FFFFFF"/>
        </w:rPr>
        <w:t> </w:t>
      </w:r>
    </w:p>
    <w:p w:rsidRPr="00BF3983" w:rsidR="0020287E" w:rsidP="00CE3CBF" w:rsidRDefault="0020287E" w14:paraId="36D3EF8E" w14:textId="4F7FDC0E">
      <w:pPr>
        <w:pStyle w:val="Heading3"/>
      </w:pPr>
      <w:r w:rsidRPr="00BF3983">
        <w:t>Post Retirement Mortality (Retirement in Normal Health)</w:t>
      </w:r>
    </w:p>
    <w:p w:rsidR="00A2163C" w:rsidP="00D243EC" w:rsidRDefault="006B6733" w14:paraId="7AB35763" w14:textId="60FD6FC0">
      <w:pPr>
        <w:ind w:left="720"/>
      </w:pPr>
      <w:r w:rsidRPr="00D243EC">
        <w:rPr>
          <w:rFonts w:cs="Arial"/>
        </w:rPr>
        <w:t xml:space="preserve">The mortality assumptions are based on actual mortality </w:t>
      </w:r>
      <w:r w:rsidRPr="00D243EC" w:rsidR="003B601E">
        <w:rPr>
          <w:rFonts w:cs="Arial"/>
        </w:rPr>
        <w:t>experience of members within the Fund based</w:t>
      </w:r>
      <w:r w:rsidRPr="00D243EC">
        <w:rPr>
          <w:rFonts w:cs="Arial"/>
        </w:rPr>
        <w:t xml:space="preserve"> on analysis carried out as part of the 20</w:t>
      </w:r>
      <w:r w:rsidRPr="00D243EC" w:rsidR="00FF6108">
        <w:rPr>
          <w:rFonts w:cs="Arial"/>
        </w:rPr>
        <w:t>22</w:t>
      </w:r>
      <w:r w:rsidRPr="00D243EC">
        <w:rPr>
          <w:rFonts w:cs="Arial"/>
        </w:rPr>
        <w:t xml:space="preserve"> Actuarial Valuation and allow for expected future mortality improvements. Sample life expectations at age 65 in normal health resulting from these mortality assumptions are shown below</w:t>
      </w:r>
      <w:r w:rsidRPr="00FF6108">
        <w:t xml:space="preserve">. </w:t>
      </w:r>
    </w:p>
    <w:p w:rsidR="00A2163C" w:rsidP="006B6733" w:rsidRDefault="00A2163C" w14:paraId="3BDEDD4D" w14:textId="77777777"/>
    <w:p w:rsidR="00A2163C" w:rsidP="006B6733" w:rsidRDefault="00A2163C" w14:paraId="7F5D1F0D" w14:textId="77777777"/>
    <w:p w:rsidR="00A2163C" w:rsidP="006B6733" w:rsidRDefault="00A2163C" w14:paraId="0787E27D" w14:textId="77777777"/>
    <w:p w:rsidR="003B601E" w:rsidP="006B6733" w:rsidRDefault="006B6733" w14:paraId="66F8F218" w14:textId="25617943">
      <w:r w:rsidRPr="00FF6108">
        <w:t xml:space="preserve"> </w:t>
      </w:r>
    </w:p>
    <w:p w:rsidRPr="00FF6108" w:rsidR="006B4F79" w:rsidP="006B6733" w:rsidRDefault="006B4F79" w14:paraId="2775D908" w14:textId="77777777"/>
    <w:tbl>
      <w:tblPr>
        <w:tblW w:w="8363" w:type="dxa"/>
        <w:tblInd w:w="817" w:type="dxa"/>
        <w:tblLook w:val="04A0" w:firstRow="1" w:lastRow="0" w:firstColumn="1" w:lastColumn="0" w:noHBand="0" w:noVBand="1"/>
      </w:tblPr>
      <w:tblGrid>
        <w:gridCol w:w="4536"/>
        <w:gridCol w:w="1985"/>
        <w:gridCol w:w="1842"/>
      </w:tblGrid>
      <w:tr w:rsidRPr="00614894" w:rsidR="0020287E" w:rsidTr="00AE4F97" w14:paraId="6B9D1754" w14:textId="77777777">
        <w:trPr>
          <w:trHeight w:val="300"/>
        </w:trPr>
        <w:tc>
          <w:tcPr>
            <w:tcW w:w="4536"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FF6108" w:rsidR="0020287E" w:rsidP="0020287E" w:rsidRDefault="0020287E" w14:paraId="7B99E7C2" w14:textId="77777777">
            <w:pPr>
              <w:spacing w:after="0" w:line="240" w:lineRule="auto"/>
              <w:rPr>
                <w:rFonts w:eastAsia="Times New Roman" w:cs="Arial"/>
                <w:b/>
                <w:bCs/>
                <w:color w:val="000000"/>
                <w:sz w:val="20"/>
                <w:szCs w:val="20"/>
                <w:lang w:eastAsia="en-GB"/>
              </w:rPr>
            </w:pPr>
            <w:r w:rsidRPr="00FF6108">
              <w:rPr>
                <w:rFonts w:eastAsia="Times New Roman" w:cs="Arial"/>
                <w:b/>
                <w:bCs/>
                <w:color w:val="000000"/>
                <w:sz w:val="20"/>
                <w:szCs w:val="20"/>
                <w:lang w:eastAsia="en-GB"/>
              </w:rPr>
              <w:lastRenderedPageBreak/>
              <w:t>Post Retirement Mortality</w:t>
            </w:r>
          </w:p>
        </w:tc>
        <w:tc>
          <w:tcPr>
            <w:tcW w:w="1985"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FF6108" w:rsidR="0020287E" w:rsidP="00962221" w:rsidRDefault="00C45BD2" w14:paraId="5A5D0120" w14:textId="0010F1AC">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31st March 202</w:t>
            </w:r>
            <w:r w:rsidRPr="00FF6108" w:rsidR="00FE4626">
              <w:rPr>
                <w:rFonts w:eastAsia="Times New Roman" w:cs="Arial"/>
                <w:b/>
                <w:bCs/>
                <w:color w:val="000000"/>
                <w:sz w:val="20"/>
                <w:szCs w:val="20"/>
                <w:lang w:eastAsia="en-GB"/>
              </w:rPr>
              <w:t>3</w:t>
            </w:r>
          </w:p>
        </w:tc>
        <w:tc>
          <w:tcPr>
            <w:tcW w:w="1842"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FF6108" w:rsidR="0020287E" w:rsidP="00C00D9C" w:rsidRDefault="009B0B00" w14:paraId="3D010802" w14:textId="77908254">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31st March 20</w:t>
            </w:r>
            <w:r w:rsidRPr="00FF6108" w:rsidR="00C45BD2">
              <w:rPr>
                <w:rFonts w:eastAsia="Times New Roman" w:cs="Arial"/>
                <w:b/>
                <w:bCs/>
                <w:color w:val="000000"/>
                <w:sz w:val="20"/>
                <w:szCs w:val="20"/>
                <w:lang w:eastAsia="en-GB"/>
              </w:rPr>
              <w:t>2</w:t>
            </w:r>
            <w:r w:rsidRPr="00FF6108" w:rsidR="00A7158E">
              <w:rPr>
                <w:rFonts w:eastAsia="Times New Roman" w:cs="Arial"/>
                <w:b/>
                <w:bCs/>
                <w:color w:val="000000"/>
                <w:sz w:val="20"/>
                <w:szCs w:val="20"/>
                <w:lang w:eastAsia="en-GB"/>
              </w:rPr>
              <w:t>2</w:t>
            </w:r>
          </w:p>
        </w:tc>
      </w:tr>
      <w:tr w:rsidRPr="00614894" w:rsidR="0020287E" w:rsidTr="00E03683" w14:paraId="54D26224" w14:textId="77777777">
        <w:trPr>
          <w:trHeight w:val="300"/>
        </w:trPr>
        <w:tc>
          <w:tcPr>
            <w:tcW w:w="4536" w:type="dxa"/>
            <w:tcBorders>
              <w:top w:val="single" w:color="auto" w:sz="4" w:space="0"/>
              <w:left w:val="single" w:color="auto" w:sz="4" w:space="0"/>
              <w:bottom w:val="nil"/>
              <w:right w:val="nil"/>
            </w:tcBorders>
            <w:shd w:val="clear" w:color="auto" w:fill="auto"/>
            <w:noWrap/>
            <w:vAlign w:val="bottom"/>
            <w:hideMark/>
          </w:tcPr>
          <w:p w:rsidRPr="00FF6108" w:rsidR="0020287E" w:rsidP="0020287E" w:rsidRDefault="0020287E" w14:paraId="0494F338" w14:textId="77777777">
            <w:pPr>
              <w:spacing w:after="0" w:line="240" w:lineRule="auto"/>
              <w:rPr>
                <w:rFonts w:eastAsia="Times New Roman" w:cs="Arial"/>
                <w:b/>
                <w:bCs/>
                <w:color w:val="000000"/>
                <w:sz w:val="20"/>
                <w:szCs w:val="20"/>
                <w:lang w:eastAsia="en-GB"/>
              </w:rPr>
            </w:pPr>
            <w:r w:rsidRPr="00FF6108">
              <w:rPr>
                <w:rFonts w:eastAsia="Times New Roman" w:cs="Arial"/>
                <w:b/>
                <w:bCs/>
                <w:color w:val="000000"/>
                <w:sz w:val="20"/>
                <w:szCs w:val="20"/>
                <w:lang w:eastAsia="en-GB"/>
              </w:rPr>
              <w:t>Males</w:t>
            </w:r>
          </w:p>
        </w:tc>
        <w:tc>
          <w:tcPr>
            <w:tcW w:w="1985" w:type="dxa"/>
            <w:tcBorders>
              <w:top w:val="single" w:color="auto" w:sz="4" w:space="0"/>
              <w:left w:val="single" w:color="auto" w:sz="4" w:space="0"/>
              <w:bottom w:val="nil"/>
              <w:right w:val="single" w:color="auto" w:sz="4" w:space="0"/>
            </w:tcBorders>
            <w:shd w:val="clear" w:color="auto" w:fill="auto"/>
            <w:noWrap/>
            <w:vAlign w:val="bottom"/>
            <w:hideMark/>
          </w:tcPr>
          <w:p w:rsidRPr="00FF6108" w:rsidR="0020287E" w:rsidP="0020287E" w:rsidRDefault="0020287E" w14:paraId="61436F01"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 </w:t>
            </w:r>
          </w:p>
        </w:tc>
        <w:tc>
          <w:tcPr>
            <w:tcW w:w="1842" w:type="dxa"/>
            <w:tcBorders>
              <w:top w:val="single" w:color="auto" w:sz="4" w:space="0"/>
              <w:left w:val="nil"/>
              <w:bottom w:val="nil"/>
              <w:right w:val="single" w:color="auto" w:sz="4" w:space="0"/>
            </w:tcBorders>
            <w:shd w:val="clear" w:color="auto" w:fill="auto"/>
            <w:noWrap/>
            <w:vAlign w:val="bottom"/>
            <w:hideMark/>
          </w:tcPr>
          <w:p w:rsidRPr="00FF6108" w:rsidR="0020287E" w:rsidP="0020287E" w:rsidRDefault="0020287E" w14:paraId="73065406"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 </w:t>
            </w:r>
          </w:p>
        </w:tc>
      </w:tr>
      <w:tr w:rsidRPr="00614894" w:rsidR="0020287E" w:rsidTr="009B0B00" w14:paraId="605A5C51" w14:textId="77777777">
        <w:trPr>
          <w:trHeight w:val="300"/>
        </w:trPr>
        <w:tc>
          <w:tcPr>
            <w:tcW w:w="4536" w:type="dxa"/>
            <w:tcBorders>
              <w:top w:val="nil"/>
              <w:left w:val="single" w:color="auto" w:sz="4" w:space="0"/>
              <w:bottom w:val="nil"/>
              <w:right w:val="nil"/>
            </w:tcBorders>
            <w:shd w:val="clear" w:color="auto" w:fill="auto"/>
            <w:noWrap/>
            <w:vAlign w:val="bottom"/>
            <w:hideMark/>
          </w:tcPr>
          <w:p w:rsidRPr="00FF6108" w:rsidR="0020287E" w:rsidP="0020287E" w:rsidRDefault="0020287E" w14:paraId="260BD193"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Member Aged 65 at Accounting Date</w:t>
            </w:r>
          </w:p>
        </w:tc>
        <w:tc>
          <w:tcPr>
            <w:tcW w:w="1985" w:type="dxa"/>
            <w:tcBorders>
              <w:top w:val="nil"/>
              <w:left w:val="single" w:color="auto" w:sz="4" w:space="0"/>
              <w:bottom w:val="nil"/>
              <w:right w:val="single" w:color="auto" w:sz="4" w:space="0"/>
            </w:tcBorders>
            <w:shd w:val="clear" w:color="auto" w:fill="auto"/>
            <w:noWrap/>
            <w:vAlign w:val="bottom"/>
            <w:hideMark/>
          </w:tcPr>
          <w:p w:rsidRPr="00FF6108" w:rsidR="0020287E" w:rsidP="0020287E" w:rsidRDefault="00FF6108" w14:paraId="2E73CDB8" w14:textId="20E62B31">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22.6</w:t>
            </w:r>
          </w:p>
        </w:tc>
        <w:tc>
          <w:tcPr>
            <w:tcW w:w="1842" w:type="dxa"/>
            <w:tcBorders>
              <w:top w:val="nil"/>
              <w:left w:val="nil"/>
              <w:bottom w:val="nil"/>
              <w:right w:val="single" w:color="auto" w:sz="4" w:space="0"/>
            </w:tcBorders>
            <w:shd w:val="clear" w:color="auto" w:fill="auto"/>
            <w:noWrap/>
            <w:vAlign w:val="bottom"/>
          </w:tcPr>
          <w:p w:rsidRPr="00FF6108" w:rsidR="0020287E" w:rsidP="009602D9" w:rsidRDefault="00C45BD2" w14:paraId="2BA7D31A" w14:textId="4BA9D14D">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22.</w:t>
            </w:r>
            <w:r w:rsidRPr="00FF6108" w:rsidR="00A7158E">
              <w:rPr>
                <w:rFonts w:eastAsia="Times New Roman" w:cs="Arial"/>
                <w:color w:val="000000"/>
                <w:sz w:val="20"/>
                <w:szCs w:val="20"/>
                <w:lang w:eastAsia="en-GB"/>
              </w:rPr>
              <w:t>1</w:t>
            </w:r>
          </w:p>
        </w:tc>
      </w:tr>
      <w:tr w:rsidRPr="00614894" w:rsidR="0020287E" w:rsidTr="00F3435D" w14:paraId="7D594B37" w14:textId="77777777">
        <w:trPr>
          <w:trHeight w:val="209"/>
        </w:trPr>
        <w:tc>
          <w:tcPr>
            <w:tcW w:w="4536" w:type="dxa"/>
            <w:tcBorders>
              <w:top w:val="nil"/>
              <w:left w:val="single" w:color="auto" w:sz="4" w:space="0"/>
              <w:bottom w:val="nil"/>
              <w:right w:val="nil"/>
            </w:tcBorders>
            <w:shd w:val="clear" w:color="auto" w:fill="auto"/>
            <w:noWrap/>
            <w:vAlign w:val="bottom"/>
            <w:hideMark/>
          </w:tcPr>
          <w:p w:rsidRPr="00FF6108" w:rsidR="0020287E" w:rsidP="0020287E" w:rsidRDefault="0020287E" w14:paraId="05948165"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Member Aged 45 at Accounting Date</w:t>
            </w:r>
          </w:p>
        </w:tc>
        <w:tc>
          <w:tcPr>
            <w:tcW w:w="1985" w:type="dxa"/>
            <w:tcBorders>
              <w:top w:val="nil"/>
              <w:left w:val="single" w:color="auto" w:sz="4" w:space="0"/>
              <w:bottom w:val="nil"/>
              <w:right w:val="single" w:color="auto" w:sz="4" w:space="0"/>
            </w:tcBorders>
            <w:shd w:val="clear" w:color="auto" w:fill="auto"/>
            <w:noWrap/>
            <w:vAlign w:val="bottom"/>
            <w:hideMark/>
          </w:tcPr>
          <w:p w:rsidRPr="00FF6108" w:rsidR="0020287E" w:rsidP="0020287E" w:rsidRDefault="00FF6108" w14:paraId="2D34BDBC" w14:textId="305CBF1E">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23.2</w:t>
            </w:r>
          </w:p>
        </w:tc>
        <w:tc>
          <w:tcPr>
            <w:tcW w:w="1842" w:type="dxa"/>
            <w:tcBorders>
              <w:top w:val="nil"/>
              <w:left w:val="nil"/>
              <w:bottom w:val="nil"/>
              <w:right w:val="single" w:color="auto" w:sz="4" w:space="0"/>
            </w:tcBorders>
            <w:shd w:val="clear" w:color="auto" w:fill="auto"/>
            <w:noWrap/>
            <w:vAlign w:val="bottom"/>
          </w:tcPr>
          <w:p w:rsidRPr="00FF6108" w:rsidR="0020287E" w:rsidP="006B115C" w:rsidRDefault="00C14173" w14:paraId="5B5F980F" w14:textId="4878CBF1">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 xml:space="preserve">                      </w:t>
            </w:r>
            <w:r w:rsidRPr="00FF6108" w:rsidR="00C45BD2">
              <w:rPr>
                <w:rFonts w:eastAsia="Times New Roman" w:cs="Arial"/>
                <w:color w:val="000000"/>
                <w:sz w:val="20"/>
                <w:szCs w:val="20"/>
                <w:lang w:eastAsia="en-GB"/>
              </w:rPr>
              <w:t>23.</w:t>
            </w:r>
            <w:r w:rsidRPr="00FF6108" w:rsidR="00A7158E">
              <w:rPr>
                <w:rFonts w:eastAsia="Times New Roman" w:cs="Arial"/>
                <w:color w:val="000000"/>
                <w:sz w:val="20"/>
                <w:szCs w:val="20"/>
                <w:lang w:eastAsia="en-GB"/>
              </w:rPr>
              <w:t>2</w:t>
            </w:r>
          </w:p>
        </w:tc>
      </w:tr>
      <w:tr w:rsidRPr="00614894" w:rsidR="0020287E" w:rsidTr="009B0B00" w14:paraId="7996B71C" w14:textId="77777777">
        <w:trPr>
          <w:trHeight w:val="300"/>
        </w:trPr>
        <w:tc>
          <w:tcPr>
            <w:tcW w:w="4536" w:type="dxa"/>
            <w:tcBorders>
              <w:top w:val="nil"/>
              <w:left w:val="single" w:color="auto" w:sz="4" w:space="0"/>
              <w:bottom w:val="nil"/>
              <w:right w:val="nil"/>
            </w:tcBorders>
            <w:shd w:val="clear" w:color="auto" w:fill="auto"/>
            <w:noWrap/>
            <w:vAlign w:val="bottom"/>
            <w:hideMark/>
          </w:tcPr>
          <w:p w:rsidRPr="00FF6108" w:rsidR="0020287E" w:rsidP="0020287E" w:rsidRDefault="0020287E" w14:paraId="65A78007" w14:textId="77777777">
            <w:pPr>
              <w:spacing w:after="0" w:line="240" w:lineRule="auto"/>
              <w:rPr>
                <w:rFonts w:eastAsia="Times New Roman" w:cs="Arial"/>
                <w:b/>
                <w:bCs/>
                <w:color w:val="000000"/>
                <w:sz w:val="20"/>
                <w:szCs w:val="20"/>
                <w:lang w:eastAsia="en-GB"/>
              </w:rPr>
            </w:pPr>
            <w:r w:rsidRPr="00FF6108">
              <w:rPr>
                <w:rFonts w:eastAsia="Times New Roman" w:cs="Arial"/>
                <w:b/>
                <w:bCs/>
                <w:color w:val="000000"/>
                <w:sz w:val="20"/>
                <w:szCs w:val="20"/>
                <w:lang w:eastAsia="en-GB"/>
              </w:rPr>
              <w:t>Females</w:t>
            </w:r>
          </w:p>
        </w:tc>
        <w:tc>
          <w:tcPr>
            <w:tcW w:w="1985" w:type="dxa"/>
            <w:tcBorders>
              <w:top w:val="nil"/>
              <w:left w:val="single" w:color="auto" w:sz="4" w:space="0"/>
              <w:bottom w:val="nil"/>
              <w:right w:val="single" w:color="auto" w:sz="4" w:space="0"/>
            </w:tcBorders>
            <w:shd w:val="clear" w:color="auto" w:fill="auto"/>
            <w:noWrap/>
            <w:vAlign w:val="bottom"/>
            <w:hideMark/>
          </w:tcPr>
          <w:p w:rsidRPr="00FF6108" w:rsidR="0020287E" w:rsidP="0020287E" w:rsidRDefault="0020287E" w14:paraId="65E780E8"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 </w:t>
            </w:r>
          </w:p>
        </w:tc>
        <w:tc>
          <w:tcPr>
            <w:tcW w:w="1842" w:type="dxa"/>
            <w:tcBorders>
              <w:top w:val="nil"/>
              <w:left w:val="nil"/>
              <w:bottom w:val="nil"/>
              <w:right w:val="single" w:color="auto" w:sz="4" w:space="0"/>
            </w:tcBorders>
            <w:shd w:val="clear" w:color="auto" w:fill="auto"/>
            <w:noWrap/>
            <w:vAlign w:val="bottom"/>
          </w:tcPr>
          <w:p w:rsidRPr="00FF6108" w:rsidR="0020287E" w:rsidP="009602D9" w:rsidRDefault="0020287E" w14:paraId="7D49217D" w14:textId="77777777">
            <w:pPr>
              <w:spacing w:after="0" w:line="240" w:lineRule="auto"/>
              <w:jc w:val="right"/>
              <w:rPr>
                <w:rFonts w:eastAsia="Times New Roman" w:cs="Arial"/>
                <w:color w:val="000000"/>
                <w:sz w:val="20"/>
                <w:szCs w:val="20"/>
                <w:lang w:eastAsia="en-GB"/>
              </w:rPr>
            </w:pPr>
          </w:p>
        </w:tc>
      </w:tr>
      <w:tr w:rsidRPr="00614894" w:rsidR="0020287E" w:rsidTr="009B0B00" w14:paraId="0FCA1897" w14:textId="77777777">
        <w:trPr>
          <w:trHeight w:val="300"/>
        </w:trPr>
        <w:tc>
          <w:tcPr>
            <w:tcW w:w="4536" w:type="dxa"/>
            <w:tcBorders>
              <w:top w:val="nil"/>
              <w:left w:val="single" w:color="auto" w:sz="4" w:space="0"/>
              <w:bottom w:val="nil"/>
              <w:right w:val="nil"/>
            </w:tcBorders>
            <w:shd w:val="clear" w:color="auto" w:fill="auto"/>
            <w:noWrap/>
            <w:vAlign w:val="bottom"/>
            <w:hideMark/>
          </w:tcPr>
          <w:p w:rsidRPr="00FF6108" w:rsidR="0020287E" w:rsidP="0020287E" w:rsidRDefault="0020287E" w14:paraId="25FBB35F"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Member Aged 65 at Accounting Date</w:t>
            </w:r>
          </w:p>
        </w:tc>
        <w:tc>
          <w:tcPr>
            <w:tcW w:w="1985" w:type="dxa"/>
            <w:tcBorders>
              <w:top w:val="nil"/>
              <w:left w:val="single" w:color="auto" w:sz="4" w:space="0"/>
              <w:bottom w:val="nil"/>
              <w:right w:val="single" w:color="auto" w:sz="4" w:space="0"/>
            </w:tcBorders>
            <w:shd w:val="clear" w:color="auto" w:fill="auto"/>
            <w:noWrap/>
            <w:vAlign w:val="bottom"/>
            <w:hideMark/>
          </w:tcPr>
          <w:p w:rsidRPr="00FF6108" w:rsidR="0020287E" w:rsidP="0020287E" w:rsidRDefault="00FF6108" w14:paraId="441D0347" w14:textId="4B7DF4FE">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24.7</w:t>
            </w:r>
          </w:p>
        </w:tc>
        <w:tc>
          <w:tcPr>
            <w:tcW w:w="1842" w:type="dxa"/>
            <w:tcBorders>
              <w:top w:val="nil"/>
              <w:left w:val="nil"/>
              <w:bottom w:val="nil"/>
              <w:right w:val="single" w:color="auto" w:sz="4" w:space="0"/>
            </w:tcBorders>
            <w:shd w:val="clear" w:color="auto" w:fill="auto"/>
            <w:noWrap/>
            <w:vAlign w:val="bottom"/>
          </w:tcPr>
          <w:p w:rsidRPr="00FF6108" w:rsidR="0020287E" w:rsidP="009602D9" w:rsidRDefault="00C45BD2" w14:paraId="28138460" w14:textId="49C771B1">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24.</w:t>
            </w:r>
            <w:r w:rsidRPr="00FF6108" w:rsidR="00A7158E">
              <w:rPr>
                <w:rFonts w:eastAsia="Times New Roman" w:cs="Arial"/>
                <w:color w:val="000000"/>
                <w:sz w:val="20"/>
                <w:szCs w:val="20"/>
                <w:lang w:eastAsia="en-GB"/>
              </w:rPr>
              <w:t>6</w:t>
            </w:r>
          </w:p>
        </w:tc>
      </w:tr>
      <w:tr w:rsidRPr="00614894" w:rsidR="0020287E" w:rsidTr="00F3435D" w14:paraId="2210D049" w14:textId="77777777">
        <w:trPr>
          <w:trHeight w:val="221"/>
        </w:trPr>
        <w:tc>
          <w:tcPr>
            <w:tcW w:w="4536" w:type="dxa"/>
            <w:tcBorders>
              <w:top w:val="nil"/>
              <w:left w:val="single" w:color="auto" w:sz="4" w:space="0"/>
              <w:bottom w:val="single" w:color="auto" w:sz="4" w:space="0"/>
              <w:right w:val="nil"/>
            </w:tcBorders>
            <w:shd w:val="clear" w:color="auto" w:fill="auto"/>
            <w:noWrap/>
            <w:vAlign w:val="bottom"/>
            <w:hideMark/>
          </w:tcPr>
          <w:p w:rsidRPr="00FF6108" w:rsidR="0020287E" w:rsidP="0020287E" w:rsidRDefault="0020287E" w14:paraId="571E17CB"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Member Aged 45 at Accounting Date</w:t>
            </w:r>
          </w:p>
        </w:tc>
        <w:tc>
          <w:tcPr>
            <w:tcW w:w="1985" w:type="dxa"/>
            <w:tcBorders>
              <w:top w:val="nil"/>
              <w:left w:val="single" w:color="auto" w:sz="4" w:space="0"/>
              <w:bottom w:val="single" w:color="auto" w:sz="4" w:space="0"/>
              <w:right w:val="single" w:color="auto" w:sz="4" w:space="0"/>
            </w:tcBorders>
            <w:shd w:val="clear" w:color="auto" w:fill="auto"/>
            <w:noWrap/>
            <w:vAlign w:val="bottom"/>
            <w:hideMark/>
          </w:tcPr>
          <w:p w:rsidRPr="00FF6108" w:rsidR="0020287E" w:rsidP="0020287E" w:rsidRDefault="00FF6108" w14:paraId="3883B6C4" w14:textId="387D6C12">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25.8</w:t>
            </w:r>
          </w:p>
        </w:tc>
        <w:tc>
          <w:tcPr>
            <w:tcW w:w="1842" w:type="dxa"/>
            <w:tcBorders>
              <w:top w:val="nil"/>
              <w:left w:val="nil"/>
              <w:bottom w:val="single" w:color="auto" w:sz="4" w:space="0"/>
              <w:right w:val="single" w:color="auto" w:sz="4" w:space="0"/>
            </w:tcBorders>
            <w:shd w:val="clear" w:color="auto" w:fill="auto"/>
            <w:noWrap/>
            <w:vAlign w:val="bottom"/>
          </w:tcPr>
          <w:p w:rsidRPr="00FF6108" w:rsidR="0020287E" w:rsidP="009602D9" w:rsidRDefault="00C45BD2" w14:paraId="300745E3" w14:textId="4A0122A2">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26.</w:t>
            </w:r>
            <w:r w:rsidRPr="00FF6108" w:rsidR="00A7158E">
              <w:rPr>
                <w:rFonts w:eastAsia="Times New Roman" w:cs="Arial"/>
                <w:color w:val="000000"/>
                <w:sz w:val="20"/>
                <w:szCs w:val="20"/>
                <w:lang w:eastAsia="en-GB"/>
              </w:rPr>
              <w:t>0</w:t>
            </w:r>
          </w:p>
        </w:tc>
      </w:tr>
    </w:tbl>
    <w:p w:rsidRPr="00614894" w:rsidR="00784A26" w:rsidP="00FF6108" w:rsidRDefault="00784A26" w14:paraId="7A134A8C" w14:textId="77777777">
      <w:pPr>
        <w:pStyle w:val="ListParagraph"/>
        <w:rPr>
          <w:highlight w:val="yellow"/>
        </w:rPr>
      </w:pPr>
    </w:p>
    <w:p w:rsidR="00FF6108" w:rsidP="00FF6108" w:rsidRDefault="00EE02B7" w14:paraId="15C64D03" w14:textId="4CD42B3D">
      <w:pPr>
        <w:pStyle w:val="ListParagraph"/>
        <w:rPr>
          <w:rStyle w:val="eop"/>
          <w:rFonts w:cs="Arial"/>
        </w:rPr>
      </w:pPr>
      <w:r w:rsidRPr="00FF6108">
        <w:t>The majority</w:t>
      </w:r>
      <w:r w:rsidRPr="00FF6108" w:rsidR="00FF6108">
        <w:t xml:space="preserve"> </w:t>
      </w:r>
      <w:r w:rsidRPr="00FF6108" w:rsidR="00FF6108">
        <w:rPr>
          <w:rStyle w:val="normaltextrun"/>
          <w:rFonts w:cs="Arial"/>
          <w:lang w:val="en-US"/>
        </w:rPr>
        <w:t>of</w:t>
      </w:r>
      <w:r w:rsidR="00FF6108">
        <w:rPr>
          <w:rStyle w:val="normaltextrun"/>
          <w:rFonts w:cs="Arial"/>
          <w:lang w:val="en-US"/>
        </w:rPr>
        <w:t xml:space="preserve"> the Fund’s obligations are to provide benefits for the life of a member following retirement, so increases in life expectancy will result in an increase in the approximate split of assets for the Fund as a whole (based on data supplied by the Fund Administering Authority) is shown in the table below. The assets allocated to the employer in the Fund are notional and the assets are assumed to be invested in line with the investments of the Fund set out below for the purposes of calculating the return to be applied to those notional assets. The Fund is large and largely liquid and </w:t>
      </w:r>
      <w:proofErr w:type="gramStart"/>
      <w:r w:rsidR="00FF6108">
        <w:rPr>
          <w:rStyle w:val="normaltextrun"/>
          <w:rFonts w:cs="Arial"/>
          <w:lang w:val="en-US"/>
        </w:rPr>
        <w:t>as a consequence</w:t>
      </w:r>
      <w:proofErr w:type="gramEnd"/>
      <w:r w:rsidR="00FF6108">
        <w:rPr>
          <w:rStyle w:val="normaltextrun"/>
          <w:rFonts w:cs="Arial"/>
          <w:lang w:val="en-US"/>
        </w:rPr>
        <w:t xml:space="preserve"> there will be no significant restriction on </w:t>
      </w:r>
      <w:proofErr w:type="spellStart"/>
      <w:r w:rsidR="00FF6108">
        <w:rPr>
          <w:rStyle w:val="normaltextrun"/>
          <w:rFonts w:cs="Arial"/>
          <w:lang w:val="en-US"/>
        </w:rPr>
        <w:t>realising</w:t>
      </w:r>
      <w:proofErr w:type="spellEnd"/>
      <w:r w:rsidR="00FF6108">
        <w:rPr>
          <w:rStyle w:val="normaltextrun"/>
          <w:rFonts w:cs="Arial"/>
          <w:lang w:val="en-US"/>
        </w:rPr>
        <w:t xml:space="preserve"> assets if the situation arises. The assets are invested in a diversified spread of investments and the approximate split for the Fund </w:t>
      </w:r>
      <w:proofErr w:type="gramStart"/>
      <w:r w:rsidR="00FF6108">
        <w:rPr>
          <w:rStyle w:val="normaltextrun"/>
          <w:rFonts w:cs="Arial"/>
          <w:lang w:val="en-US"/>
        </w:rPr>
        <w:t>as a whole is</w:t>
      </w:r>
      <w:proofErr w:type="gramEnd"/>
      <w:r w:rsidR="00FF6108">
        <w:rPr>
          <w:rStyle w:val="normaltextrun"/>
          <w:rFonts w:cs="Arial"/>
          <w:lang w:val="en-US"/>
        </w:rPr>
        <w:t xml:space="preserve"> included in the disclosures.</w:t>
      </w:r>
      <w:r w:rsidR="00FF6108">
        <w:rPr>
          <w:rStyle w:val="eop"/>
          <w:rFonts w:cs="Arial"/>
        </w:rPr>
        <w:t> </w:t>
      </w:r>
    </w:p>
    <w:p w:rsidR="00FF6108" w:rsidP="00FF6108" w:rsidRDefault="00FF6108" w14:paraId="028B9B48" w14:textId="77777777">
      <w:pPr>
        <w:pStyle w:val="ListParagraph"/>
        <w:rPr>
          <w:rFonts w:ascii="Segoe UI" w:hAnsi="Segoe UI" w:cs="Segoe UI"/>
          <w:sz w:val="18"/>
          <w:szCs w:val="18"/>
        </w:rPr>
      </w:pPr>
    </w:p>
    <w:p w:rsidR="00FF6108" w:rsidP="00FF6108" w:rsidRDefault="00FF6108" w14:paraId="738533F1" w14:textId="77777777">
      <w:pPr>
        <w:pStyle w:val="ListParagraph"/>
        <w:rPr>
          <w:rFonts w:ascii="Segoe UI" w:hAnsi="Segoe UI" w:cs="Segoe UI"/>
          <w:sz w:val="18"/>
          <w:szCs w:val="18"/>
        </w:rPr>
      </w:pPr>
      <w:r>
        <w:rPr>
          <w:rStyle w:val="normaltextrun"/>
          <w:rFonts w:cs="Arial"/>
          <w:lang w:val="en-US"/>
        </w:rPr>
        <w:t>The Administering Authority does not invest in property or assets related to itself. It is possible, however, that assets may be invested in shares relating to some of the private sector employers participating in the Fund if it forms part of their balanced investment strategy.</w:t>
      </w:r>
      <w:r>
        <w:rPr>
          <w:rStyle w:val="eop"/>
          <w:rFonts w:cs="Arial"/>
        </w:rPr>
        <w:t> </w:t>
      </w:r>
    </w:p>
    <w:p w:rsidRPr="00FF6108" w:rsidR="00AB3942" w:rsidP="00FF6108" w:rsidRDefault="00AB3942" w14:paraId="352D571F" w14:textId="5826AC2B">
      <w:pPr>
        <w:pStyle w:val="ListParagraph"/>
        <w:rPr>
          <w:highlight w:val="yellow"/>
        </w:rPr>
      </w:pPr>
    </w:p>
    <w:p w:rsidRPr="00FF6108" w:rsidR="003B601E" w:rsidP="007C53B5" w:rsidRDefault="003B601E" w14:paraId="041CC010" w14:textId="4AA56694">
      <w:pPr>
        <w:pStyle w:val="Heading3"/>
      </w:pPr>
      <w:r w:rsidRPr="00FF6108">
        <w:t>Asset Allocation</w:t>
      </w:r>
    </w:p>
    <w:tbl>
      <w:tblPr>
        <w:tblW w:w="8647" w:type="dxa"/>
        <w:tblInd w:w="675" w:type="dxa"/>
        <w:tblLook w:val="04A0" w:firstRow="1" w:lastRow="0" w:firstColumn="1" w:lastColumn="0" w:noHBand="0" w:noVBand="1"/>
      </w:tblPr>
      <w:tblGrid>
        <w:gridCol w:w="4962"/>
        <w:gridCol w:w="1842"/>
        <w:gridCol w:w="1843"/>
      </w:tblGrid>
      <w:tr w:rsidRPr="00614894" w:rsidR="0020287E" w:rsidTr="00AE4F97" w14:paraId="738AFD2D" w14:textId="77777777">
        <w:trPr>
          <w:trHeight w:val="300"/>
        </w:trPr>
        <w:tc>
          <w:tcPr>
            <w:tcW w:w="4962" w:type="dxa"/>
            <w:tcBorders>
              <w:top w:val="single" w:color="auto" w:sz="4" w:space="0"/>
              <w:left w:val="single" w:color="auto" w:sz="4" w:space="0"/>
              <w:bottom w:val="nil"/>
              <w:right w:val="nil"/>
            </w:tcBorders>
            <w:shd w:val="clear" w:color="auto" w:fill="DBE5F1" w:themeFill="accent1" w:themeFillTint="33"/>
            <w:noWrap/>
            <w:vAlign w:val="bottom"/>
            <w:hideMark/>
          </w:tcPr>
          <w:p w:rsidRPr="00FF6108" w:rsidR="0020287E" w:rsidP="0020287E" w:rsidRDefault="0020287E" w14:paraId="7CF39118" w14:textId="77777777">
            <w:pPr>
              <w:spacing w:after="0" w:line="240" w:lineRule="auto"/>
              <w:rPr>
                <w:rFonts w:eastAsia="Times New Roman" w:cs="Arial"/>
                <w:b/>
                <w:bCs/>
                <w:color w:val="000000"/>
                <w:sz w:val="20"/>
                <w:szCs w:val="20"/>
                <w:lang w:eastAsia="en-GB"/>
              </w:rPr>
            </w:pPr>
            <w:r w:rsidRPr="00FF6108">
              <w:rPr>
                <w:rFonts w:eastAsia="Times New Roman" w:cs="Arial"/>
                <w:b/>
                <w:bCs/>
                <w:color w:val="000000"/>
                <w:sz w:val="20"/>
                <w:szCs w:val="20"/>
                <w:lang w:eastAsia="en-GB"/>
              </w:rPr>
              <w:t> </w:t>
            </w:r>
          </w:p>
        </w:tc>
        <w:tc>
          <w:tcPr>
            <w:tcW w:w="1842"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FF6108" w:rsidR="0020287E" w:rsidP="00681C2D" w:rsidRDefault="0020287E" w14:paraId="27123836" w14:textId="77777777">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 xml:space="preserve">Asset Split as at </w:t>
            </w:r>
          </w:p>
        </w:tc>
        <w:tc>
          <w:tcPr>
            <w:tcW w:w="1843" w:type="dxa"/>
            <w:tcBorders>
              <w:top w:val="single" w:color="auto" w:sz="4" w:space="0"/>
              <w:left w:val="nil"/>
              <w:bottom w:val="nil"/>
              <w:right w:val="single" w:color="auto" w:sz="4" w:space="0"/>
            </w:tcBorders>
            <w:shd w:val="clear" w:color="auto" w:fill="DBE5F1" w:themeFill="accent1" w:themeFillTint="33"/>
            <w:noWrap/>
            <w:vAlign w:val="bottom"/>
            <w:hideMark/>
          </w:tcPr>
          <w:p w:rsidRPr="00FF6108" w:rsidR="0020287E" w:rsidP="00681C2D" w:rsidRDefault="0020287E" w14:paraId="01033814" w14:textId="77777777">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 xml:space="preserve">Asset Split as at </w:t>
            </w:r>
          </w:p>
        </w:tc>
      </w:tr>
      <w:tr w:rsidRPr="00614894" w:rsidR="0020287E" w:rsidTr="00AE4F97" w14:paraId="01D45D3C" w14:textId="77777777">
        <w:trPr>
          <w:trHeight w:val="300"/>
        </w:trPr>
        <w:tc>
          <w:tcPr>
            <w:tcW w:w="4962" w:type="dxa"/>
            <w:tcBorders>
              <w:top w:val="nil"/>
              <w:left w:val="single" w:color="auto" w:sz="4" w:space="0"/>
              <w:bottom w:val="single" w:color="auto" w:sz="4" w:space="0"/>
              <w:right w:val="nil"/>
            </w:tcBorders>
            <w:shd w:val="clear" w:color="auto" w:fill="DBE5F1" w:themeFill="accent1" w:themeFillTint="33"/>
            <w:noWrap/>
            <w:vAlign w:val="bottom"/>
            <w:hideMark/>
          </w:tcPr>
          <w:p w:rsidRPr="00FF6108" w:rsidR="0020287E" w:rsidP="0020287E" w:rsidRDefault="0020287E" w14:paraId="361FA41B"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 </w:t>
            </w:r>
          </w:p>
        </w:tc>
        <w:tc>
          <w:tcPr>
            <w:tcW w:w="1842"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FF6108" w:rsidR="0020287E" w:rsidP="00681C2D" w:rsidRDefault="00C45BD2" w14:paraId="76E76F74" w14:textId="1B2E38D1">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31st March 202</w:t>
            </w:r>
            <w:r w:rsidRPr="00FF6108" w:rsidR="00FE4626">
              <w:rPr>
                <w:rFonts w:eastAsia="Times New Roman" w:cs="Arial"/>
                <w:b/>
                <w:bCs/>
                <w:color w:val="000000"/>
                <w:sz w:val="20"/>
                <w:szCs w:val="20"/>
                <w:lang w:eastAsia="en-GB"/>
              </w:rPr>
              <w:t>3</w:t>
            </w:r>
          </w:p>
        </w:tc>
        <w:tc>
          <w:tcPr>
            <w:tcW w:w="1843" w:type="dxa"/>
            <w:tcBorders>
              <w:top w:val="nil"/>
              <w:left w:val="nil"/>
              <w:bottom w:val="single" w:color="auto" w:sz="4" w:space="0"/>
              <w:right w:val="single" w:color="auto" w:sz="4" w:space="0"/>
            </w:tcBorders>
            <w:shd w:val="clear" w:color="auto" w:fill="DBE5F1" w:themeFill="accent1" w:themeFillTint="33"/>
            <w:noWrap/>
            <w:vAlign w:val="bottom"/>
            <w:hideMark/>
          </w:tcPr>
          <w:p w:rsidRPr="00FF6108" w:rsidR="0020287E" w:rsidP="00681C2D" w:rsidRDefault="00A67D90" w14:paraId="27ABB891" w14:textId="0E50068B">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31st March 20</w:t>
            </w:r>
            <w:r w:rsidRPr="00FF6108" w:rsidR="00C45BD2">
              <w:rPr>
                <w:rFonts w:eastAsia="Times New Roman" w:cs="Arial"/>
                <w:b/>
                <w:bCs/>
                <w:color w:val="000000"/>
                <w:sz w:val="20"/>
                <w:szCs w:val="20"/>
                <w:lang w:eastAsia="en-GB"/>
              </w:rPr>
              <w:t>2</w:t>
            </w:r>
            <w:r w:rsidRPr="00FF6108" w:rsidR="00FE4626">
              <w:rPr>
                <w:rFonts w:eastAsia="Times New Roman" w:cs="Arial"/>
                <w:b/>
                <w:bCs/>
                <w:color w:val="000000"/>
                <w:sz w:val="20"/>
                <w:szCs w:val="20"/>
                <w:lang w:eastAsia="en-GB"/>
              </w:rPr>
              <w:t>2</w:t>
            </w:r>
          </w:p>
        </w:tc>
      </w:tr>
      <w:tr w:rsidRPr="00614894" w:rsidR="0020287E" w:rsidTr="00480191" w14:paraId="0430DB7D"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20287E" w:rsidP="0020287E" w:rsidRDefault="00B71444" w14:paraId="4B097002" w14:textId="6E687DB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Equities</w:t>
            </w:r>
          </w:p>
        </w:tc>
        <w:tc>
          <w:tcPr>
            <w:tcW w:w="1842" w:type="dxa"/>
            <w:tcBorders>
              <w:top w:val="nil"/>
              <w:left w:val="single" w:color="auto" w:sz="4" w:space="0"/>
              <w:bottom w:val="nil"/>
              <w:right w:val="single" w:color="auto" w:sz="4" w:space="0"/>
            </w:tcBorders>
            <w:shd w:val="clear" w:color="auto" w:fill="auto"/>
            <w:noWrap/>
            <w:vAlign w:val="bottom"/>
            <w:hideMark/>
          </w:tcPr>
          <w:p w:rsidRPr="00FF6108" w:rsidR="0020287E" w:rsidP="0020287E" w:rsidRDefault="00FF6108" w14:paraId="441AD2D2" w14:textId="001E925B">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67.90</w:t>
            </w:r>
            <w:r w:rsidRPr="00FF6108" w:rsidR="0020287E">
              <w:rPr>
                <w:rFonts w:eastAsia="Times New Roman" w:cs="Arial"/>
                <w:color w:val="000000"/>
                <w:sz w:val="20"/>
                <w:szCs w:val="20"/>
                <w:lang w:eastAsia="en-GB"/>
              </w:rPr>
              <w:t>%</w:t>
            </w:r>
          </w:p>
        </w:tc>
        <w:tc>
          <w:tcPr>
            <w:tcW w:w="1843" w:type="dxa"/>
            <w:tcBorders>
              <w:top w:val="nil"/>
              <w:left w:val="nil"/>
              <w:bottom w:val="nil"/>
              <w:right w:val="single" w:color="auto" w:sz="4" w:space="0"/>
            </w:tcBorders>
            <w:shd w:val="clear" w:color="auto" w:fill="auto"/>
            <w:noWrap/>
            <w:vAlign w:val="bottom"/>
          </w:tcPr>
          <w:p w:rsidRPr="00FF6108" w:rsidR="0020287E" w:rsidP="009602D9" w:rsidRDefault="00C45BD2" w14:paraId="5416A7D1" w14:textId="24F98D5F">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6</w:t>
            </w:r>
            <w:r w:rsidRPr="00FF6108" w:rsidR="00FE4626">
              <w:rPr>
                <w:rFonts w:eastAsia="Times New Roman" w:cs="Arial"/>
                <w:color w:val="000000"/>
                <w:sz w:val="20"/>
                <w:szCs w:val="20"/>
                <w:lang w:eastAsia="en-GB"/>
              </w:rPr>
              <w:t>7</w:t>
            </w:r>
            <w:r w:rsidRPr="00FF6108">
              <w:rPr>
                <w:rFonts w:eastAsia="Times New Roman" w:cs="Arial"/>
                <w:color w:val="000000"/>
                <w:sz w:val="20"/>
                <w:szCs w:val="20"/>
                <w:lang w:eastAsia="en-GB"/>
              </w:rPr>
              <w:t>.</w:t>
            </w:r>
            <w:r w:rsidRPr="00FF6108" w:rsidR="00FE4626">
              <w:rPr>
                <w:rFonts w:eastAsia="Times New Roman" w:cs="Arial"/>
                <w:color w:val="000000"/>
                <w:sz w:val="20"/>
                <w:szCs w:val="20"/>
                <w:lang w:eastAsia="en-GB"/>
              </w:rPr>
              <w:t>5</w:t>
            </w:r>
            <w:r w:rsidRPr="00FF6108" w:rsidR="00FD5584">
              <w:rPr>
                <w:rFonts w:eastAsia="Times New Roman" w:cs="Arial"/>
                <w:color w:val="000000"/>
                <w:sz w:val="20"/>
                <w:szCs w:val="20"/>
                <w:lang w:eastAsia="en-GB"/>
              </w:rPr>
              <w:t>0</w:t>
            </w:r>
            <w:r w:rsidRPr="00FF6108" w:rsidR="00647FC2">
              <w:rPr>
                <w:rFonts w:eastAsia="Times New Roman" w:cs="Arial"/>
                <w:color w:val="000000"/>
                <w:sz w:val="20"/>
                <w:szCs w:val="20"/>
                <w:lang w:eastAsia="en-GB"/>
              </w:rPr>
              <w:t>%</w:t>
            </w:r>
          </w:p>
        </w:tc>
      </w:tr>
      <w:tr w:rsidRPr="00614894" w:rsidR="0020287E" w:rsidTr="00480191" w14:paraId="193E2CD9"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20287E" w:rsidP="0020287E" w:rsidRDefault="0020287E" w14:paraId="2AAD2F91"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Property</w:t>
            </w:r>
          </w:p>
        </w:tc>
        <w:tc>
          <w:tcPr>
            <w:tcW w:w="1842" w:type="dxa"/>
            <w:tcBorders>
              <w:top w:val="nil"/>
              <w:left w:val="single" w:color="auto" w:sz="4" w:space="0"/>
              <w:bottom w:val="nil"/>
              <w:right w:val="single" w:color="auto" w:sz="4" w:space="0"/>
            </w:tcBorders>
            <w:shd w:val="clear" w:color="auto" w:fill="auto"/>
            <w:noWrap/>
            <w:vAlign w:val="bottom"/>
            <w:hideMark/>
          </w:tcPr>
          <w:p w:rsidRPr="00FF6108" w:rsidR="0020287E" w:rsidP="0020287E" w:rsidRDefault="00FF6108" w14:paraId="51068B31" w14:textId="2FE14FD4">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7.20</w:t>
            </w:r>
            <w:r w:rsidRPr="00FF6108" w:rsidR="0020287E">
              <w:rPr>
                <w:rFonts w:eastAsia="Times New Roman" w:cs="Arial"/>
                <w:color w:val="000000"/>
                <w:sz w:val="20"/>
                <w:szCs w:val="20"/>
                <w:lang w:eastAsia="en-GB"/>
              </w:rPr>
              <w:t>%</w:t>
            </w:r>
          </w:p>
        </w:tc>
        <w:tc>
          <w:tcPr>
            <w:tcW w:w="1843" w:type="dxa"/>
            <w:tcBorders>
              <w:top w:val="nil"/>
              <w:left w:val="nil"/>
              <w:bottom w:val="nil"/>
              <w:right w:val="single" w:color="auto" w:sz="4" w:space="0"/>
            </w:tcBorders>
            <w:shd w:val="clear" w:color="auto" w:fill="auto"/>
            <w:noWrap/>
            <w:vAlign w:val="bottom"/>
          </w:tcPr>
          <w:p w:rsidRPr="00FF6108" w:rsidR="0020287E" w:rsidP="009602D9" w:rsidRDefault="00C45BD2" w14:paraId="0316B584" w14:textId="7115C32D">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6.</w:t>
            </w:r>
            <w:r w:rsidRPr="00FF6108" w:rsidR="00FE4626">
              <w:rPr>
                <w:rFonts w:eastAsia="Times New Roman" w:cs="Arial"/>
                <w:color w:val="000000"/>
                <w:sz w:val="20"/>
                <w:szCs w:val="20"/>
                <w:lang w:eastAsia="en-GB"/>
              </w:rPr>
              <w:t>9</w:t>
            </w:r>
            <w:r w:rsidRPr="00FF6108" w:rsidR="00FD5584">
              <w:rPr>
                <w:rFonts w:eastAsia="Times New Roman" w:cs="Arial"/>
                <w:color w:val="000000"/>
                <w:sz w:val="20"/>
                <w:szCs w:val="20"/>
                <w:lang w:eastAsia="en-GB"/>
              </w:rPr>
              <w:t>0</w:t>
            </w:r>
            <w:r w:rsidRPr="00FF6108" w:rsidR="00647FC2">
              <w:rPr>
                <w:rFonts w:eastAsia="Times New Roman" w:cs="Arial"/>
                <w:color w:val="000000"/>
                <w:sz w:val="20"/>
                <w:szCs w:val="20"/>
                <w:lang w:eastAsia="en-GB"/>
              </w:rPr>
              <w:t>%</w:t>
            </w:r>
          </w:p>
        </w:tc>
      </w:tr>
      <w:tr w:rsidRPr="00614894" w:rsidR="0020287E" w:rsidTr="00480191" w14:paraId="36F5F1A6"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20287E" w:rsidP="0020287E" w:rsidRDefault="0020287E" w14:paraId="014B348A"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Government Bonds</w:t>
            </w:r>
          </w:p>
        </w:tc>
        <w:tc>
          <w:tcPr>
            <w:tcW w:w="1842" w:type="dxa"/>
            <w:tcBorders>
              <w:top w:val="nil"/>
              <w:left w:val="single" w:color="auto" w:sz="4" w:space="0"/>
              <w:bottom w:val="nil"/>
              <w:right w:val="single" w:color="auto" w:sz="4" w:space="0"/>
            </w:tcBorders>
            <w:shd w:val="clear" w:color="auto" w:fill="auto"/>
            <w:noWrap/>
            <w:vAlign w:val="bottom"/>
            <w:hideMark/>
          </w:tcPr>
          <w:p w:rsidRPr="00FF6108" w:rsidR="0020287E" w:rsidP="00AE4F97" w:rsidRDefault="00FF6108" w14:paraId="3D2B42FD" w14:textId="71C04D47">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8.80</w:t>
            </w:r>
            <w:r w:rsidRPr="00FF6108" w:rsidR="0020287E">
              <w:rPr>
                <w:rFonts w:eastAsia="Times New Roman" w:cs="Arial"/>
                <w:color w:val="000000"/>
                <w:sz w:val="20"/>
                <w:szCs w:val="20"/>
                <w:lang w:eastAsia="en-GB"/>
              </w:rPr>
              <w:t>%</w:t>
            </w:r>
          </w:p>
        </w:tc>
        <w:tc>
          <w:tcPr>
            <w:tcW w:w="1843" w:type="dxa"/>
            <w:tcBorders>
              <w:top w:val="nil"/>
              <w:left w:val="nil"/>
              <w:bottom w:val="nil"/>
              <w:right w:val="single" w:color="auto" w:sz="4" w:space="0"/>
            </w:tcBorders>
            <w:shd w:val="clear" w:color="auto" w:fill="auto"/>
            <w:noWrap/>
            <w:vAlign w:val="bottom"/>
          </w:tcPr>
          <w:p w:rsidRPr="00FF6108" w:rsidR="0020287E" w:rsidP="009602D9" w:rsidRDefault="00FE4626" w14:paraId="3FB5A7DF" w14:textId="02C10502">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9.2</w:t>
            </w:r>
            <w:r w:rsidRPr="00FF6108" w:rsidR="00FD5584">
              <w:rPr>
                <w:rFonts w:eastAsia="Times New Roman" w:cs="Arial"/>
                <w:color w:val="000000"/>
                <w:sz w:val="20"/>
                <w:szCs w:val="20"/>
                <w:lang w:eastAsia="en-GB"/>
              </w:rPr>
              <w:t>0</w:t>
            </w:r>
            <w:r w:rsidRPr="00FF6108" w:rsidR="00647FC2">
              <w:rPr>
                <w:rFonts w:eastAsia="Times New Roman" w:cs="Arial"/>
                <w:color w:val="000000"/>
                <w:sz w:val="20"/>
                <w:szCs w:val="20"/>
                <w:lang w:eastAsia="en-GB"/>
              </w:rPr>
              <w:t>%</w:t>
            </w:r>
          </w:p>
        </w:tc>
      </w:tr>
      <w:tr w:rsidRPr="00614894" w:rsidR="0020287E" w:rsidTr="00480191" w14:paraId="69F20687"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20287E" w:rsidP="0020287E" w:rsidRDefault="0020287E" w14:paraId="14444CC4"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Corporate Bonds</w:t>
            </w:r>
          </w:p>
        </w:tc>
        <w:tc>
          <w:tcPr>
            <w:tcW w:w="1842" w:type="dxa"/>
            <w:tcBorders>
              <w:top w:val="nil"/>
              <w:left w:val="single" w:color="auto" w:sz="4" w:space="0"/>
              <w:bottom w:val="nil"/>
              <w:right w:val="single" w:color="auto" w:sz="4" w:space="0"/>
            </w:tcBorders>
            <w:shd w:val="clear" w:color="auto" w:fill="auto"/>
            <w:noWrap/>
            <w:vAlign w:val="bottom"/>
            <w:hideMark/>
          </w:tcPr>
          <w:p w:rsidRPr="00FF6108" w:rsidR="0020287E" w:rsidP="0020287E" w:rsidRDefault="00FF6108" w14:paraId="1B41BE6B" w14:textId="7961817E">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7.60</w:t>
            </w:r>
            <w:r w:rsidRPr="00FF6108" w:rsidR="0020287E">
              <w:rPr>
                <w:rFonts w:eastAsia="Times New Roman" w:cs="Arial"/>
                <w:color w:val="000000"/>
                <w:sz w:val="20"/>
                <w:szCs w:val="20"/>
                <w:lang w:eastAsia="en-GB"/>
              </w:rPr>
              <w:t>%</w:t>
            </w:r>
          </w:p>
        </w:tc>
        <w:tc>
          <w:tcPr>
            <w:tcW w:w="1843" w:type="dxa"/>
            <w:tcBorders>
              <w:top w:val="nil"/>
              <w:left w:val="nil"/>
              <w:bottom w:val="nil"/>
              <w:right w:val="single" w:color="auto" w:sz="4" w:space="0"/>
            </w:tcBorders>
            <w:shd w:val="clear" w:color="auto" w:fill="auto"/>
            <w:noWrap/>
            <w:vAlign w:val="bottom"/>
          </w:tcPr>
          <w:p w:rsidRPr="00FF6108" w:rsidR="0020287E" w:rsidP="009602D9" w:rsidRDefault="00FE4626" w14:paraId="4432BFB9" w14:textId="024646FE">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8.4</w:t>
            </w:r>
            <w:r w:rsidRPr="00FF6108" w:rsidR="00FD5584">
              <w:rPr>
                <w:rFonts w:eastAsia="Times New Roman" w:cs="Arial"/>
                <w:color w:val="000000"/>
                <w:sz w:val="20"/>
                <w:szCs w:val="20"/>
                <w:lang w:eastAsia="en-GB"/>
              </w:rPr>
              <w:t>0</w:t>
            </w:r>
            <w:r w:rsidRPr="00FF6108" w:rsidR="00647FC2">
              <w:rPr>
                <w:rFonts w:eastAsia="Times New Roman" w:cs="Arial"/>
                <w:color w:val="000000"/>
                <w:sz w:val="20"/>
                <w:szCs w:val="20"/>
                <w:lang w:eastAsia="en-GB"/>
              </w:rPr>
              <w:t>%</w:t>
            </w:r>
          </w:p>
        </w:tc>
      </w:tr>
      <w:tr w:rsidRPr="00614894" w:rsidR="00FD5584" w:rsidTr="00480191" w14:paraId="3E9EB1FA" w14:textId="77777777">
        <w:trPr>
          <w:trHeight w:val="300"/>
        </w:trPr>
        <w:tc>
          <w:tcPr>
            <w:tcW w:w="4962" w:type="dxa"/>
            <w:tcBorders>
              <w:top w:val="nil"/>
              <w:left w:val="single" w:color="auto" w:sz="4" w:space="0"/>
              <w:bottom w:val="nil"/>
              <w:right w:val="nil"/>
            </w:tcBorders>
            <w:shd w:val="clear" w:color="auto" w:fill="auto"/>
            <w:noWrap/>
            <w:vAlign w:val="bottom"/>
          </w:tcPr>
          <w:p w:rsidRPr="00FF6108" w:rsidR="00FD5584" w:rsidP="0020287E" w:rsidRDefault="00FD5584" w14:paraId="738B2997" w14:textId="2EA06D5C">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Multi Asset Credit</w:t>
            </w:r>
          </w:p>
        </w:tc>
        <w:tc>
          <w:tcPr>
            <w:tcW w:w="1842" w:type="dxa"/>
            <w:tcBorders>
              <w:top w:val="nil"/>
              <w:left w:val="single" w:color="auto" w:sz="4" w:space="0"/>
              <w:bottom w:val="nil"/>
              <w:right w:val="single" w:color="auto" w:sz="4" w:space="0"/>
            </w:tcBorders>
            <w:shd w:val="clear" w:color="auto" w:fill="auto"/>
            <w:noWrap/>
            <w:vAlign w:val="bottom"/>
          </w:tcPr>
          <w:p w:rsidRPr="00FF6108" w:rsidR="00FD5584" w:rsidP="0020287E" w:rsidRDefault="00FF6108" w14:paraId="3CC77C3E" w14:textId="2CB1C3C6">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5.30</w:t>
            </w:r>
            <w:r w:rsidRPr="00FF6108" w:rsidR="00FD5584">
              <w:rPr>
                <w:rFonts w:eastAsia="Times New Roman" w:cs="Arial"/>
                <w:color w:val="000000"/>
                <w:sz w:val="20"/>
                <w:szCs w:val="20"/>
                <w:lang w:eastAsia="en-GB"/>
              </w:rPr>
              <w:t>%</w:t>
            </w:r>
          </w:p>
        </w:tc>
        <w:tc>
          <w:tcPr>
            <w:tcW w:w="1843" w:type="dxa"/>
            <w:tcBorders>
              <w:top w:val="nil"/>
              <w:left w:val="nil"/>
              <w:bottom w:val="nil"/>
              <w:right w:val="single" w:color="auto" w:sz="4" w:space="0"/>
            </w:tcBorders>
            <w:shd w:val="clear" w:color="auto" w:fill="auto"/>
            <w:noWrap/>
            <w:vAlign w:val="bottom"/>
          </w:tcPr>
          <w:p w:rsidRPr="00FF6108" w:rsidR="00FD5584" w:rsidP="009602D9" w:rsidRDefault="00FE4626" w14:paraId="4BF63010" w14:textId="7C5F2F9E">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5.7</w:t>
            </w:r>
            <w:r w:rsidRPr="00FF6108" w:rsidR="00FD5584">
              <w:rPr>
                <w:rFonts w:eastAsia="Times New Roman" w:cs="Arial"/>
                <w:color w:val="000000"/>
                <w:sz w:val="20"/>
                <w:szCs w:val="20"/>
                <w:lang w:eastAsia="en-GB"/>
              </w:rPr>
              <w:t>0%</w:t>
            </w:r>
          </w:p>
        </w:tc>
      </w:tr>
      <w:tr w:rsidRPr="00614894" w:rsidR="0020287E" w:rsidTr="00480191" w14:paraId="129617AD"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20287E" w:rsidP="0020287E" w:rsidRDefault="0020287E" w14:paraId="04F15F95"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Cash</w:t>
            </w:r>
          </w:p>
        </w:tc>
        <w:tc>
          <w:tcPr>
            <w:tcW w:w="1842" w:type="dxa"/>
            <w:tcBorders>
              <w:top w:val="nil"/>
              <w:left w:val="single" w:color="auto" w:sz="4" w:space="0"/>
              <w:bottom w:val="nil"/>
              <w:right w:val="single" w:color="auto" w:sz="4" w:space="0"/>
            </w:tcBorders>
            <w:shd w:val="clear" w:color="auto" w:fill="auto"/>
            <w:noWrap/>
            <w:vAlign w:val="bottom"/>
            <w:hideMark/>
          </w:tcPr>
          <w:p w:rsidRPr="00FF6108" w:rsidR="0020287E" w:rsidP="0020287E" w:rsidRDefault="00FF6108" w14:paraId="3AEC983E" w14:textId="3AB0464A">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3.20</w:t>
            </w:r>
            <w:r w:rsidRPr="00FF6108" w:rsidR="0020287E">
              <w:rPr>
                <w:rFonts w:eastAsia="Times New Roman" w:cs="Arial"/>
                <w:color w:val="000000"/>
                <w:sz w:val="20"/>
                <w:szCs w:val="20"/>
                <w:lang w:eastAsia="en-GB"/>
              </w:rPr>
              <w:t>%</w:t>
            </w:r>
          </w:p>
        </w:tc>
        <w:tc>
          <w:tcPr>
            <w:tcW w:w="1843" w:type="dxa"/>
            <w:tcBorders>
              <w:top w:val="nil"/>
              <w:left w:val="nil"/>
              <w:bottom w:val="nil"/>
              <w:right w:val="single" w:color="auto" w:sz="4" w:space="0"/>
            </w:tcBorders>
            <w:shd w:val="clear" w:color="auto" w:fill="auto"/>
            <w:noWrap/>
            <w:vAlign w:val="bottom"/>
          </w:tcPr>
          <w:p w:rsidRPr="00FF6108" w:rsidR="0020287E" w:rsidP="009602D9" w:rsidRDefault="00FE4626" w14:paraId="21995672" w14:textId="4EB4E119">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2.3</w:t>
            </w:r>
            <w:r w:rsidRPr="00FF6108" w:rsidR="00FD5584">
              <w:rPr>
                <w:rFonts w:eastAsia="Times New Roman" w:cs="Arial"/>
                <w:color w:val="000000"/>
                <w:sz w:val="20"/>
                <w:szCs w:val="20"/>
                <w:lang w:eastAsia="en-GB"/>
              </w:rPr>
              <w:t>0</w:t>
            </w:r>
            <w:r w:rsidRPr="00FF6108" w:rsidR="00647FC2">
              <w:rPr>
                <w:rFonts w:eastAsia="Times New Roman" w:cs="Arial"/>
                <w:color w:val="000000"/>
                <w:sz w:val="20"/>
                <w:szCs w:val="20"/>
                <w:lang w:eastAsia="en-GB"/>
              </w:rPr>
              <w:t>%</w:t>
            </w:r>
          </w:p>
        </w:tc>
      </w:tr>
      <w:tr w:rsidRPr="00614894" w:rsidR="0020287E" w:rsidTr="00480191" w14:paraId="24D21D7F"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20287E" w:rsidP="0020287E" w:rsidRDefault="0020287E" w14:paraId="23170D88"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Other</w:t>
            </w:r>
          </w:p>
        </w:tc>
        <w:tc>
          <w:tcPr>
            <w:tcW w:w="1842" w:type="dxa"/>
            <w:tcBorders>
              <w:top w:val="nil"/>
              <w:left w:val="single" w:color="auto" w:sz="4" w:space="0"/>
              <w:bottom w:val="nil"/>
              <w:right w:val="single" w:color="auto" w:sz="4" w:space="0"/>
            </w:tcBorders>
            <w:shd w:val="clear" w:color="auto" w:fill="auto"/>
            <w:noWrap/>
            <w:vAlign w:val="bottom"/>
            <w:hideMark/>
          </w:tcPr>
          <w:p w:rsidRPr="00FF6108" w:rsidR="0020287E" w:rsidP="0020287E" w:rsidRDefault="00FF6108" w14:paraId="466EF166" w14:textId="01B461F5">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0.00</w:t>
            </w:r>
            <w:r w:rsidRPr="00FF6108" w:rsidR="0020287E">
              <w:rPr>
                <w:rFonts w:eastAsia="Times New Roman" w:cs="Arial"/>
                <w:color w:val="000000"/>
                <w:sz w:val="20"/>
                <w:szCs w:val="20"/>
                <w:lang w:eastAsia="en-GB"/>
              </w:rPr>
              <w:t>%</w:t>
            </w:r>
          </w:p>
        </w:tc>
        <w:tc>
          <w:tcPr>
            <w:tcW w:w="1843" w:type="dxa"/>
            <w:tcBorders>
              <w:top w:val="nil"/>
              <w:left w:val="nil"/>
              <w:bottom w:val="nil"/>
              <w:right w:val="single" w:color="auto" w:sz="4" w:space="0"/>
            </w:tcBorders>
            <w:shd w:val="clear" w:color="auto" w:fill="auto"/>
            <w:noWrap/>
            <w:vAlign w:val="bottom"/>
          </w:tcPr>
          <w:p w:rsidRPr="00FF6108" w:rsidR="0020287E" w:rsidP="009602D9" w:rsidRDefault="00FD5584" w14:paraId="292FAB7A" w14:textId="25947DF9">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0.00</w:t>
            </w:r>
            <w:r w:rsidRPr="00FF6108" w:rsidR="00647FC2">
              <w:rPr>
                <w:rFonts w:eastAsia="Times New Roman" w:cs="Arial"/>
                <w:color w:val="000000"/>
                <w:sz w:val="20"/>
                <w:szCs w:val="20"/>
                <w:lang w:eastAsia="en-GB"/>
              </w:rPr>
              <w:t>%</w:t>
            </w:r>
          </w:p>
        </w:tc>
      </w:tr>
      <w:tr w:rsidRPr="00614894" w:rsidR="0020287E" w:rsidTr="00AE4F97" w14:paraId="06C28C88" w14:textId="77777777">
        <w:trPr>
          <w:trHeight w:val="300"/>
        </w:trPr>
        <w:tc>
          <w:tcPr>
            <w:tcW w:w="4962"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FF6108" w:rsidR="0020287E" w:rsidP="0020287E" w:rsidRDefault="0020287E" w14:paraId="2BC25121" w14:textId="77777777">
            <w:pPr>
              <w:spacing w:after="0" w:line="240" w:lineRule="auto"/>
              <w:rPr>
                <w:rFonts w:eastAsia="Times New Roman" w:cs="Arial"/>
                <w:b/>
                <w:bCs/>
                <w:color w:val="000000"/>
                <w:sz w:val="20"/>
                <w:szCs w:val="20"/>
                <w:lang w:eastAsia="en-GB"/>
              </w:rPr>
            </w:pPr>
            <w:r w:rsidRPr="00FF6108">
              <w:rPr>
                <w:rFonts w:eastAsia="Times New Roman" w:cs="Arial"/>
                <w:b/>
                <w:bCs/>
                <w:color w:val="000000"/>
                <w:sz w:val="20"/>
                <w:szCs w:val="20"/>
                <w:lang w:eastAsia="en-GB"/>
              </w:rPr>
              <w:t>Total</w:t>
            </w:r>
          </w:p>
        </w:tc>
        <w:tc>
          <w:tcPr>
            <w:tcW w:w="1842"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FF6108" w:rsidR="0020287E" w:rsidP="0020287E" w:rsidRDefault="0020287E" w14:paraId="58AF171C" w14:textId="77777777">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100.00%</w:t>
            </w:r>
          </w:p>
        </w:tc>
        <w:tc>
          <w:tcPr>
            <w:tcW w:w="1843"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FF6108" w:rsidR="0020287E" w:rsidP="009602D9" w:rsidRDefault="006B115C" w14:paraId="501668E2" w14:textId="77777777">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100.00%</w:t>
            </w:r>
          </w:p>
        </w:tc>
      </w:tr>
    </w:tbl>
    <w:p w:rsidR="00A2163C" w:rsidP="00CE3CBF" w:rsidRDefault="00A2163C" w14:paraId="7889A8DE" w14:textId="77777777">
      <w:pPr>
        <w:pStyle w:val="Heading3"/>
      </w:pPr>
    </w:p>
    <w:p w:rsidR="00A2163C" w:rsidP="00CE3CBF" w:rsidRDefault="00A2163C" w14:paraId="75A45647" w14:textId="77777777">
      <w:pPr>
        <w:pStyle w:val="Heading3"/>
      </w:pPr>
    </w:p>
    <w:p w:rsidR="00A2163C" w:rsidP="00CE3CBF" w:rsidRDefault="00A2163C" w14:paraId="51A3183F" w14:textId="77777777">
      <w:pPr>
        <w:pStyle w:val="Heading3"/>
      </w:pPr>
    </w:p>
    <w:p w:rsidR="00A2163C" w:rsidP="00CE3CBF" w:rsidRDefault="00A2163C" w14:paraId="2BCF8210" w14:textId="6F13CBA4">
      <w:pPr>
        <w:pStyle w:val="Heading3"/>
      </w:pPr>
    </w:p>
    <w:p w:rsidRPr="006B4F79" w:rsidR="006B4F79" w:rsidP="006B4F79" w:rsidRDefault="006B4F79" w14:paraId="65783435" w14:textId="77777777"/>
    <w:p w:rsidR="00A2163C" w:rsidP="00CE3CBF" w:rsidRDefault="00A2163C" w14:paraId="4647B780" w14:textId="77777777">
      <w:pPr>
        <w:pStyle w:val="Heading3"/>
      </w:pPr>
    </w:p>
    <w:p w:rsidR="00A2163C" w:rsidP="00CE3CBF" w:rsidRDefault="00A2163C" w14:paraId="6061F1C2" w14:textId="77777777">
      <w:pPr>
        <w:pStyle w:val="Heading3"/>
      </w:pPr>
    </w:p>
    <w:p w:rsidRPr="00FF6108" w:rsidR="0020287E" w:rsidP="00CE3CBF" w:rsidRDefault="006073FE" w14:paraId="45046BBA" w14:textId="485783A3">
      <w:pPr>
        <w:pStyle w:val="Heading3"/>
      </w:pPr>
      <w:r w:rsidRPr="00FF6108">
        <w:lastRenderedPageBreak/>
        <w:t>Reconciliation of Funded Status to Balance Sheet</w:t>
      </w:r>
      <w:r w:rsidRPr="00FF6108" w:rsidR="0020287E">
        <w:t xml:space="preserve"> </w:t>
      </w:r>
    </w:p>
    <w:tbl>
      <w:tblPr>
        <w:tblW w:w="8647" w:type="dxa"/>
        <w:tblInd w:w="675" w:type="dxa"/>
        <w:tblLayout w:type="fixed"/>
        <w:tblLook w:val="04A0" w:firstRow="1" w:lastRow="0" w:firstColumn="1" w:lastColumn="0" w:noHBand="0" w:noVBand="1"/>
      </w:tblPr>
      <w:tblGrid>
        <w:gridCol w:w="4962"/>
        <w:gridCol w:w="1842"/>
        <w:gridCol w:w="1843"/>
      </w:tblGrid>
      <w:tr w:rsidRPr="00614894" w:rsidR="006073FE" w:rsidTr="00AE4F97" w14:paraId="29E4C0EF" w14:textId="77777777">
        <w:trPr>
          <w:trHeight w:val="300"/>
        </w:trPr>
        <w:tc>
          <w:tcPr>
            <w:tcW w:w="4962" w:type="dxa"/>
            <w:tcBorders>
              <w:top w:val="single" w:color="auto" w:sz="4" w:space="0"/>
              <w:left w:val="single" w:color="auto" w:sz="4" w:space="0"/>
              <w:bottom w:val="nil"/>
              <w:right w:val="nil"/>
            </w:tcBorders>
            <w:shd w:val="clear" w:color="auto" w:fill="DBE5F1" w:themeFill="accent1" w:themeFillTint="33"/>
            <w:noWrap/>
            <w:vAlign w:val="bottom"/>
            <w:hideMark/>
          </w:tcPr>
          <w:p w:rsidRPr="00FF6108" w:rsidR="006073FE" w:rsidP="006073FE" w:rsidRDefault="006073FE" w14:paraId="55A5A572" w14:textId="77777777">
            <w:pPr>
              <w:spacing w:after="0" w:line="240" w:lineRule="auto"/>
              <w:rPr>
                <w:rFonts w:eastAsia="Times New Roman" w:cs="Arial"/>
                <w:b/>
                <w:bCs/>
                <w:color w:val="000000"/>
                <w:sz w:val="20"/>
                <w:szCs w:val="20"/>
                <w:lang w:eastAsia="en-GB"/>
              </w:rPr>
            </w:pPr>
            <w:r w:rsidRPr="00FF6108">
              <w:rPr>
                <w:rFonts w:eastAsia="Times New Roman" w:cs="Arial"/>
                <w:b/>
                <w:bCs/>
                <w:color w:val="000000"/>
                <w:sz w:val="20"/>
                <w:szCs w:val="20"/>
                <w:lang w:eastAsia="en-GB"/>
              </w:rPr>
              <w:t> </w:t>
            </w:r>
          </w:p>
        </w:tc>
        <w:tc>
          <w:tcPr>
            <w:tcW w:w="1842"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FF6108" w:rsidR="006073FE" w:rsidP="00681C2D" w:rsidRDefault="006073FE" w14:paraId="4EC8EF50" w14:textId="77777777">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Value at</w:t>
            </w:r>
          </w:p>
        </w:tc>
        <w:tc>
          <w:tcPr>
            <w:tcW w:w="1843" w:type="dxa"/>
            <w:tcBorders>
              <w:top w:val="single" w:color="auto" w:sz="4" w:space="0"/>
              <w:left w:val="nil"/>
              <w:bottom w:val="nil"/>
              <w:right w:val="single" w:color="auto" w:sz="4" w:space="0"/>
            </w:tcBorders>
            <w:shd w:val="clear" w:color="auto" w:fill="DBE5F1" w:themeFill="accent1" w:themeFillTint="33"/>
            <w:noWrap/>
            <w:vAlign w:val="bottom"/>
            <w:hideMark/>
          </w:tcPr>
          <w:p w:rsidRPr="00FF6108" w:rsidR="006073FE" w:rsidP="00681C2D" w:rsidRDefault="006073FE" w14:paraId="0D91B54B" w14:textId="77777777">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Value at</w:t>
            </w:r>
          </w:p>
        </w:tc>
      </w:tr>
      <w:tr w:rsidRPr="00614894" w:rsidR="006073FE" w:rsidTr="00AE4F97" w14:paraId="04B59DA5" w14:textId="77777777">
        <w:trPr>
          <w:trHeight w:val="300"/>
        </w:trPr>
        <w:tc>
          <w:tcPr>
            <w:tcW w:w="4962" w:type="dxa"/>
            <w:tcBorders>
              <w:top w:val="nil"/>
              <w:left w:val="single" w:color="auto" w:sz="4" w:space="0"/>
              <w:bottom w:val="nil"/>
              <w:right w:val="nil"/>
            </w:tcBorders>
            <w:shd w:val="clear" w:color="auto" w:fill="DBE5F1" w:themeFill="accent1" w:themeFillTint="33"/>
            <w:noWrap/>
            <w:vAlign w:val="bottom"/>
            <w:hideMark/>
          </w:tcPr>
          <w:p w:rsidRPr="00FF6108" w:rsidR="006073FE" w:rsidP="006073FE" w:rsidRDefault="006073FE" w14:paraId="47CA5DA0"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 </w:t>
            </w:r>
          </w:p>
        </w:tc>
        <w:tc>
          <w:tcPr>
            <w:tcW w:w="1842" w:type="dxa"/>
            <w:tcBorders>
              <w:top w:val="nil"/>
              <w:left w:val="single" w:color="auto" w:sz="4" w:space="0"/>
              <w:bottom w:val="nil"/>
              <w:right w:val="single" w:color="auto" w:sz="4" w:space="0"/>
            </w:tcBorders>
            <w:shd w:val="clear" w:color="auto" w:fill="DBE5F1" w:themeFill="accent1" w:themeFillTint="33"/>
            <w:noWrap/>
            <w:vAlign w:val="bottom"/>
            <w:hideMark/>
          </w:tcPr>
          <w:p w:rsidRPr="00FF6108" w:rsidR="006073FE" w:rsidP="00681C2D" w:rsidRDefault="00C45BD2" w14:paraId="3976A3EF" w14:textId="7441BD59">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31st March 202</w:t>
            </w:r>
            <w:r w:rsidRPr="00FF6108" w:rsidR="00FF6108">
              <w:rPr>
                <w:rFonts w:eastAsia="Times New Roman" w:cs="Arial"/>
                <w:b/>
                <w:bCs/>
                <w:color w:val="000000"/>
                <w:sz w:val="20"/>
                <w:szCs w:val="20"/>
                <w:lang w:eastAsia="en-GB"/>
              </w:rPr>
              <w:t>3</w:t>
            </w:r>
          </w:p>
        </w:tc>
        <w:tc>
          <w:tcPr>
            <w:tcW w:w="1843" w:type="dxa"/>
            <w:tcBorders>
              <w:top w:val="nil"/>
              <w:left w:val="nil"/>
              <w:bottom w:val="nil"/>
              <w:right w:val="single" w:color="auto" w:sz="4" w:space="0"/>
            </w:tcBorders>
            <w:shd w:val="clear" w:color="auto" w:fill="DBE5F1" w:themeFill="accent1" w:themeFillTint="33"/>
            <w:noWrap/>
            <w:vAlign w:val="bottom"/>
            <w:hideMark/>
          </w:tcPr>
          <w:p w:rsidRPr="00FF6108" w:rsidR="006073FE" w:rsidP="00681C2D" w:rsidRDefault="00A67D90" w14:paraId="177BD561" w14:textId="52389AB5">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31st March 20</w:t>
            </w:r>
            <w:r w:rsidRPr="00FF6108" w:rsidR="00824928">
              <w:rPr>
                <w:rFonts w:eastAsia="Times New Roman" w:cs="Arial"/>
                <w:b/>
                <w:bCs/>
                <w:color w:val="000000"/>
                <w:sz w:val="20"/>
                <w:szCs w:val="20"/>
                <w:lang w:eastAsia="en-GB"/>
              </w:rPr>
              <w:t>2</w:t>
            </w:r>
            <w:r w:rsidRPr="00FF6108" w:rsidR="0079369D">
              <w:rPr>
                <w:rFonts w:eastAsia="Times New Roman" w:cs="Arial"/>
                <w:b/>
                <w:bCs/>
                <w:color w:val="000000"/>
                <w:sz w:val="20"/>
                <w:szCs w:val="20"/>
                <w:lang w:eastAsia="en-GB"/>
              </w:rPr>
              <w:t>2</w:t>
            </w:r>
          </w:p>
        </w:tc>
      </w:tr>
      <w:tr w:rsidRPr="00614894" w:rsidR="006073FE" w:rsidTr="00AE4F97" w14:paraId="3ECDDACE" w14:textId="77777777">
        <w:trPr>
          <w:trHeight w:val="300"/>
        </w:trPr>
        <w:tc>
          <w:tcPr>
            <w:tcW w:w="4962" w:type="dxa"/>
            <w:tcBorders>
              <w:top w:val="nil"/>
              <w:left w:val="single" w:color="auto" w:sz="4" w:space="0"/>
              <w:bottom w:val="single" w:color="auto" w:sz="4" w:space="0"/>
              <w:right w:val="nil"/>
            </w:tcBorders>
            <w:shd w:val="clear" w:color="auto" w:fill="DBE5F1" w:themeFill="accent1" w:themeFillTint="33"/>
            <w:noWrap/>
            <w:vAlign w:val="bottom"/>
            <w:hideMark/>
          </w:tcPr>
          <w:p w:rsidRPr="00FF6108" w:rsidR="006073FE" w:rsidP="006073FE" w:rsidRDefault="006073FE" w14:paraId="466D6748"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 </w:t>
            </w:r>
          </w:p>
        </w:tc>
        <w:tc>
          <w:tcPr>
            <w:tcW w:w="1842"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FF6108" w:rsidR="006073FE" w:rsidP="00681C2D" w:rsidRDefault="006073FE" w14:paraId="6E2012AA" w14:textId="77777777">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£M</w:t>
            </w:r>
          </w:p>
        </w:tc>
        <w:tc>
          <w:tcPr>
            <w:tcW w:w="1843" w:type="dxa"/>
            <w:tcBorders>
              <w:top w:val="nil"/>
              <w:left w:val="nil"/>
              <w:bottom w:val="single" w:color="auto" w:sz="4" w:space="0"/>
              <w:right w:val="single" w:color="auto" w:sz="4" w:space="0"/>
            </w:tcBorders>
            <w:shd w:val="clear" w:color="auto" w:fill="DBE5F1" w:themeFill="accent1" w:themeFillTint="33"/>
            <w:noWrap/>
            <w:vAlign w:val="bottom"/>
            <w:hideMark/>
          </w:tcPr>
          <w:p w:rsidRPr="00FF6108" w:rsidR="006073FE" w:rsidP="00681C2D" w:rsidRDefault="006073FE" w14:paraId="5F78F7F8" w14:textId="77777777">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£M</w:t>
            </w:r>
          </w:p>
        </w:tc>
      </w:tr>
      <w:tr w:rsidRPr="00614894" w:rsidR="006073FE" w:rsidTr="00D66B4C" w14:paraId="0D3B2DF6"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6073FE" w:rsidP="006073FE" w:rsidRDefault="006073FE" w14:paraId="7A4FF862"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Fair Value of Assets</w:t>
            </w:r>
          </w:p>
        </w:tc>
        <w:tc>
          <w:tcPr>
            <w:tcW w:w="1842" w:type="dxa"/>
            <w:tcBorders>
              <w:top w:val="nil"/>
              <w:left w:val="single" w:color="auto" w:sz="4" w:space="0"/>
              <w:right w:val="single" w:color="auto" w:sz="4" w:space="0"/>
            </w:tcBorders>
            <w:shd w:val="clear" w:color="auto" w:fill="auto"/>
            <w:noWrap/>
            <w:vAlign w:val="bottom"/>
            <w:hideMark/>
          </w:tcPr>
          <w:p w:rsidRPr="00FF6108" w:rsidR="006073FE" w:rsidP="0079369D" w:rsidRDefault="00F753D0" w14:paraId="68F8C8DA" w14:textId="31CC92F9">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 xml:space="preserve">              </w:t>
            </w:r>
            <w:r w:rsidRPr="00FF6108" w:rsidR="00FD5584">
              <w:rPr>
                <w:rFonts w:eastAsia="Times New Roman" w:cs="Arial"/>
                <w:color w:val="000000"/>
                <w:sz w:val="20"/>
                <w:szCs w:val="20"/>
                <w:lang w:eastAsia="en-GB"/>
              </w:rPr>
              <w:t xml:space="preserve"> </w:t>
            </w:r>
            <w:r w:rsidRPr="00FF6108">
              <w:rPr>
                <w:rFonts w:eastAsia="Times New Roman" w:cs="Arial"/>
                <w:color w:val="000000"/>
                <w:sz w:val="20"/>
                <w:szCs w:val="20"/>
                <w:lang w:eastAsia="en-GB"/>
              </w:rPr>
              <w:t xml:space="preserve"> </w:t>
            </w:r>
            <w:r w:rsidRPr="00FF6108" w:rsidR="00FF6108">
              <w:rPr>
                <w:rFonts w:eastAsia="Times New Roman" w:cs="Arial"/>
                <w:color w:val="000000"/>
                <w:sz w:val="20"/>
                <w:szCs w:val="20"/>
                <w:lang w:eastAsia="en-GB"/>
              </w:rPr>
              <w:t>5.12</w:t>
            </w:r>
          </w:p>
        </w:tc>
        <w:tc>
          <w:tcPr>
            <w:tcW w:w="1843" w:type="dxa"/>
            <w:tcBorders>
              <w:top w:val="nil"/>
              <w:left w:val="nil"/>
              <w:right w:val="single" w:color="auto" w:sz="4" w:space="0"/>
            </w:tcBorders>
            <w:shd w:val="clear" w:color="auto" w:fill="auto"/>
            <w:noWrap/>
            <w:vAlign w:val="bottom"/>
          </w:tcPr>
          <w:p w:rsidRPr="00FF6108" w:rsidR="006073FE" w:rsidP="00FD5584" w:rsidRDefault="001032AA" w14:paraId="2B3E39C6" w14:textId="1796A8E8">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 xml:space="preserve">        </w:t>
            </w:r>
            <w:r w:rsidRPr="00FF6108" w:rsidR="00FF6108">
              <w:rPr>
                <w:rFonts w:eastAsia="Times New Roman" w:cs="Arial"/>
                <w:color w:val="000000"/>
                <w:sz w:val="20"/>
                <w:szCs w:val="20"/>
                <w:lang w:eastAsia="en-GB"/>
              </w:rPr>
              <w:t>4.89</w:t>
            </w:r>
            <w:r w:rsidRPr="00FF6108">
              <w:rPr>
                <w:rFonts w:eastAsia="Times New Roman" w:cs="Arial"/>
                <w:color w:val="000000"/>
                <w:sz w:val="20"/>
                <w:szCs w:val="20"/>
                <w:lang w:eastAsia="en-GB"/>
              </w:rPr>
              <w:t xml:space="preserve">      </w:t>
            </w:r>
          </w:p>
        </w:tc>
      </w:tr>
      <w:tr w:rsidRPr="00614894" w:rsidR="006073FE" w:rsidTr="00D66B4C" w14:paraId="0804B083"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6073FE" w:rsidP="006073FE" w:rsidRDefault="006073FE" w14:paraId="325EDF5B"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Present Val</w:t>
            </w:r>
            <w:r w:rsidRPr="00FF6108" w:rsidR="003B07B0">
              <w:rPr>
                <w:rFonts w:eastAsia="Times New Roman" w:cs="Arial"/>
                <w:color w:val="000000"/>
                <w:sz w:val="20"/>
                <w:szCs w:val="20"/>
                <w:lang w:eastAsia="en-GB"/>
              </w:rPr>
              <w:t>u</w:t>
            </w:r>
            <w:r w:rsidRPr="00FF6108">
              <w:rPr>
                <w:rFonts w:eastAsia="Times New Roman" w:cs="Arial"/>
                <w:color w:val="000000"/>
                <w:sz w:val="20"/>
                <w:szCs w:val="20"/>
                <w:lang w:eastAsia="en-GB"/>
              </w:rPr>
              <w:t>e of Funded Defined Benefit Obligation</w:t>
            </w:r>
          </w:p>
        </w:tc>
        <w:tc>
          <w:tcPr>
            <w:tcW w:w="1842" w:type="dxa"/>
            <w:tcBorders>
              <w:top w:val="nil"/>
              <w:left w:val="single" w:color="auto" w:sz="4" w:space="0"/>
              <w:bottom w:val="single" w:color="auto" w:sz="4" w:space="0"/>
              <w:right w:val="single" w:color="auto" w:sz="4" w:space="0"/>
            </w:tcBorders>
            <w:shd w:val="clear" w:color="auto" w:fill="auto"/>
            <w:noWrap/>
            <w:vAlign w:val="bottom"/>
            <w:hideMark/>
          </w:tcPr>
          <w:p w:rsidRPr="00FF6108" w:rsidR="006073FE" w:rsidP="006073FE" w:rsidRDefault="00186BCB" w14:paraId="7CAB673E" w14:textId="47AAE188">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w:t>
            </w:r>
            <w:r w:rsidRPr="00FF6108" w:rsidR="00FF6108">
              <w:rPr>
                <w:rFonts w:eastAsia="Times New Roman" w:cs="Arial"/>
                <w:color w:val="000000"/>
                <w:sz w:val="20"/>
                <w:szCs w:val="20"/>
                <w:lang w:eastAsia="en-GB"/>
              </w:rPr>
              <w:t>5.64</w:t>
            </w:r>
            <w:r w:rsidRPr="00FF6108">
              <w:rPr>
                <w:rFonts w:eastAsia="Times New Roman" w:cs="Arial"/>
                <w:color w:val="000000"/>
                <w:sz w:val="20"/>
                <w:szCs w:val="20"/>
                <w:lang w:eastAsia="en-GB"/>
              </w:rPr>
              <w:t>)</w:t>
            </w:r>
          </w:p>
        </w:tc>
        <w:tc>
          <w:tcPr>
            <w:tcW w:w="1843" w:type="dxa"/>
            <w:tcBorders>
              <w:top w:val="nil"/>
              <w:left w:val="nil"/>
              <w:bottom w:val="single" w:color="auto" w:sz="4" w:space="0"/>
              <w:right w:val="single" w:color="auto" w:sz="4" w:space="0"/>
            </w:tcBorders>
            <w:shd w:val="clear" w:color="auto" w:fill="auto"/>
            <w:noWrap/>
            <w:vAlign w:val="bottom"/>
          </w:tcPr>
          <w:p w:rsidRPr="00FF6108" w:rsidR="006073FE" w:rsidP="00FD5584" w:rsidRDefault="00C45BD2" w14:paraId="56A4B6C6" w14:textId="680BC9E3">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 xml:space="preserve"> </w:t>
            </w:r>
            <w:r w:rsidRPr="00FF6108" w:rsidR="00FF6108">
              <w:rPr>
                <w:rFonts w:eastAsia="Times New Roman" w:cs="Arial"/>
                <w:color w:val="000000"/>
                <w:sz w:val="20"/>
                <w:szCs w:val="20"/>
                <w:lang w:eastAsia="en-GB"/>
              </w:rPr>
              <w:t>(8.37)</w:t>
            </w:r>
            <w:r w:rsidRPr="00FF6108" w:rsidR="001032AA">
              <w:rPr>
                <w:rFonts w:eastAsia="Times New Roman" w:cs="Arial"/>
                <w:color w:val="000000"/>
                <w:sz w:val="20"/>
                <w:szCs w:val="20"/>
                <w:lang w:eastAsia="en-GB"/>
              </w:rPr>
              <w:t xml:space="preserve">              </w:t>
            </w:r>
          </w:p>
        </w:tc>
      </w:tr>
      <w:tr w:rsidRPr="00614894" w:rsidR="006073FE" w:rsidTr="00D66B4C" w14:paraId="43F14A42"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6073FE" w:rsidP="006073FE" w:rsidRDefault="006073FE" w14:paraId="36F43841" w14:textId="77777777">
            <w:pPr>
              <w:spacing w:after="0" w:line="240" w:lineRule="auto"/>
              <w:rPr>
                <w:rFonts w:eastAsia="Times New Roman" w:cs="Arial"/>
                <w:b/>
                <w:color w:val="000000"/>
                <w:sz w:val="20"/>
                <w:szCs w:val="20"/>
                <w:lang w:eastAsia="en-GB"/>
              </w:rPr>
            </w:pPr>
            <w:r w:rsidRPr="00FF6108">
              <w:rPr>
                <w:rFonts w:eastAsia="Times New Roman" w:cs="Arial"/>
                <w:b/>
                <w:color w:val="000000"/>
                <w:sz w:val="20"/>
                <w:szCs w:val="20"/>
                <w:lang w:eastAsia="en-GB"/>
              </w:rPr>
              <w:t>Funded Status</w:t>
            </w:r>
          </w:p>
        </w:tc>
        <w:tc>
          <w:tcPr>
            <w:tcW w:w="1842" w:type="dxa"/>
            <w:tcBorders>
              <w:top w:val="single" w:color="auto" w:sz="4" w:space="0"/>
              <w:left w:val="single" w:color="auto" w:sz="4" w:space="0"/>
              <w:bottom w:val="nil"/>
              <w:right w:val="single" w:color="auto" w:sz="4" w:space="0"/>
            </w:tcBorders>
            <w:shd w:val="clear" w:color="auto" w:fill="auto"/>
            <w:noWrap/>
            <w:vAlign w:val="bottom"/>
            <w:hideMark/>
          </w:tcPr>
          <w:p w:rsidRPr="00FF6108" w:rsidR="006073FE" w:rsidP="006073FE" w:rsidRDefault="00C45BD2" w14:paraId="521EE4F6" w14:textId="132A8225">
            <w:pPr>
              <w:spacing w:after="0" w:line="240" w:lineRule="auto"/>
              <w:jc w:val="right"/>
              <w:rPr>
                <w:rFonts w:eastAsia="Times New Roman" w:cs="Arial"/>
                <w:b/>
                <w:color w:val="000000"/>
                <w:sz w:val="20"/>
                <w:szCs w:val="20"/>
                <w:lang w:eastAsia="en-GB"/>
              </w:rPr>
            </w:pPr>
            <w:r w:rsidRPr="00FF6108">
              <w:rPr>
                <w:rFonts w:eastAsia="Times New Roman" w:cs="Arial"/>
                <w:b/>
                <w:color w:val="000000"/>
                <w:sz w:val="20"/>
                <w:szCs w:val="20"/>
                <w:lang w:eastAsia="en-GB"/>
              </w:rPr>
              <w:t>(</w:t>
            </w:r>
            <w:r w:rsidRPr="00FF6108" w:rsidR="00FF6108">
              <w:rPr>
                <w:rFonts w:eastAsia="Times New Roman" w:cs="Arial"/>
                <w:b/>
                <w:color w:val="000000"/>
                <w:sz w:val="20"/>
                <w:szCs w:val="20"/>
                <w:lang w:eastAsia="en-GB"/>
              </w:rPr>
              <w:t>0.52</w:t>
            </w:r>
            <w:r w:rsidRPr="00FF6108" w:rsidR="006073FE">
              <w:rPr>
                <w:rFonts w:eastAsia="Times New Roman" w:cs="Arial"/>
                <w:b/>
                <w:color w:val="000000"/>
                <w:sz w:val="20"/>
                <w:szCs w:val="20"/>
                <w:lang w:eastAsia="en-GB"/>
              </w:rPr>
              <w:t>)</w:t>
            </w:r>
          </w:p>
        </w:tc>
        <w:tc>
          <w:tcPr>
            <w:tcW w:w="1843" w:type="dxa"/>
            <w:tcBorders>
              <w:top w:val="single" w:color="auto" w:sz="4" w:space="0"/>
              <w:left w:val="nil"/>
              <w:bottom w:val="nil"/>
              <w:right w:val="single" w:color="auto" w:sz="4" w:space="0"/>
            </w:tcBorders>
            <w:shd w:val="clear" w:color="auto" w:fill="auto"/>
            <w:noWrap/>
            <w:vAlign w:val="bottom"/>
          </w:tcPr>
          <w:p w:rsidRPr="00FF6108" w:rsidR="006073FE" w:rsidP="00FD5584" w:rsidRDefault="001032AA" w14:paraId="064298EC" w14:textId="6D913FF9">
            <w:pPr>
              <w:spacing w:after="0" w:line="240" w:lineRule="auto"/>
              <w:jc w:val="right"/>
              <w:rPr>
                <w:rFonts w:eastAsia="Times New Roman" w:cs="Arial"/>
                <w:b/>
                <w:color w:val="000000"/>
                <w:sz w:val="20"/>
                <w:szCs w:val="20"/>
                <w:lang w:eastAsia="en-GB"/>
              </w:rPr>
            </w:pPr>
            <w:r w:rsidRPr="00FF6108">
              <w:rPr>
                <w:rFonts w:eastAsia="Times New Roman" w:cs="Arial"/>
                <w:b/>
                <w:color w:val="000000"/>
                <w:sz w:val="20"/>
                <w:szCs w:val="20"/>
                <w:lang w:eastAsia="en-GB"/>
              </w:rPr>
              <w:t xml:space="preserve">      </w:t>
            </w:r>
            <w:r w:rsidRPr="00FF6108" w:rsidR="00C45BD2">
              <w:rPr>
                <w:rFonts w:eastAsia="Times New Roman" w:cs="Arial"/>
                <w:b/>
                <w:color w:val="000000"/>
                <w:sz w:val="20"/>
                <w:szCs w:val="20"/>
                <w:lang w:eastAsia="en-GB"/>
              </w:rPr>
              <w:t>(</w:t>
            </w:r>
            <w:r w:rsidRPr="00FF6108" w:rsidR="00FF6108">
              <w:rPr>
                <w:rFonts w:eastAsia="Times New Roman" w:cs="Arial"/>
                <w:b/>
                <w:color w:val="000000"/>
                <w:sz w:val="20"/>
                <w:szCs w:val="20"/>
                <w:lang w:eastAsia="en-GB"/>
              </w:rPr>
              <w:t>3.48</w:t>
            </w:r>
            <w:r w:rsidRPr="00FF6108" w:rsidR="00FD5584">
              <w:rPr>
                <w:rFonts w:eastAsia="Times New Roman" w:cs="Arial"/>
                <w:b/>
                <w:color w:val="000000"/>
                <w:sz w:val="20"/>
                <w:szCs w:val="20"/>
                <w:lang w:eastAsia="en-GB"/>
              </w:rPr>
              <w:t>)</w:t>
            </w:r>
            <w:r w:rsidRPr="00FF6108">
              <w:rPr>
                <w:rFonts w:eastAsia="Times New Roman" w:cs="Arial"/>
                <w:b/>
                <w:color w:val="000000"/>
                <w:sz w:val="20"/>
                <w:szCs w:val="20"/>
                <w:lang w:eastAsia="en-GB"/>
              </w:rPr>
              <w:t xml:space="preserve">       </w:t>
            </w:r>
          </w:p>
        </w:tc>
      </w:tr>
      <w:tr w:rsidRPr="00614894" w:rsidR="006073FE" w:rsidTr="00480191" w14:paraId="5B5194F3" w14:textId="77777777">
        <w:trPr>
          <w:trHeight w:val="300"/>
        </w:trPr>
        <w:tc>
          <w:tcPr>
            <w:tcW w:w="4962" w:type="dxa"/>
            <w:tcBorders>
              <w:top w:val="nil"/>
              <w:left w:val="single" w:color="auto" w:sz="4" w:space="0"/>
              <w:bottom w:val="nil"/>
              <w:right w:val="nil"/>
            </w:tcBorders>
            <w:shd w:val="clear" w:color="auto" w:fill="auto"/>
            <w:noWrap/>
            <w:vAlign w:val="bottom"/>
            <w:hideMark/>
          </w:tcPr>
          <w:p w:rsidRPr="00FF6108" w:rsidR="006073FE" w:rsidP="006073FE" w:rsidRDefault="006073FE" w14:paraId="1ABAAC7B" w14:textId="77777777">
            <w:pPr>
              <w:spacing w:after="0" w:line="240" w:lineRule="auto"/>
              <w:rPr>
                <w:rFonts w:eastAsia="Times New Roman" w:cs="Arial"/>
                <w:color w:val="000000"/>
                <w:sz w:val="20"/>
                <w:szCs w:val="20"/>
                <w:lang w:eastAsia="en-GB"/>
              </w:rPr>
            </w:pPr>
            <w:r w:rsidRPr="00FF6108">
              <w:rPr>
                <w:rFonts w:eastAsia="Times New Roman" w:cs="Arial"/>
                <w:color w:val="000000"/>
                <w:sz w:val="20"/>
                <w:szCs w:val="20"/>
                <w:lang w:eastAsia="en-GB"/>
              </w:rPr>
              <w:t>Unrecognised Asset</w:t>
            </w:r>
          </w:p>
        </w:tc>
        <w:tc>
          <w:tcPr>
            <w:tcW w:w="1842" w:type="dxa"/>
            <w:tcBorders>
              <w:top w:val="nil"/>
              <w:left w:val="single" w:color="auto" w:sz="4" w:space="0"/>
              <w:bottom w:val="nil"/>
              <w:right w:val="single" w:color="auto" w:sz="4" w:space="0"/>
            </w:tcBorders>
            <w:shd w:val="clear" w:color="auto" w:fill="auto"/>
            <w:noWrap/>
            <w:vAlign w:val="bottom"/>
            <w:hideMark/>
          </w:tcPr>
          <w:p w:rsidRPr="00FF6108" w:rsidR="006073FE" w:rsidP="006073FE" w:rsidRDefault="00DF0B46" w14:paraId="0677B0BF" w14:textId="329340D9">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0.00</w:t>
            </w:r>
          </w:p>
        </w:tc>
        <w:tc>
          <w:tcPr>
            <w:tcW w:w="1843" w:type="dxa"/>
            <w:tcBorders>
              <w:top w:val="nil"/>
              <w:left w:val="nil"/>
              <w:bottom w:val="nil"/>
              <w:right w:val="single" w:color="auto" w:sz="4" w:space="0"/>
            </w:tcBorders>
            <w:shd w:val="clear" w:color="auto" w:fill="auto"/>
            <w:noWrap/>
            <w:vAlign w:val="bottom"/>
          </w:tcPr>
          <w:p w:rsidRPr="00FF6108" w:rsidR="006073FE" w:rsidP="00FD5584" w:rsidRDefault="001032AA" w14:paraId="38C43C7F" w14:textId="27A0F102">
            <w:pPr>
              <w:spacing w:after="0" w:line="240" w:lineRule="auto"/>
              <w:jc w:val="right"/>
              <w:rPr>
                <w:rFonts w:eastAsia="Times New Roman" w:cs="Arial"/>
                <w:color w:val="000000"/>
                <w:sz w:val="20"/>
                <w:szCs w:val="20"/>
                <w:lang w:eastAsia="en-GB"/>
              </w:rPr>
            </w:pPr>
            <w:r w:rsidRPr="00FF6108">
              <w:rPr>
                <w:rFonts w:eastAsia="Times New Roman" w:cs="Arial"/>
                <w:color w:val="000000"/>
                <w:sz w:val="20"/>
                <w:szCs w:val="20"/>
                <w:lang w:eastAsia="en-GB"/>
              </w:rPr>
              <w:t xml:space="preserve">          </w:t>
            </w:r>
            <w:r w:rsidRPr="00FF6108" w:rsidR="00FD5584">
              <w:rPr>
                <w:rFonts w:eastAsia="Times New Roman" w:cs="Arial"/>
                <w:color w:val="000000"/>
                <w:sz w:val="20"/>
                <w:szCs w:val="20"/>
                <w:lang w:eastAsia="en-GB"/>
              </w:rPr>
              <w:t>0.00</w:t>
            </w:r>
            <w:r w:rsidRPr="00FF6108">
              <w:rPr>
                <w:rFonts w:eastAsia="Times New Roman" w:cs="Arial"/>
                <w:color w:val="000000"/>
                <w:sz w:val="20"/>
                <w:szCs w:val="20"/>
                <w:lang w:eastAsia="en-GB"/>
              </w:rPr>
              <w:t xml:space="preserve">  </w:t>
            </w:r>
          </w:p>
        </w:tc>
      </w:tr>
      <w:tr w:rsidRPr="00614894" w:rsidR="006073FE" w:rsidTr="00AE4F97" w14:paraId="1169F08F" w14:textId="77777777">
        <w:trPr>
          <w:trHeight w:val="300"/>
        </w:trPr>
        <w:tc>
          <w:tcPr>
            <w:tcW w:w="4962"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FF6108" w:rsidR="006073FE" w:rsidP="006073FE" w:rsidRDefault="00B53CD9" w14:paraId="63CC0CAF" w14:textId="77777777">
            <w:pPr>
              <w:spacing w:after="0" w:line="240" w:lineRule="auto"/>
              <w:rPr>
                <w:rFonts w:eastAsia="Times New Roman" w:cs="Arial"/>
                <w:b/>
                <w:bCs/>
                <w:color w:val="000000"/>
                <w:sz w:val="20"/>
                <w:szCs w:val="20"/>
                <w:lang w:eastAsia="en-GB"/>
              </w:rPr>
            </w:pPr>
            <w:r w:rsidRPr="00FF6108">
              <w:rPr>
                <w:rFonts w:eastAsia="Times New Roman" w:cs="Arial"/>
                <w:b/>
                <w:bCs/>
                <w:color w:val="000000"/>
                <w:sz w:val="20"/>
                <w:szCs w:val="20"/>
                <w:lang w:eastAsia="en-GB"/>
              </w:rPr>
              <w:t>(</w:t>
            </w:r>
            <w:r w:rsidRPr="00FF6108" w:rsidR="006073FE">
              <w:rPr>
                <w:rFonts w:eastAsia="Times New Roman" w:cs="Arial"/>
                <w:b/>
                <w:bCs/>
                <w:color w:val="000000"/>
                <w:sz w:val="20"/>
                <w:szCs w:val="20"/>
                <w:lang w:eastAsia="en-GB"/>
              </w:rPr>
              <w:t>Liability) Recognised on the Balance Sheet</w:t>
            </w:r>
          </w:p>
        </w:tc>
        <w:tc>
          <w:tcPr>
            <w:tcW w:w="1842"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FF6108" w:rsidR="006073FE" w:rsidP="006073FE" w:rsidRDefault="00C45BD2" w14:paraId="260F90AF" w14:textId="0F906E02">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w:t>
            </w:r>
            <w:r w:rsidRPr="00FF6108" w:rsidR="00FF6108">
              <w:rPr>
                <w:rFonts w:eastAsia="Times New Roman" w:cs="Arial"/>
                <w:b/>
                <w:bCs/>
                <w:color w:val="000000"/>
                <w:sz w:val="20"/>
                <w:szCs w:val="20"/>
                <w:lang w:eastAsia="en-GB"/>
              </w:rPr>
              <w:t>0.52</w:t>
            </w:r>
            <w:r w:rsidRPr="00FF6108" w:rsidR="006073FE">
              <w:rPr>
                <w:rFonts w:eastAsia="Times New Roman" w:cs="Arial"/>
                <w:b/>
                <w:bCs/>
                <w:color w:val="000000"/>
                <w:sz w:val="20"/>
                <w:szCs w:val="20"/>
                <w:lang w:eastAsia="en-GB"/>
              </w:rPr>
              <w:t>)</w:t>
            </w:r>
          </w:p>
        </w:tc>
        <w:tc>
          <w:tcPr>
            <w:tcW w:w="1843"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FF6108" w:rsidR="006073FE" w:rsidP="00FD5584" w:rsidRDefault="001032AA" w14:paraId="3E2E4DC2" w14:textId="44190D96">
            <w:pPr>
              <w:spacing w:after="0" w:line="240" w:lineRule="auto"/>
              <w:jc w:val="right"/>
              <w:rPr>
                <w:rFonts w:eastAsia="Times New Roman" w:cs="Arial"/>
                <w:b/>
                <w:bCs/>
                <w:color w:val="000000"/>
                <w:sz w:val="20"/>
                <w:szCs w:val="20"/>
                <w:lang w:eastAsia="en-GB"/>
              </w:rPr>
            </w:pPr>
            <w:r w:rsidRPr="00FF6108">
              <w:rPr>
                <w:rFonts w:eastAsia="Times New Roman" w:cs="Arial"/>
                <w:b/>
                <w:bCs/>
                <w:color w:val="000000"/>
                <w:sz w:val="20"/>
                <w:szCs w:val="20"/>
                <w:lang w:eastAsia="en-GB"/>
              </w:rPr>
              <w:t xml:space="preserve">               </w:t>
            </w:r>
            <w:r w:rsidRPr="00FF6108" w:rsidR="00C45BD2">
              <w:rPr>
                <w:rFonts w:eastAsia="Times New Roman" w:cs="Arial"/>
                <w:b/>
                <w:bCs/>
                <w:color w:val="000000"/>
                <w:sz w:val="20"/>
                <w:szCs w:val="20"/>
                <w:lang w:eastAsia="en-GB"/>
              </w:rPr>
              <w:t>(</w:t>
            </w:r>
            <w:r w:rsidRPr="00FF6108" w:rsidR="00FF6108">
              <w:rPr>
                <w:rFonts w:eastAsia="Times New Roman" w:cs="Arial"/>
                <w:b/>
                <w:bCs/>
                <w:color w:val="000000"/>
                <w:sz w:val="20"/>
                <w:szCs w:val="20"/>
                <w:lang w:eastAsia="en-GB"/>
              </w:rPr>
              <w:t>3.48</w:t>
            </w:r>
            <w:r w:rsidRPr="00FF6108" w:rsidR="00FD5584">
              <w:rPr>
                <w:rFonts w:eastAsia="Times New Roman" w:cs="Arial"/>
                <w:b/>
                <w:bCs/>
                <w:color w:val="000000"/>
                <w:sz w:val="20"/>
                <w:szCs w:val="20"/>
                <w:lang w:eastAsia="en-GB"/>
              </w:rPr>
              <w:t>)</w:t>
            </w:r>
          </w:p>
        </w:tc>
      </w:tr>
    </w:tbl>
    <w:p w:rsidRPr="00614894" w:rsidR="006073FE" w:rsidP="00803BC5" w:rsidRDefault="006073FE" w14:paraId="283E52B3" w14:textId="77777777">
      <w:pPr>
        <w:pStyle w:val="ListParagraph"/>
        <w:ind w:left="1080"/>
        <w:jc w:val="both"/>
        <w:rPr>
          <w:rFonts w:cs="Arial"/>
          <w:highlight w:val="yellow"/>
        </w:rPr>
      </w:pPr>
    </w:p>
    <w:p w:rsidRPr="00FF6108" w:rsidR="006073FE" w:rsidP="006B6507" w:rsidRDefault="006073FE" w14:paraId="79F77211" w14:textId="77777777">
      <w:pPr>
        <w:pStyle w:val="ListParagraph"/>
        <w:ind w:left="709"/>
        <w:jc w:val="both"/>
        <w:rPr>
          <w:rFonts w:cs="Arial"/>
        </w:rPr>
      </w:pPr>
      <w:r w:rsidRPr="00FF6108">
        <w:rPr>
          <w:rFonts w:cs="Arial"/>
        </w:rPr>
        <w:t>The split of the defined benefit obligation at the last valuation date between the various categories of members was as follows:</w:t>
      </w:r>
    </w:p>
    <w:p w:rsidRPr="00FF6108" w:rsidR="00987ED3" w:rsidP="006B6507" w:rsidRDefault="00987ED3" w14:paraId="24DFFC99" w14:textId="77777777">
      <w:pPr>
        <w:pStyle w:val="ListParagraph"/>
        <w:ind w:left="709"/>
        <w:jc w:val="both"/>
        <w:rPr>
          <w:rFonts w:cs="Arial"/>
        </w:rPr>
      </w:pPr>
    </w:p>
    <w:p w:rsidRPr="00FF6108" w:rsidR="006073FE" w:rsidP="006B6507" w:rsidRDefault="006073FE" w14:paraId="3FEA4E54" w14:textId="3B839B3A">
      <w:pPr>
        <w:pStyle w:val="ListParagraph"/>
        <w:ind w:left="709"/>
        <w:jc w:val="both"/>
        <w:rPr>
          <w:rFonts w:cs="Arial"/>
        </w:rPr>
      </w:pPr>
      <w:r w:rsidRPr="00FF6108">
        <w:rPr>
          <w:rFonts w:cs="Arial"/>
        </w:rPr>
        <w:t>Active Members</w:t>
      </w:r>
      <w:r w:rsidRPr="00FF6108" w:rsidR="0065421D">
        <w:rPr>
          <w:rFonts w:cs="Arial"/>
        </w:rPr>
        <w:t xml:space="preserve">            </w:t>
      </w:r>
      <w:r w:rsidRPr="00FF6108" w:rsidR="001032AA">
        <w:rPr>
          <w:rFonts w:cs="Arial"/>
        </w:rPr>
        <w:t xml:space="preserve">  </w:t>
      </w:r>
      <w:r w:rsidRPr="00FF6108" w:rsidR="0065421D">
        <w:rPr>
          <w:rFonts w:cs="Arial"/>
        </w:rPr>
        <w:t xml:space="preserve"> </w:t>
      </w:r>
      <w:r w:rsidRPr="00FF6108" w:rsidR="00FF6108">
        <w:rPr>
          <w:rFonts w:cs="Arial"/>
        </w:rPr>
        <w:t>70</w:t>
      </w:r>
      <w:r w:rsidRPr="00FF6108" w:rsidR="0065421D">
        <w:rPr>
          <w:rFonts w:cs="Arial"/>
        </w:rPr>
        <w:t>%</w:t>
      </w:r>
    </w:p>
    <w:p w:rsidRPr="00FF6108" w:rsidR="006073FE" w:rsidP="006B6507" w:rsidRDefault="006073FE" w14:paraId="1ACBB0B4" w14:textId="4C31C2A5">
      <w:pPr>
        <w:pStyle w:val="ListParagraph"/>
        <w:ind w:left="709"/>
        <w:jc w:val="both"/>
        <w:rPr>
          <w:rFonts w:cs="Arial"/>
          <w:b/>
        </w:rPr>
      </w:pPr>
      <w:r w:rsidRPr="00FF6108">
        <w:rPr>
          <w:rFonts w:cs="Arial"/>
        </w:rPr>
        <w:t>Deferred Pensioners</w:t>
      </w:r>
      <w:r w:rsidRPr="00FF6108" w:rsidR="0065421D">
        <w:rPr>
          <w:rFonts w:cs="Arial"/>
        </w:rPr>
        <w:t xml:space="preserve">      </w:t>
      </w:r>
      <w:r w:rsidRPr="00FF6108" w:rsidR="00025917">
        <w:rPr>
          <w:rFonts w:cs="Arial"/>
        </w:rPr>
        <w:t xml:space="preserve">  </w:t>
      </w:r>
      <w:r w:rsidRPr="00FF6108" w:rsidR="00FF6108">
        <w:rPr>
          <w:rFonts w:cs="Arial"/>
        </w:rPr>
        <w:t>15</w:t>
      </w:r>
      <w:r w:rsidRPr="00FF6108" w:rsidR="0065421D">
        <w:rPr>
          <w:rFonts w:cs="Arial"/>
        </w:rPr>
        <w:t>%</w:t>
      </w:r>
    </w:p>
    <w:p w:rsidRPr="00FF6108" w:rsidR="006073FE" w:rsidP="006B6507" w:rsidRDefault="006073FE" w14:paraId="1346A81C" w14:textId="2D8965BE">
      <w:pPr>
        <w:pStyle w:val="ListParagraph"/>
        <w:ind w:left="709"/>
        <w:jc w:val="both"/>
        <w:rPr>
          <w:rFonts w:cs="Arial"/>
        </w:rPr>
      </w:pPr>
      <w:r w:rsidRPr="00FF6108">
        <w:rPr>
          <w:rFonts w:cs="Arial"/>
        </w:rPr>
        <w:t>Pensioners</w:t>
      </w:r>
      <w:r w:rsidRPr="00FF6108" w:rsidR="0065421D">
        <w:rPr>
          <w:rFonts w:cs="Arial"/>
        </w:rPr>
        <w:t xml:space="preserve">                     </w:t>
      </w:r>
      <w:r w:rsidRPr="00FF6108" w:rsidR="00025917">
        <w:rPr>
          <w:rFonts w:cs="Arial"/>
        </w:rPr>
        <w:t xml:space="preserve">  </w:t>
      </w:r>
      <w:r w:rsidRPr="00FF6108" w:rsidR="00FF6108">
        <w:rPr>
          <w:rFonts w:cs="Arial"/>
        </w:rPr>
        <w:t>15</w:t>
      </w:r>
      <w:r w:rsidRPr="00FF6108" w:rsidR="0065421D">
        <w:rPr>
          <w:rFonts w:cs="Arial"/>
        </w:rPr>
        <w:t>%</w:t>
      </w:r>
    </w:p>
    <w:p w:rsidRPr="00B83D85" w:rsidR="006073FE" w:rsidP="006B6507" w:rsidRDefault="006073FE" w14:paraId="18ABEEED" w14:textId="77777777">
      <w:pPr>
        <w:pStyle w:val="ListParagraph"/>
        <w:ind w:left="709"/>
        <w:jc w:val="both"/>
        <w:rPr>
          <w:rFonts w:cs="Arial"/>
          <w:sz w:val="16"/>
          <w:szCs w:val="16"/>
        </w:rPr>
      </w:pPr>
    </w:p>
    <w:p w:rsidRPr="00614894" w:rsidR="00AB3942" w:rsidP="006B6507" w:rsidRDefault="006073FE" w14:paraId="16F9A8C8" w14:textId="39D426B2">
      <w:pPr>
        <w:pStyle w:val="ListParagraph"/>
        <w:ind w:left="709"/>
        <w:jc w:val="both"/>
        <w:rPr>
          <w:rFonts w:cs="Arial"/>
          <w:highlight w:val="yellow"/>
        </w:rPr>
      </w:pPr>
      <w:r w:rsidRPr="00B83D85">
        <w:rPr>
          <w:rFonts w:cs="Arial"/>
        </w:rPr>
        <w:t xml:space="preserve">Employers </w:t>
      </w:r>
      <w:r w:rsidRPr="00B83D85" w:rsidR="00B83D85">
        <w:rPr>
          <w:rStyle w:val="normaltextrun"/>
          <w:rFonts w:cs="Arial"/>
          <w:color w:val="000000"/>
          <w:shd w:val="clear" w:color="auto" w:fill="FFFFFF"/>
        </w:rPr>
        <w:t>who</w:t>
      </w:r>
      <w:r w:rsidR="00B83D85">
        <w:rPr>
          <w:rStyle w:val="normaltextrun"/>
          <w:rFonts w:cs="Arial"/>
          <w:color w:val="000000"/>
          <w:shd w:val="clear" w:color="auto" w:fill="FFFFFF"/>
        </w:rPr>
        <w:t xml:space="preserve"> leave the Fund (or their guarantor) may have to make an exit payment to meet any shortfall in assets against their pension liabilities. If the employer (or guarantor) is not able to meet this exit payment the liability may in certain circumstances fall on other employers in the Fund. Further the assets at exit in respect of ‘Orphan Liabilities’ may in retrospect not be sufficient to meet the liabilities. This risk may fall on other employers. ‘Orphan Liabilities’ are currently a small proportion of the overall liabilities in the Fund.</w:t>
      </w:r>
    </w:p>
    <w:p w:rsidRPr="00614894" w:rsidR="00EE02B7" w:rsidP="006B6507" w:rsidRDefault="00EE02B7" w14:paraId="02CCBA5B" w14:textId="77777777">
      <w:pPr>
        <w:pStyle w:val="ListParagraph"/>
        <w:ind w:left="709"/>
        <w:jc w:val="both"/>
        <w:rPr>
          <w:rFonts w:cs="Arial"/>
          <w:highlight w:val="yellow"/>
        </w:rPr>
      </w:pPr>
    </w:p>
    <w:p w:rsidRPr="00B83D85" w:rsidR="00EE02B7" w:rsidP="00EE02B7" w:rsidRDefault="00EE02B7" w14:paraId="0315E34B" w14:textId="77777777">
      <w:pPr>
        <w:pStyle w:val="Heading3"/>
      </w:pPr>
      <w:r w:rsidRPr="00B83D85">
        <w:t>Maturity Profile of the Defined Benefit Obligation</w:t>
      </w:r>
    </w:p>
    <w:p w:rsidRPr="00B83D85" w:rsidR="007C53B5" w:rsidP="00B83D85" w:rsidRDefault="00BE457C" w14:paraId="163C30F0" w14:textId="0FBE717F">
      <w:pPr>
        <w:pStyle w:val="ListParagraph"/>
        <w:ind w:left="709"/>
        <w:jc w:val="both"/>
        <w:rPr>
          <w:rFonts w:cs="Arial"/>
          <w:highlight w:val="yellow"/>
        </w:rPr>
      </w:pPr>
      <w:r w:rsidRPr="00E01F13">
        <w:rPr>
          <w:rFonts w:cs="Arial"/>
        </w:rPr>
        <w:t>The Employer</w:t>
      </w:r>
      <w:r w:rsidRPr="00E01F13" w:rsidR="00A54FDD">
        <w:rPr>
          <w:rFonts w:cs="Arial"/>
        </w:rPr>
        <w:t>’</w:t>
      </w:r>
      <w:r w:rsidRPr="00E01F13">
        <w:rPr>
          <w:rFonts w:cs="Arial"/>
        </w:rPr>
        <w:t>s regular contribution to the Fund for accounting period ended 31</w:t>
      </w:r>
      <w:r w:rsidRPr="00E01F13">
        <w:rPr>
          <w:rFonts w:cs="Arial"/>
          <w:vertAlign w:val="superscript"/>
        </w:rPr>
        <w:t>st</w:t>
      </w:r>
      <w:r w:rsidRPr="00E01F13" w:rsidR="003D68DB">
        <w:rPr>
          <w:rFonts w:cs="Arial"/>
        </w:rPr>
        <w:t xml:space="preserve"> March 202</w:t>
      </w:r>
      <w:r w:rsidR="002769D9">
        <w:rPr>
          <w:rFonts w:cs="Arial"/>
        </w:rPr>
        <w:t>4</w:t>
      </w:r>
      <w:r w:rsidRPr="00E01F13">
        <w:rPr>
          <w:rFonts w:cs="Arial"/>
        </w:rPr>
        <w:t xml:space="preserve"> are estimated to be £</w:t>
      </w:r>
      <w:r w:rsidRPr="00E01F13" w:rsidR="00E01F13">
        <w:rPr>
          <w:rFonts w:cs="Arial"/>
        </w:rPr>
        <w:t>0.29</w:t>
      </w:r>
      <w:r w:rsidRPr="00E01F13">
        <w:rPr>
          <w:rFonts w:cs="Arial"/>
        </w:rPr>
        <w:t>m, with</w:t>
      </w:r>
      <w:r w:rsidRPr="00B83D85">
        <w:rPr>
          <w:rFonts w:cs="Arial"/>
        </w:rPr>
        <w:t xml:space="preserve"> the duration of liabilities being 2</w:t>
      </w:r>
      <w:r w:rsidRPr="00B83D85" w:rsidR="00B83D85">
        <w:rPr>
          <w:rFonts w:cs="Arial"/>
        </w:rPr>
        <w:t>3.1</w:t>
      </w:r>
      <w:r w:rsidRPr="00B83D85">
        <w:rPr>
          <w:rFonts w:cs="Arial"/>
        </w:rPr>
        <w:t xml:space="preserve"> year</w:t>
      </w:r>
      <w:r w:rsidRPr="00B83D85" w:rsidR="00D2753F">
        <w:rPr>
          <w:rFonts w:cs="Arial"/>
        </w:rPr>
        <w:t>s</w:t>
      </w:r>
      <w:r w:rsidR="00B83D85">
        <w:rPr>
          <w:rFonts w:cs="Arial"/>
        </w:rPr>
        <w:t>.</w:t>
      </w:r>
    </w:p>
    <w:p w:rsidRPr="00614894" w:rsidR="007C53B5" w:rsidP="006B6507" w:rsidRDefault="007C53B5" w14:paraId="0C3028DE" w14:textId="44E93E2C">
      <w:pPr>
        <w:pStyle w:val="ListParagraph"/>
        <w:ind w:left="709"/>
        <w:jc w:val="both"/>
        <w:rPr>
          <w:rFonts w:cs="Arial"/>
          <w:highlight w:val="yellow"/>
        </w:rPr>
      </w:pPr>
    </w:p>
    <w:p w:rsidR="007C53B5" w:rsidP="006B6507" w:rsidRDefault="007C53B5" w14:paraId="4302EF43" w14:textId="28848EBF">
      <w:pPr>
        <w:pStyle w:val="ListParagraph"/>
        <w:ind w:left="709"/>
        <w:jc w:val="both"/>
        <w:rPr>
          <w:rFonts w:cs="Arial"/>
          <w:highlight w:val="yellow"/>
        </w:rPr>
      </w:pPr>
    </w:p>
    <w:p w:rsidR="00A2163C" w:rsidP="006B6507" w:rsidRDefault="00A2163C" w14:paraId="0065051D" w14:textId="3E81E734">
      <w:pPr>
        <w:pStyle w:val="ListParagraph"/>
        <w:ind w:left="709"/>
        <w:jc w:val="both"/>
        <w:rPr>
          <w:rFonts w:cs="Arial"/>
          <w:highlight w:val="yellow"/>
        </w:rPr>
      </w:pPr>
    </w:p>
    <w:p w:rsidR="00A2163C" w:rsidP="006B6507" w:rsidRDefault="00A2163C" w14:paraId="188F7C2D" w14:textId="539B9ABF">
      <w:pPr>
        <w:pStyle w:val="ListParagraph"/>
        <w:ind w:left="709"/>
        <w:jc w:val="both"/>
        <w:rPr>
          <w:rFonts w:cs="Arial"/>
          <w:highlight w:val="yellow"/>
        </w:rPr>
      </w:pPr>
    </w:p>
    <w:p w:rsidR="00A2163C" w:rsidP="006B6507" w:rsidRDefault="00A2163C" w14:paraId="138C6768" w14:textId="0C67C857">
      <w:pPr>
        <w:pStyle w:val="ListParagraph"/>
        <w:ind w:left="709"/>
        <w:jc w:val="both"/>
        <w:rPr>
          <w:rFonts w:cs="Arial"/>
          <w:highlight w:val="yellow"/>
        </w:rPr>
      </w:pPr>
    </w:p>
    <w:p w:rsidR="00A2163C" w:rsidP="006B6507" w:rsidRDefault="00A2163C" w14:paraId="047D76FE" w14:textId="5C4AA964">
      <w:pPr>
        <w:pStyle w:val="ListParagraph"/>
        <w:ind w:left="709"/>
        <w:jc w:val="both"/>
        <w:rPr>
          <w:rFonts w:cs="Arial"/>
          <w:highlight w:val="yellow"/>
        </w:rPr>
      </w:pPr>
    </w:p>
    <w:p w:rsidR="00A2163C" w:rsidP="006B6507" w:rsidRDefault="00A2163C" w14:paraId="3751473B" w14:textId="44267D79">
      <w:pPr>
        <w:pStyle w:val="ListParagraph"/>
        <w:ind w:left="709"/>
        <w:jc w:val="both"/>
        <w:rPr>
          <w:rFonts w:cs="Arial"/>
          <w:highlight w:val="yellow"/>
        </w:rPr>
      </w:pPr>
    </w:p>
    <w:p w:rsidR="00A2163C" w:rsidP="006B6507" w:rsidRDefault="00A2163C" w14:paraId="13A85909" w14:textId="3C6C6C16">
      <w:pPr>
        <w:pStyle w:val="ListParagraph"/>
        <w:ind w:left="709"/>
        <w:jc w:val="both"/>
        <w:rPr>
          <w:rFonts w:cs="Arial"/>
          <w:highlight w:val="yellow"/>
        </w:rPr>
      </w:pPr>
    </w:p>
    <w:p w:rsidR="00A2163C" w:rsidP="006B6507" w:rsidRDefault="00A2163C" w14:paraId="267B5C37" w14:textId="658D63C0">
      <w:pPr>
        <w:pStyle w:val="ListParagraph"/>
        <w:ind w:left="709"/>
        <w:jc w:val="both"/>
        <w:rPr>
          <w:rFonts w:cs="Arial"/>
          <w:highlight w:val="yellow"/>
        </w:rPr>
      </w:pPr>
    </w:p>
    <w:p w:rsidR="00A2163C" w:rsidP="006B6507" w:rsidRDefault="00A2163C" w14:paraId="7C38984F" w14:textId="22380D8E">
      <w:pPr>
        <w:pStyle w:val="ListParagraph"/>
        <w:ind w:left="709"/>
        <w:jc w:val="both"/>
        <w:rPr>
          <w:rFonts w:cs="Arial"/>
          <w:highlight w:val="yellow"/>
        </w:rPr>
      </w:pPr>
    </w:p>
    <w:p w:rsidR="00A2163C" w:rsidP="006B6507" w:rsidRDefault="00A2163C" w14:paraId="5B6CC7FE" w14:textId="77413915">
      <w:pPr>
        <w:pStyle w:val="ListParagraph"/>
        <w:ind w:left="709"/>
        <w:jc w:val="both"/>
        <w:rPr>
          <w:rFonts w:cs="Arial"/>
          <w:highlight w:val="yellow"/>
        </w:rPr>
      </w:pPr>
    </w:p>
    <w:p w:rsidR="00A2163C" w:rsidP="006B6507" w:rsidRDefault="00A2163C" w14:paraId="1C37C45B" w14:textId="227495ED">
      <w:pPr>
        <w:pStyle w:val="ListParagraph"/>
        <w:ind w:left="709"/>
        <w:jc w:val="both"/>
        <w:rPr>
          <w:rFonts w:cs="Arial"/>
          <w:highlight w:val="yellow"/>
        </w:rPr>
      </w:pPr>
    </w:p>
    <w:p w:rsidR="00A2163C" w:rsidP="006B6507" w:rsidRDefault="00A2163C" w14:paraId="6DA867C8" w14:textId="70A256D2">
      <w:pPr>
        <w:pStyle w:val="ListParagraph"/>
        <w:ind w:left="709"/>
        <w:jc w:val="both"/>
        <w:rPr>
          <w:rFonts w:cs="Arial"/>
          <w:highlight w:val="yellow"/>
        </w:rPr>
      </w:pPr>
    </w:p>
    <w:p w:rsidR="00A2163C" w:rsidP="006B6507" w:rsidRDefault="00A2163C" w14:paraId="1EE9972C" w14:textId="4F77C92B">
      <w:pPr>
        <w:pStyle w:val="ListParagraph"/>
        <w:ind w:left="709"/>
        <w:jc w:val="both"/>
        <w:rPr>
          <w:rFonts w:cs="Arial"/>
          <w:highlight w:val="yellow"/>
        </w:rPr>
      </w:pPr>
    </w:p>
    <w:p w:rsidR="006B4F79" w:rsidP="006B6507" w:rsidRDefault="006B4F79" w14:paraId="416D5063" w14:textId="19B1B0AC">
      <w:pPr>
        <w:pStyle w:val="ListParagraph"/>
        <w:ind w:left="709"/>
        <w:jc w:val="both"/>
        <w:rPr>
          <w:rFonts w:cs="Arial"/>
          <w:highlight w:val="yellow"/>
        </w:rPr>
      </w:pPr>
    </w:p>
    <w:p w:rsidR="006B4F79" w:rsidP="006B6507" w:rsidRDefault="006B4F79" w14:paraId="50D36DA2" w14:textId="77777777">
      <w:pPr>
        <w:pStyle w:val="ListParagraph"/>
        <w:ind w:left="709"/>
        <w:jc w:val="both"/>
        <w:rPr>
          <w:rFonts w:cs="Arial"/>
          <w:highlight w:val="yellow"/>
        </w:rPr>
      </w:pPr>
    </w:p>
    <w:p w:rsidRPr="00614894" w:rsidR="00A2163C" w:rsidP="006B6507" w:rsidRDefault="00A2163C" w14:paraId="361BD561" w14:textId="77777777">
      <w:pPr>
        <w:pStyle w:val="ListParagraph"/>
        <w:ind w:left="709"/>
        <w:jc w:val="both"/>
        <w:rPr>
          <w:rFonts w:cs="Arial"/>
          <w:highlight w:val="yellow"/>
        </w:rPr>
      </w:pPr>
    </w:p>
    <w:p w:rsidRPr="00DF0B46" w:rsidR="007D2EF8" w:rsidP="00CE3CBF" w:rsidRDefault="007D2EF8" w14:paraId="181F76E5" w14:textId="77777777">
      <w:pPr>
        <w:pStyle w:val="Heading3"/>
      </w:pPr>
      <w:r w:rsidRPr="00DF0B46">
        <w:lastRenderedPageBreak/>
        <w:t>Breakdown of Amounts Recognised in Surplus/Deficit on the Provision of Services and Other Comprehensive Income</w:t>
      </w:r>
    </w:p>
    <w:tbl>
      <w:tblPr>
        <w:tblW w:w="8812" w:type="dxa"/>
        <w:tblInd w:w="675" w:type="dxa"/>
        <w:tblLook w:val="04A0" w:firstRow="1" w:lastRow="0" w:firstColumn="1" w:lastColumn="0" w:noHBand="0" w:noVBand="1"/>
      </w:tblPr>
      <w:tblGrid>
        <w:gridCol w:w="5103"/>
        <w:gridCol w:w="1859"/>
        <w:gridCol w:w="1850"/>
      </w:tblGrid>
      <w:tr w:rsidRPr="00614894" w:rsidR="006B6507" w:rsidTr="00F117DD" w14:paraId="75AA4EBE" w14:textId="77777777">
        <w:trPr>
          <w:trHeight w:val="300"/>
        </w:trPr>
        <w:tc>
          <w:tcPr>
            <w:tcW w:w="5103" w:type="dxa"/>
            <w:tcBorders>
              <w:top w:val="single" w:color="auto" w:sz="4" w:space="0"/>
              <w:left w:val="single" w:color="auto" w:sz="4" w:space="0"/>
              <w:right w:val="nil"/>
            </w:tcBorders>
            <w:shd w:val="clear" w:color="auto" w:fill="DBE5F1" w:themeFill="accent1" w:themeFillTint="33"/>
            <w:noWrap/>
            <w:vAlign w:val="bottom"/>
            <w:hideMark/>
          </w:tcPr>
          <w:p w:rsidRPr="00DF0B46" w:rsidR="007D2EF8" w:rsidP="007D2EF8" w:rsidRDefault="007D2EF8" w14:paraId="0A20EDAF"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 </w:t>
            </w:r>
          </w:p>
        </w:tc>
        <w:tc>
          <w:tcPr>
            <w:tcW w:w="1859" w:type="dxa"/>
            <w:tcBorders>
              <w:top w:val="single" w:color="auto" w:sz="4" w:space="0"/>
              <w:left w:val="single" w:color="auto" w:sz="4" w:space="0"/>
              <w:right w:val="single" w:color="auto" w:sz="4" w:space="0"/>
            </w:tcBorders>
            <w:shd w:val="clear" w:color="auto" w:fill="DBE5F1" w:themeFill="accent1" w:themeFillTint="33"/>
            <w:noWrap/>
            <w:vAlign w:val="bottom"/>
            <w:hideMark/>
          </w:tcPr>
          <w:p w:rsidRPr="00DF0B46" w:rsidR="007D2EF8" w:rsidP="00962221" w:rsidRDefault="007D2EF8" w14:paraId="2C4B18C9" w14:textId="77777777">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Period Ended</w:t>
            </w:r>
          </w:p>
        </w:tc>
        <w:tc>
          <w:tcPr>
            <w:tcW w:w="1850" w:type="dxa"/>
            <w:tcBorders>
              <w:top w:val="single" w:color="auto" w:sz="4" w:space="0"/>
              <w:left w:val="nil"/>
              <w:right w:val="single" w:color="auto" w:sz="4" w:space="0"/>
            </w:tcBorders>
            <w:shd w:val="clear" w:color="auto" w:fill="DBE5F1" w:themeFill="accent1" w:themeFillTint="33"/>
            <w:noWrap/>
            <w:vAlign w:val="bottom"/>
            <w:hideMark/>
          </w:tcPr>
          <w:p w:rsidRPr="007E46F5" w:rsidR="007D2EF8" w:rsidP="00962221" w:rsidRDefault="007D2EF8" w14:paraId="58029210" w14:textId="77777777">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Period Ended</w:t>
            </w:r>
          </w:p>
        </w:tc>
      </w:tr>
      <w:tr w:rsidRPr="00614894" w:rsidR="006B6507" w:rsidTr="00F117DD" w14:paraId="03A2AA11" w14:textId="77777777">
        <w:trPr>
          <w:trHeight w:val="300"/>
        </w:trPr>
        <w:tc>
          <w:tcPr>
            <w:tcW w:w="5103" w:type="dxa"/>
            <w:tcBorders>
              <w:top w:val="nil"/>
              <w:left w:val="single" w:color="auto" w:sz="4" w:space="0"/>
              <w:bottom w:val="single" w:color="auto" w:sz="4" w:space="0"/>
              <w:right w:val="nil"/>
            </w:tcBorders>
            <w:shd w:val="clear" w:color="auto" w:fill="DBE5F1" w:themeFill="accent1" w:themeFillTint="33"/>
            <w:noWrap/>
            <w:vAlign w:val="bottom"/>
            <w:hideMark/>
          </w:tcPr>
          <w:p w:rsidRPr="00DF0B46" w:rsidR="007D2EF8" w:rsidP="007D2EF8" w:rsidRDefault="007D2EF8" w14:paraId="219BD48C"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 </w:t>
            </w:r>
          </w:p>
        </w:tc>
        <w:tc>
          <w:tcPr>
            <w:tcW w:w="1859"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DF0B46" w:rsidR="007D2EF8" w:rsidP="00962221" w:rsidRDefault="00C45BD2" w14:paraId="7235CCB5" w14:textId="173C91D3">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31st March 202</w:t>
            </w:r>
            <w:r w:rsidRPr="00DF0B46" w:rsidR="00DF0B46">
              <w:rPr>
                <w:rFonts w:eastAsia="Times New Roman" w:cs="Arial"/>
                <w:b/>
                <w:bCs/>
                <w:color w:val="000000"/>
                <w:sz w:val="20"/>
                <w:szCs w:val="20"/>
                <w:lang w:eastAsia="en-GB"/>
              </w:rPr>
              <w:t>3</w:t>
            </w:r>
          </w:p>
        </w:tc>
        <w:tc>
          <w:tcPr>
            <w:tcW w:w="1850" w:type="dxa"/>
            <w:tcBorders>
              <w:top w:val="nil"/>
              <w:left w:val="nil"/>
              <w:bottom w:val="single" w:color="auto" w:sz="4" w:space="0"/>
              <w:right w:val="single" w:color="auto" w:sz="4" w:space="0"/>
            </w:tcBorders>
            <w:shd w:val="clear" w:color="auto" w:fill="DBE5F1" w:themeFill="accent1" w:themeFillTint="33"/>
            <w:noWrap/>
            <w:vAlign w:val="bottom"/>
            <w:hideMark/>
          </w:tcPr>
          <w:p w:rsidRPr="007E46F5" w:rsidR="007D2EF8" w:rsidP="00962221" w:rsidRDefault="00A67D90" w14:paraId="14FB3165" w14:textId="0D95D9E1">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31st March 20</w:t>
            </w:r>
            <w:r w:rsidRPr="007E46F5" w:rsidR="00C45BD2">
              <w:rPr>
                <w:rFonts w:eastAsia="Times New Roman" w:cs="Arial"/>
                <w:b/>
                <w:bCs/>
                <w:color w:val="000000"/>
                <w:sz w:val="20"/>
                <w:szCs w:val="20"/>
                <w:lang w:eastAsia="en-GB"/>
              </w:rPr>
              <w:t>2</w:t>
            </w:r>
            <w:r w:rsidRPr="007E46F5" w:rsidR="007E46F5">
              <w:rPr>
                <w:rFonts w:eastAsia="Times New Roman" w:cs="Arial"/>
                <w:b/>
                <w:bCs/>
                <w:color w:val="000000"/>
                <w:sz w:val="20"/>
                <w:szCs w:val="20"/>
                <w:lang w:eastAsia="en-GB"/>
              </w:rPr>
              <w:t>2</w:t>
            </w:r>
          </w:p>
        </w:tc>
      </w:tr>
      <w:tr w:rsidRPr="00614894" w:rsidR="00C00D9C" w:rsidTr="00D66B4C" w14:paraId="6C6F37C0" w14:textId="77777777">
        <w:trPr>
          <w:trHeight w:val="300"/>
        </w:trPr>
        <w:tc>
          <w:tcPr>
            <w:tcW w:w="5103" w:type="dxa"/>
            <w:tcBorders>
              <w:top w:val="single" w:color="auto" w:sz="4" w:space="0"/>
              <w:left w:val="single" w:color="auto" w:sz="4" w:space="0"/>
              <w:bottom w:val="nil"/>
              <w:right w:val="nil"/>
            </w:tcBorders>
            <w:shd w:val="clear" w:color="auto" w:fill="auto"/>
            <w:noWrap/>
            <w:vAlign w:val="bottom"/>
            <w:hideMark/>
          </w:tcPr>
          <w:p w:rsidRPr="00DF0B46" w:rsidR="00C00D9C" w:rsidP="007D2EF8" w:rsidRDefault="00C00D9C" w14:paraId="1262EE66"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Operating Cost</w:t>
            </w:r>
          </w:p>
        </w:tc>
        <w:tc>
          <w:tcPr>
            <w:tcW w:w="1859" w:type="dxa"/>
            <w:tcBorders>
              <w:top w:val="single" w:color="auto" w:sz="4" w:space="0"/>
              <w:left w:val="single" w:color="auto" w:sz="4" w:space="0"/>
              <w:bottom w:val="nil"/>
              <w:right w:val="single" w:color="auto" w:sz="4" w:space="0"/>
            </w:tcBorders>
            <w:shd w:val="clear" w:color="auto" w:fill="auto"/>
            <w:noWrap/>
            <w:vAlign w:val="bottom"/>
            <w:hideMark/>
          </w:tcPr>
          <w:p w:rsidRPr="00DF0B46" w:rsidR="00C00D9C" w:rsidP="008357EA" w:rsidRDefault="00C00D9C" w14:paraId="78607693" w14:textId="77777777">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£M</w:t>
            </w:r>
          </w:p>
        </w:tc>
        <w:tc>
          <w:tcPr>
            <w:tcW w:w="1850" w:type="dxa"/>
            <w:tcBorders>
              <w:top w:val="single" w:color="auto" w:sz="4" w:space="0"/>
              <w:left w:val="nil"/>
              <w:bottom w:val="nil"/>
              <w:right w:val="single" w:color="auto" w:sz="4" w:space="0"/>
            </w:tcBorders>
            <w:shd w:val="clear" w:color="auto" w:fill="auto"/>
            <w:noWrap/>
            <w:vAlign w:val="bottom"/>
            <w:hideMark/>
          </w:tcPr>
          <w:p w:rsidRPr="007E46F5" w:rsidR="00C00D9C" w:rsidP="008357EA" w:rsidRDefault="00C00D9C" w14:paraId="27B1D619" w14:textId="77777777">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£M</w:t>
            </w:r>
          </w:p>
        </w:tc>
      </w:tr>
      <w:tr w:rsidRPr="00614894" w:rsidR="00C00D9C" w:rsidTr="00480191" w14:paraId="7DE22AB9" w14:textId="77777777">
        <w:trPr>
          <w:trHeight w:val="300"/>
        </w:trPr>
        <w:tc>
          <w:tcPr>
            <w:tcW w:w="5103" w:type="dxa"/>
            <w:tcBorders>
              <w:top w:val="nil"/>
              <w:left w:val="single" w:color="auto" w:sz="4" w:space="0"/>
              <w:bottom w:val="nil"/>
              <w:right w:val="nil"/>
            </w:tcBorders>
            <w:shd w:val="clear" w:color="auto" w:fill="auto"/>
            <w:noWrap/>
            <w:vAlign w:val="bottom"/>
            <w:hideMark/>
          </w:tcPr>
          <w:p w:rsidRPr="00DF0B46" w:rsidR="00C00D9C" w:rsidP="007D2EF8" w:rsidRDefault="00C00D9C" w14:paraId="01BAA336"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Current Service Cost</w:t>
            </w:r>
          </w:p>
        </w:tc>
        <w:tc>
          <w:tcPr>
            <w:tcW w:w="1859" w:type="dxa"/>
            <w:tcBorders>
              <w:top w:val="nil"/>
              <w:left w:val="single" w:color="auto" w:sz="4" w:space="0"/>
              <w:bottom w:val="nil"/>
              <w:right w:val="single" w:color="auto" w:sz="4" w:space="0"/>
            </w:tcBorders>
            <w:shd w:val="clear" w:color="auto" w:fill="auto"/>
            <w:noWrap/>
            <w:vAlign w:val="bottom"/>
            <w:hideMark/>
          </w:tcPr>
          <w:p w:rsidRPr="00DF0B46" w:rsidR="00C00D9C" w:rsidP="006B6507" w:rsidRDefault="00DF0B46" w14:paraId="7013F5CD" w14:textId="0F931E9E">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0.61</w:t>
            </w:r>
          </w:p>
        </w:tc>
        <w:tc>
          <w:tcPr>
            <w:tcW w:w="1850" w:type="dxa"/>
            <w:tcBorders>
              <w:top w:val="nil"/>
              <w:left w:val="nil"/>
              <w:bottom w:val="nil"/>
              <w:right w:val="single" w:color="auto" w:sz="4" w:space="0"/>
            </w:tcBorders>
            <w:shd w:val="clear" w:color="auto" w:fill="auto"/>
            <w:noWrap/>
            <w:vAlign w:val="bottom"/>
          </w:tcPr>
          <w:p w:rsidRPr="007E46F5" w:rsidR="00C00D9C" w:rsidP="00025917" w:rsidRDefault="007E46F5" w14:paraId="48C9B99A" w14:textId="1F541932">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0.66</w:t>
            </w:r>
          </w:p>
        </w:tc>
      </w:tr>
      <w:tr w:rsidRPr="00614894" w:rsidR="00C00D9C" w:rsidTr="00480191" w14:paraId="362AC0E9" w14:textId="77777777">
        <w:trPr>
          <w:trHeight w:val="300"/>
        </w:trPr>
        <w:tc>
          <w:tcPr>
            <w:tcW w:w="5103" w:type="dxa"/>
            <w:tcBorders>
              <w:top w:val="nil"/>
              <w:left w:val="single" w:color="auto" w:sz="4" w:space="0"/>
              <w:bottom w:val="nil"/>
              <w:right w:val="nil"/>
            </w:tcBorders>
            <w:shd w:val="clear" w:color="auto" w:fill="auto"/>
            <w:noWrap/>
            <w:vAlign w:val="bottom"/>
            <w:hideMark/>
          </w:tcPr>
          <w:p w:rsidRPr="00DF0B46" w:rsidR="00C00D9C" w:rsidP="007D2EF8" w:rsidRDefault="00C00D9C" w14:paraId="688DFCFB"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Past Service Cost (including curtailments)</w:t>
            </w:r>
          </w:p>
        </w:tc>
        <w:tc>
          <w:tcPr>
            <w:tcW w:w="1859" w:type="dxa"/>
            <w:tcBorders>
              <w:top w:val="nil"/>
              <w:left w:val="single" w:color="auto" w:sz="4" w:space="0"/>
              <w:bottom w:val="nil"/>
              <w:right w:val="single" w:color="auto" w:sz="4" w:space="0"/>
            </w:tcBorders>
            <w:shd w:val="clear" w:color="auto" w:fill="auto"/>
            <w:noWrap/>
            <w:vAlign w:val="bottom"/>
            <w:hideMark/>
          </w:tcPr>
          <w:p w:rsidRPr="00DF0B46" w:rsidR="00C00D9C" w:rsidP="006B6507" w:rsidRDefault="00DF0B46" w14:paraId="2A2F1A1A" w14:textId="3649103E">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0.00</w:t>
            </w:r>
          </w:p>
        </w:tc>
        <w:tc>
          <w:tcPr>
            <w:tcW w:w="1850" w:type="dxa"/>
            <w:tcBorders>
              <w:top w:val="nil"/>
              <w:left w:val="nil"/>
              <w:bottom w:val="nil"/>
              <w:right w:val="single" w:color="auto" w:sz="4" w:space="0"/>
            </w:tcBorders>
            <w:shd w:val="clear" w:color="auto" w:fill="auto"/>
            <w:noWrap/>
            <w:vAlign w:val="bottom"/>
          </w:tcPr>
          <w:p w:rsidRPr="007E46F5" w:rsidR="00C00D9C" w:rsidP="00025917" w:rsidRDefault="00F117DD" w14:paraId="6C092704" w14:textId="2F442A8F">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3D68DB">
              <w:rPr>
                <w:rFonts w:eastAsia="Times New Roman" w:cs="Arial"/>
                <w:color w:val="000000"/>
                <w:sz w:val="20"/>
                <w:szCs w:val="20"/>
                <w:lang w:eastAsia="en-GB"/>
              </w:rPr>
              <w:t>.00</w:t>
            </w:r>
          </w:p>
        </w:tc>
      </w:tr>
      <w:tr w:rsidRPr="00614894" w:rsidR="00C00D9C" w:rsidTr="00480191" w14:paraId="6F40B39B" w14:textId="77777777">
        <w:trPr>
          <w:trHeight w:val="300"/>
        </w:trPr>
        <w:tc>
          <w:tcPr>
            <w:tcW w:w="5103" w:type="dxa"/>
            <w:tcBorders>
              <w:top w:val="nil"/>
              <w:left w:val="single" w:color="auto" w:sz="4" w:space="0"/>
              <w:bottom w:val="nil"/>
              <w:right w:val="nil"/>
            </w:tcBorders>
            <w:shd w:val="clear" w:color="auto" w:fill="auto"/>
            <w:noWrap/>
            <w:vAlign w:val="bottom"/>
            <w:hideMark/>
          </w:tcPr>
          <w:p w:rsidRPr="00DF0B46" w:rsidR="00C00D9C" w:rsidP="007D2EF8" w:rsidRDefault="00C00D9C" w14:paraId="2137793F"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Settlement Cost</w:t>
            </w:r>
          </w:p>
        </w:tc>
        <w:tc>
          <w:tcPr>
            <w:tcW w:w="1859" w:type="dxa"/>
            <w:tcBorders>
              <w:top w:val="nil"/>
              <w:left w:val="single" w:color="auto" w:sz="4" w:space="0"/>
              <w:bottom w:val="nil"/>
              <w:right w:val="single" w:color="auto" w:sz="4" w:space="0"/>
            </w:tcBorders>
            <w:shd w:val="clear" w:color="auto" w:fill="auto"/>
            <w:noWrap/>
            <w:vAlign w:val="bottom"/>
            <w:hideMark/>
          </w:tcPr>
          <w:p w:rsidRPr="00DF0B46" w:rsidR="00C00D9C" w:rsidP="006B6507" w:rsidRDefault="00C00D9C" w14:paraId="68332E1E" w14:textId="0B5687D7">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 xml:space="preserve">                    </w:t>
            </w:r>
            <w:r w:rsidRPr="00DF0B46" w:rsidR="00DF0B46">
              <w:rPr>
                <w:rFonts w:eastAsia="Times New Roman" w:cs="Arial"/>
                <w:color w:val="000000"/>
                <w:sz w:val="20"/>
                <w:szCs w:val="20"/>
                <w:lang w:eastAsia="en-GB"/>
              </w:rPr>
              <w:t>0.00</w:t>
            </w:r>
          </w:p>
        </w:tc>
        <w:tc>
          <w:tcPr>
            <w:tcW w:w="1850" w:type="dxa"/>
            <w:tcBorders>
              <w:top w:val="nil"/>
              <w:left w:val="nil"/>
              <w:bottom w:val="nil"/>
              <w:right w:val="single" w:color="auto" w:sz="4" w:space="0"/>
            </w:tcBorders>
            <w:shd w:val="clear" w:color="auto" w:fill="auto"/>
            <w:noWrap/>
            <w:vAlign w:val="bottom"/>
          </w:tcPr>
          <w:p w:rsidRPr="007E46F5" w:rsidR="00C00D9C" w:rsidP="00025917" w:rsidRDefault="00F117DD" w14:paraId="0E7D12A3" w14:textId="6010E6AE">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3D68DB">
              <w:rPr>
                <w:rFonts w:eastAsia="Times New Roman" w:cs="Arial"/>
                <w:color w:val="000000"/>
                <w:sz w:val="20"/>
                <w:szCs w:val="20"/>
                <w:lang w:eastAsia="en-GB"/>
              </w:rPr>
              <w:t>.00</w:t>
            </w:r>
          </w:p>
        </w:tc>
      </w:tr>
      <w:tr w:rsidRPr="00614894" w:rsidR="00C00D9C" w:rsidTr="00480191" w14:paraId="42776701" w14:textId="77777777">
        <w:trPr>
          <w:trHeight w:val="300"/>
        </w:trPr>
        <w:tc>
          <w:tcPr>
            <w:tcW w:w="5103" w:type="dxa"/>
            <w:tcBorders>
              <w:top w:val="nil"/>
              <w:left w:val="single" w:color="auto" w:sz="4" w:space="0"/>
              <w:bottom w:val="nil"/>
              <w:right w:val="nil"/>
            </w:tcBorders>
            <w:shd w:val="clear" w:color="auto" w:fill="auto"/>
            <w:noWrap/>
            <w:vAlign w:val="bottom"/>
            <w:hideMark/>
          </w:tcPr>
          <w:p w:rsidRPr="00DF0B46" w:rsidR="00C00D9C" w:rsidP="007D2EF8" w:rsidRDefault="00C00D9C" w14:paraId="20372A96"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Financing Cost</w:t>
            </w:r>
          </w:p>
        </w:tc>
        <w:tc>
          <w:tcPr>
            <w:tcW w:w="1859" w:type="dxa"/>
            <w:tcBorders>
              <w:top w:val="nil"/>
              <w:left w:val="single" w:color="auto" w:sz="4" w:space="0"/>
              <w:bottom w:val="nil"/>
              <w:right w:val="single" w:color="auto" w:sz="4" w:space="0"/>
            </w:tcBorders>
            <w:shd w:val="clear" w:color="auto" w:fill="auto"/>
            <w:noWrap/>
            <w:vAlign w:val="bottom"/>
            <w:hideMark/>
          </w:tcPr>
          <w:p w:rsidRPr="00DF0B46" w:rsidR="00C00D9C" w:rsidP="008D73C0" w:rsidRDefault="008D73C0" w14:paraId="7F6977E8" w14:textId="535ED30D">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 xml:space="preserve">  </w:t>
            </w:r>
          </w:p>
        </w:tc>
        <w:tc>
          <w:tcPr>
            <w:tcW w:w="1850" w:type="dxa"/>
            <w:tcBorders>
              <w:top w:val="nil"/>
              <w:left w:val="nil"/>
              <w:bottom w:val="nil"/>
              <w:right w:val="single" w:color="auto" w:sz="4" w:space="0"/>
            </w:tcBorders>
            <w:shd w:val="clear" w:color="auto" w:fill="auto"/>
            <w:noWrap/>
            <w:vAlign w:val="bottom"/>
          </w:tcPr>
          <w:p w:rsidRPr="007E46F5" w:rsidR="00C00D9C" w:rsidP="008D73C0" w:rsidRDefault="00C00D9C" w14:paraId="0C2A010F" w14:textId="77777777">
            <w:pPr>
              <w:spacing w:after="0" w:line="240" w:lineRule="auto"/>
              <w:rPr>
                <w:rFonts w:eastAsia="Times New Roman" w:cs="Arial"/>
                <w:color w:val="000000"/>
                <w:sz w:val="20"/>
                <w:szCs w:val="20"/>
                <w:lang w:eastAsia="en-GB"/>
              </w:rPr>
            </w:pPr>
          </w:p>
        </w:tc>
      </w:tr>
      <w:tr w:rsidRPr="00614894" w:rsidR="00C00D9C" w:rsidTr="00480191" w14:paraId="0A8AE7B6" w14:textId="77777777">
        <w:trPr>
          <w:trHeight w:val="300"/>
        </w:trPr>
        <w:tc>
          <w:tcPr>
            <w:tcW w:w="5103" w:type="dxa"/>
            <w:tcBorders>
              <w:top w:val="nil"/>
              <w:left w:val="single" w:color="auto" w:sz="4" w:space="0"/>
              <w:bottom w:val="nil"/>
              <w:right w:val="nil"/>
            </w:tcBorders>
            <w:shd w:val="clear" w:color="auto" w:fill="auto"/>
            <w:noWrap/>
            <w:vAlign w:val="bottom"/>
            <w:hideMark/>
          </w:tcPr>
          <w:p w:rsidRPr="00DF0B46" w:rsidR="00C00D9C" w:rsidP="007D2EF8" w:rsidRDefault="00C00D9C" w14:paraId="79B760EF"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Interest on Net Defined Benefit Liability/(Asset)</w:t>
            </w:r>
          </w:p>
        </w:tc>
        <w:tc>
          <w:tcPr>
            <w:tcW w:w="1859" w:type="dxa"/>
            <w:tcBorders>
              <w:top w:val="nil"/>
              <w:left w:val="single" w:color="auto" w:sz="4" w:space="0"/>
              <w:bottom w:val="nil"/>
              <w:right w:val="single" w:color="auto" w:sz="4" w:space="0"/>
            </w:tcBorders>
            <w:shd w:val="clear" w:color="auto" w:fill="auto"/>
            <w:noWrap/>
            <w:vAlign w:val="bottom"/>
            <w:hideMark/>
          </w:tcPr>
          <w:p w:rsidRPr="00DF0B46" w:rsidR="00C00D9C" w:rsidP="006B6507" w:rsidRDefault="00DF0B46" w14:paraId="0B0EAD49" w14:textId="7077DFC2">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0.09</w:t>
            </w:r>
          </w:p>
        </w:tc>
        <w:tc>
          <w:tcPr>
            <w:tcW w:w="1850" w:type="dxa"/>
            <w:tcBorders>
              <w:top w:val="nil"/>
              <w:left w:val="nil"/>
              <w:bottom w:val="nil"/>
              <w:right w:val="single" w:color="auto" w:sz="4" w:space="0"/>
            </w:tcBorders>
            <w:shd w:val="clear" w:color="auto" w:fill="auto"/>
            <w:noWrap/>
            <w:vAlign w:val="bottom"/>
          </w:tcPr>
          <w:p w:rsidRPr="007E46F5" w:rsidR="00C00D9C" w:rsidP="00025917" w:rsidRDefault="00F117DD" w14:paraId="4D1A71C1" w14:textId="28325902">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C45BD2">
              <w:rPr>
                <w:rFonts w:eastAsia="Times New Roman" w:cs="Arial"/>
                <w:color w:val="000000"/>
                <w:sz w:val="20"/>
                <w:szCs w:val="20"/>
                <w:lang w:eastAsia="en-GB"/>
              </w:rPr>
              <w:t>.</w:t>
            </w:r>
            <w:r w:rsidRPr="007E46F5" w:rsidR="007E46F5">
              <w:rPr>
                <w:rFonts w:eastAsia="Times New Roman" w:cs="Arial"/>
                <w:color w:val="000000"/>
                <w:sz w:val="20"/>
                <w:szCs w:val="20"/>
                <w:lang w:eastAsia="en-GB"/>
              </w:rPr>
              <w:t>09</w:t>
            </w:r>
          </w:p>
        </w:tc>
      </w:tr>
      <w:tr w:rsidRPr="00614894" w:rsidR="00C00D9C" w:rsidTr="00F117DD" w14:paraId="7B13BD1C" w14:textId="77777777">
        <w:trPr>
          <w:trHeight w:val="300"/>
        </w:trPr>
        <w:tc>
          <w:tcPr>
            <w:tcW w:w="5103"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DF0B46" w:rsidR="00C00D9C" w:rsidP="007D2EF8" w:rsidRDefault="00C00D9C" w14:paraId="0DE7E87E"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Pension Expense Recognised in Surplus or Deficit</w:t>
            </w:r>
          </w:p>
        </w:tc>
        <w:tc>
          <w:tcPr>
            <w:tcW w:w="1859"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DF0B46" w:rsidR="00C00D9C" w:rsidP="007D2EF8" w:rsidRDefault="00DF0B46" w14:paraId="14CEE62B" w14:textId="1EF21883">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0.70</w:t>
            </w:r>
          </w:p>
        </w:tc>
        <w:tc>
          <w:tcPr>
            <w:tcW w:w="1850"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7E46F5" w:rsidR="00C00D9C" w:rsidP="00025917" w:rsidRDefault="007E46F5" w14:paraId="6060C288" w14:textId="22181A3B">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0.75</w:t>
            </w:r>
          </w:p>
        </w:tc>
      </w:tr>
      <w:tr w:rsidRPr="00614894" w:rsidR="00C00D9C" w:rsidTr="00480191" w14:paraId="5EF65FC4" w14:textId="77777777">
        <w:trPr>
          <w:trHeight w:val="300"/>
        </w:trPr>
        <w:tc>
          <w:tcPr>
            <w:tcW w:w="5103" w:type="dxa"/>
            <w:tcBorders>
              <w:top w:val="nil"/>
              <w:left w:val="single" w:color="auto" w:sz="4" w:space="0"/>
              <w:bottom w:val="nil"/>
              <w:right w:val="nil"/>
            </w:tcBorders>
            <w:shd w:val="clear" w:color="auto" w:fill="auto"/>
            <w:noWrap/>
            <w:vAlign w:val="bottom"/>
            <w:hideMark/>
          </w:tcPr>
          <w:p w:rsidRPr="00DF0B46" w:rsidR="00C00D9C" w:rsidP="007D2EF8" w:rsidRDefault="00C00D9C" w14:paraId="3F4AD5FB"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Re-measurements in Other Comprehensive Income</w:t>
            </w:r>
          </w:p>
        </w:tc>
        <w:tc>
          <w:tcPr>
            <w:tcW w:w="1859" w:type="dxa"/>
            <w:tcBorders>
              <w:top w:val="nil"/>
              <w:left w:val="single" w:color="auto" w:sz="4" w:space="0"/>
              <w:bottom w:val="nil"/>
              <w:right w:val="single" w:color="auto" w:sz="4" w:space="0"/>
            </w:tcBorders>
            <w:shd w:val="clear" w:color="auto" w:fill="auto"/>
            <w:noWrap/>
            <w:vAlign w:val="bottom"/>
            <w:hideMark/>
          </w:tcPr>
          <w:p w:rsidRPr="00DF0B46" w:rsidR="00C00D9C" w:rsidP="007D2EF8" w:rsidRDefault="00C00D9C" w14:paraId="34FFCCEF"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 </w:t>
            </w:r>
          </w:p>
        </w:tc>
        <w:tc>
          <w:tcPr>
            <w:tcW w:w="1850" w:type="dxa"/>
            <w:tcBorders>
              <w:top w:val="nil"/>
              <w:left w:val="nil"/>
              <w:bottom w:val="nil"/>
              <w:right w:val="single" w:color="auto" w:sz="4" w:space="0"/>
            </w:tcBorders>
            <w:shd w:val="clear" w:color="auto" w:fill="auto"/>
            <w:noWrap/>
            <w:vAlign w:val="bottom"/>
          </w:tcPr>
          <w:p w:rsidRPr="007E46F5" w:rsidR="00C00D9C" w:rsidP="00025917" w:rsidRDefault="00C00D9C" w14:paraId="5465C2FE" w14:textId="77777777">
            <w:pPr>
              <w:spacing w:after="0" w:line="240" w:lineRule="auto"/>
              <w:jc w:val="right"/>
              <w:rPr>
                <w:rFonts w:eastAsia="Times New Roman" w:cs="Arial"/>
                <w:color w:val="000000"/>
                <w:sz w:val="20"/>
                <w:szCs w:val="20"/>
                <w:lang w:eastAsia="en-GB"/>
              </w:rPr>
            </w:pPr>
          </w:p>
        </w:tc>
      </w:tr>
      <w:tr w:rsidRPr="00614894" w:rsidR="00C00D9C" w:rsidTr="00480191" w14:paraId="1372E9FA" w14:textId="77777777">
        <w:trPr>
          <w:trHeight w:val="300"/>
        </w:trPr>
        <w:tc>
          <w:tcPr>
            <w:tcW w:w="5103" w:type="dxa"/>
            <w:tcBorders>
              <w:top w:val="nil"/>
              <w:left w:val="single" w:color="auto" w:sz="4" w:space="0"/>
              <w:bottom w:val="nil"/>
              <w:right w:val="nil"/>
            </w:tcBorders>
            <w:shd w:val="clear" w:color="auto" w:fill="auto"/>
            <w:noWrap/>
            <w:vAlign w:val="bottom"/>
            <w:hideMark/>
          </w:tcPr>
          <w:p w:rsidRPr="00DF0B46" w:rsidR="00C00D9C" w:rsidP="007D2EF8" w:rsidRDefault="00C00D9C" w14:paraId="2CC4C5B6"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Return on Plan Assets (in excess of)/below that recognised in Net Interest</w:t>
            </w:r>
          </w:p>
        </w:tc>
        <w:tc>
          <w:tcPr>
            <w:tcW w:w="1859" w:type="dxa"/>
            <w:tcBorders>
              <w:top w:val="nil"/>
              <w:left w:val="single" w:color="auto" w:sz="4" w:space="0"/>
              <w:bottom w:val="nil"/>
              <w:right w:val="single" w:color="auto" w:sz="4" w:space="0"/>
            </w:tcBorders>
            <w:shd w:val="clear" w:color="auto" w:fill="auto"/>
            <w:noWrap/>
            <w:vAlign w:val="bottom"/>
            <w:hideMark/>
          </w:tcPr>
          <w:p w:rsidRPr="00DF0B46" w:rsidR="00C00D9C" w:rsidP="007D2EF8" w:rsidRDefault="00DF0B46" w14:paraId="13E192FD" w14:textId="189D688D">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0.27</w:t>
            </w:r>
          </w:p>
        </w:tc>
        <w:tc>
          <w:tcPr>
            <w:tcW w:w="1850" w:type="dxa"/>
            <w:tcBorders>
              <w:top w:val="nil"/>
              <w:left w:val="nil"/>
              <w:bottom w:val="nil"/>
              <w:right w:val="single" w:color="auto" w:sz="4" w:space="0"/>
            </w:tcBorders>
            <w:shd w:val="clear" w:color="auto" w:fill="auto"/>
            <w:noWrap/>
            <w:vAlign w:val="bottom"/>
          </w:tcPr>
          <w:p w:rsidRPr="007E46F5" w:rsidR="00C00D9C" w:rsidP="00025917" w:rsidRDefault="00C45BD2" w14:paraId="4FD0AC68" w14:textId="0316D875">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w:t>
            </w:r>
            <w:r w:rsidRPr="007E46F5" w:rsidR="007E46F5">
              <w:rPr>
                <w:rFonts w:eastAsia="Times New Roman" w:cs="Arial"/>
                <w:color w:val="000000"/>
                <w:sz w:val="20"/>
                <w:szCs w:val="20"/>
                <w:lang w:eastAsia="en-GB"/>
              </w:rPr>
              <w:t>0.20</w:t>
            </w:r>
            <w:r w:rsidRPr="007E46F5" w:rsidR="003D68DB">
              <w:rPr>
                <w:rFonts w:eastAsia="Times New Roman" w:cs="Arial"/>
                <w:color w:val="000000"/>
                <w:sz w:val="20"/>
                <w:szCs w:val="20"/>
                <w:lang w:eastAsia="en-GB"/>
              </w:rPr>
              <w:t>)</w:t>
            </w:r>
          </w:p>
        </w:tc>
      </w:tr>
      <w:tr w:rsidRPr="00614894" w:rsidR="00C00D9C" w:rsidTr="00480191" w14:paraId="57812263" w14:textId="77777777">
        <w:trPr>
          <w:trHeight w:val="300"/>
        </w:trPr>
        <w:tc>
          <w:tcPr>
            <w:tcW w:w="5103" w:type="dxa"/>
            <w:tcBorders>
              <w:top w:val="nil"/>
              <w:left w:val="single" w:color="auto" w:sz="4" w:space="0"/>
              <w:bottom w:val="nil"/>
              <w:right w:val="nil"/>
            </w:tcBorders>
            <w:shd w:val="clear" w:color="auto" w:fill="auto"/>
            <w:noWrap/>
            <w:vAlign w:val="bottom"/>
            <w:hideMark/>
          </w:tcPr>
          <w:p w:rsidRPr="00DF0B46" w:rsidR="00C00D9C" w:rsidP="007D2EF8" w:rsidRDefault="00C00D9C" w14:paraId="3A86C748"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Actuarial (Gains)/Losses due to Changes in Financial Assumptions</w:t>
            </w:r>
          </w:p>
        </w:tc>
        <w:tc>
          <w:tcPr>
            <w:tcW w:w="1859" w:type="dxa"/>
            <w:tcBorders>
              <w:top w:val="nil"/>
              <w:left w:val="single" w:color="auto" w:sz="4" w:space="0"/>
              <w:bottom w:val="nil"/>
              <w:right w:val="single" w:color="auto" w:sz="4" w:space="0"/>
            </w:tcBorders>
            <w:shd w:val="clear" w:color="auto" w:fill="auto"/>
            <w:noWrap/>
            <w:vAlign w:val="bottom"/>
            <w:hideMark/>
          </w:tcPr>
          <w:p w:rsidRPr="00DF0B46" w:rsidR="00C00D9C" w:rsidP="007D2EF8" w:rsidRDefault="00DF0B46" w14:paraId="5F97D61E" w14:textId="1015DEF1">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(3.80)</w:t>
            </w:r>
          </w:p>
        </w:tc>
        <w:tc>
          <w:tcPr>
            <w:tcW w:w="1850" w:type="dxa"/>
            <w:tcBorders>
              <w:top w:val="nil"/>
              <w:left w:val="nil"/>
              <w:bottom w:val="nil"/>
              <w:right w:val="single" w:color="auto" w:sz="4" w:space="0"/>
            </w:tcBorders>
            <w:shd w:val="clear" w:color="auto" w:fill="auto"/>
            <w:noWrap/>
            <w:vAlign w:val="bottom"/>
          </w:tcPr>
          <w:p w:rsidRPr="007E46F5" w:rsidR="00C00D9C" w:rsidP="00025917" w:rsidRDefault="0079369D" w14:paraId="5EFE293E" w14:textId="737EE732">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w:t>
            </w:r>
            <w:r w:rsidRPr="007E46F5" w:rsidR="007E46F5">
              <w:rPr>
                <w:rFonts w:eastAsia="Times New Roman" w:cs="Arial"/>
                <w:color w:val="000000"/>
                <w:sz w:val="20"/>
                <w:szCs w:val="20"/>
                <w:lang w:eastAsia="en-GB"/>
              </w:rPr>
              <w:t>0.77</w:t>
            </w:r>
            <w:r w:rsidRPr="007E46F5">
              <w:rPr>
                <w:rFonts w:eastAsia="Times New Roman" w:cs="Arial"/>
                <w:color w:val="000000"/>
                <w:sz w:val="20"/>
                <w:szCs w:val="20"/>
                <w:lang w:eastAsia="en-GB"/>
              </w:rPr>
              <w:t>)</w:t>
            </w:r>
          </w:p>
        </w:tc>
      </w:tr>
      <w:tr w:rsidRPr="00614894" w:rsidR="00C00D9C" w:rsidTr="00480191" w14:paraId="336A5C05" w14:textId="77777777">
        <w:trPr>
          <w:trHeight w:val="300"/>
        </w:trPr>
        <w:tc>
          <w:tcPr>
            <w:tcW w:w="5103" w:type="dxa"/>
            <w:tcBorders>
              <w:top w:val="nil"/>
              <w:left w:val="single" w:color="auto" w:sz="4" w:space="0"/>
              <w:bottom w:val="nil"/>
              <w:right w:val="nil"/>
            </w:tcBorders>
            <w:shd w:val="clear" w:color="auto" w:fill="auto"/>
            <w:noWrap/>
            <w:vAlign w:val="bottom"/>
            <w:hideMark/>
          </w:tcPr>
          <w:p w:rsidRPr="00DF0B46" w:rsidR="00C00D9C" w:rsidP="007D2EF8" w:rsidRDefault="00C00D9C" w14:paraId="10111B44"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Actuarial (Gains)/Losses due to Changes in Demographic Assumptions</w:t>
            </w:r>
          </w:p>
        </w:tc>
        <w:tc>
          <w:tcPr>
            <w:tcW w:w="1859" w:type="dxa"/>
            <w:tcBorders>
              <w:top w:val="nil"/>
              <w:left w:val="single" w:color="auto" w:sz="4" w:space="0"/>
              <w:bottom w:val="nil"/>
              <w:right w:val="single" w:color="auto" w:sz="4" w:space="0"/>
            </w:tcBorders>
            <w:shd w:val="clear" w:color="auto" w:fill="auto"/>
            <w:noWrap/>
            <w:vAlign w:val="bottom"/>
            <w:hideMark/>
          </w:tcPr>
          <w:p w:rsidRPr="00DF0B46" w:rsidR="00C00D9C" w:rsidP="007D2EF8" w:rsidRDefault="00DF0B46" w14:paraId="7B4FB75F" w14:textId="2DCB551D">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(0.03)</w:t>
            </w:r>
          </w:p>
        </w:tc>
        <w:tc>
          <w:tcPr>
            <w:tcW w:w="1850" w:type="dxa"/>
            <w:tcBorders>
              <w:top w:val="nil"/>
              <w:left w:val="nil"/>
              <w:bottom w:val="nil"/>
              <w:right w:val="single" w:color="auto" w:sz="4" w:space="0"/>
            </w:tcBorders>
            <w:shd w:val="clear" w:color="auto" w:fill="auto"/>
            <w:noWrap/>
            <w:vAlign w:val="bottom"/>
          </w:tcPr>
          <w:p w:rsidRPr="007E46F5" w:rsidR="00C00D9C" w:rsidP="00025917" w:rsidRDefault="0079369D" w14:paraId="3C3AB624" w14:textId="179D8F0D">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w:t>
            </w:r>
            <w:r w:rsidRPr="007E46F5" w:rsidR="00C45BD2">
              <w:rPr>
                <w:rFonts w:eastAsia="Times New Roman" w:cs="Arial"/>
                <w:color w:val="000000"/>
                <w:sz w:val="20"/>
                <w:szCs w:val="20"/>
                <w:lang w:eastAsia="en-GB"/>
              </w:rPr>
              <w:t>0.</w:t>
            </w:r>
            <w:r w:rsidRPr="007E46F5" w:rsidR="007E46F5">
              <w:rPr>
                <w:rFonts w:eastAsia="Times New Roman" w:cs="Arial"/>
                <w:color w:val="000000"/>
                <w:sz w:val="20"/>
                <w:szCs w:val="20"/>
                <w:lang w:eastAsia="en-GB"/>
              </w:rPr>
              <w:t>08</w:t>
            </w:r>
            <w:r w:rsidRPr="007E46F5">
              <w:rPr>
                <w:rFonts w:eastAsia="Times New Roman" w:cs="Arial"/>
                <w:color w:val="000000"/>
                <w:sz w:val="20"/>
                <w:szCs w:val="20"/>
                <w:lang w:eastAsia="en-GB"/>
              </w:rPr>
              <w:t>)</w:t>
            </w:r>
          </w:p>
        </w:tc>
      </w:tr>
      <w:tr w:rsidRPr="00614894" w:rsidR="00C00D9C" w:rsidTr="00480191" w14:paraId="30E29F20" w14:textId="77777777">
        <w:trPr>
          <w:trHeight w:val="293"/>
        </w:trPr>
        <w:tc>
          <w:tcPr>
            <w:tcW w:w="5103" w:type="dxa"/>
            <w:tcBorders>
              <w:top w:val="nil"/>
              <w:left w:val="single" w:color="auto" w:sz="4" w:space="0"/>
              <w:bottom w:val="single" w:color="auto" w:sz="4" w:space="0"/>
              <w:right w:val="nil"/>
            </w:tcBorders>
            <w:shd w:val="clear" w:color="auto" w:fill="auto"/>
            <w:noWrap/>
            <w:vAlign w:val="bottom"/>
            <w:hideMark/>
          </w:tcPr>
          <w:p w:rsidRPr="00DF0B46" w:rsidR="00C00D9C" w:rsidP="007D2EF8" w:rsidRDefault="00C00D9C" w14:paraId="1258F699"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Actuarial (Gains)/Losses due to Liability Experience</w:t>
            </w:r>
          </w:p>
        </w:tc>
        <w:tc>
          <w:tcPr>
            <w:tcW w:w="1859" w:type="dxa"/>
            <w:tcBorders>
              <w:top w:val="nil"/>
              <w:left w:val="single" w:color="auto" w:sz="4" w:space="0"/>
              <w:bottom w:val="single" w:color="auto" w:sz="4" w:space="0"/>
              <w:right w:val="single" w:color="auto" w:sz="4" w:space="0"/>
            </w:tcBorders>
            <w:shd w:val="clear" w:color="auto" w:fill="auto"/>
            <w:noWrap/>
            <w:vAlign w:val="bottom"/>
            <w:hideMark/>
          </w:tcPr>
          <w:p w:rsidRPr="00DF0B46" w:rsidR="00C00D9C" w:rsidP="00F117DD" w:rsidRDefault="001032AA" w14:paraId="79F909B2" w14:textId="37929703">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 xml:space="preserve">      </w:t>
            </w:r>
            <w:r w:rsidRPr="00DF0B46" w:rsidR="00824928">
              <w:rPr>
                <w:rFonts w:eastAsia="Times New Roman" w:cs="Arial"/>
                <w:color w:val="000000"/>
                <w:sz w:val="20"/>
                <w:szCs w:val="20"/>
                <w:lang w:eastAsia="en-GB"/>
              </w:rPr>
              <w:t xml:space="preserve">     </w:t>
            </w:r>
            <w:r w:rsidRPr="00DF0B46" w:rsidR="00C00D9C">
              <w:rPr>
                <w:rFonts w:eastAsia="Times New Roman" w:cs="Arial"/>
                <w:color w:val="000000"/>
                <w:sz w:val="20"/>
                <w:szCs w:val="20"/>
                <w:lang w:eastAsia="en-GB"/>
              </w:rPr>
              <w:t xml:space="preserve"> </w:t>
            </w:r>
            <w:r w:rsidRPr="00DF0B46" w:rsidR="00DF0B46">
              <w:rPr>
                <w:rFonts w:eastAsia="Times New Roman" w:cs="Arial"/>
                <w:color w:val="000000"/>
                <w:sz w:val="20"/>
                <w:szCs w:val="20"/>
                <w:lang w:eastAsia="en-GB"/>
              </w:rPr>
              <w:t>0.21</w:t>
            </w:r>
            <w:r w:rsidRPr="00DF0B46" w:rsidR="00824928">
              <w:rPr>
                <w:rFonts w:eastAsia="Times New Roman" w:cs="Arial"/>
                <w:color w:val="000000"/>
                <w:sz w:val="20"/>
                <w:szCs w:val="20"/>
                <w:lang w:eastAsia="en-GB"/>
              </w:rPr>
              <w:t xml:space="preserve">     </w:t>
            </w:r>
          </w:p>
        </w:tc>
        <w:tc>
          <w:tcPr>
            <w:tcW w:w="1850" w:type="dxa"/>
            <w:tcBorders>
              <w:top w:val="nil"/>
              <w:left w:val="nil"/>
              <w:bottom w:val="single" w:color="auto" w:sz="4" w:space="0"/>
              <w:right w:val="single" w:color="auto" w:sz="4" w:space="0"/>
            </w:tcBorders>
            <w:shd w:val="clear" w:color="auto" w:fill="auto"/>
            <w:noWrap/>
            <w:vAlign w:val="bottom"/>
          </w:tcPr>
          <w:p w:rsidRPr="007E46F5" w:rsidR="00C00D9C" w:rsidP="00025917" w:rsidRDefault="00C45BD2" w14:paraId="61F5E1C1" w14:textId="7393650A">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7E46F5">
              <w:rPr>
                <w:rFonts w:eastAsia="Times New Roman" w:cs="Arial"/>
                <w:color w:val="000000"/>
                <w:sz w:val="20"/>
                <w:szCs w:val="20"/>
                <w:lang w:eastAsia="en-GB"/>
              </w:rPr>
              <w:t>03</w:t>
            </w:r>
          </w:p>
        </w:tc>
      </w:tr>
      <w:tr w:rsidRPr="00614894" w:rsidR="00C00D9C" w:rsidTr="00F117DD" w14:paraId="20ADC21C" w14:textId="77777777">
        <w:trPr>
          <w:trHeight w:val="300"/>
        </w:trPr>
        <w:tc>
          <w:tcPr>
            <w:tcW w:w="5103"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DF0B46" w:rsidR="00C00D9C" w:rsidP="007D2EF8" w:rsidRDefault="00C00D9C" w14:paraId="00FF6BB1"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Total Amount Recognised in Other Comprehensive Income</w:t>
            </w:r>
            <w:r w:rsidRPr="00DF0B46" w:rsidR="002C2425">
              <w:rPr>
                <w:rFonts w:eastAsia="Times New Roman" w:cs="Arial"/>
                <w:b/>
                <w:bCs/>
                <w:color w:val="000000"/>
                <w:sz w:val="20"/>
                <w:szCs w:val="20"/>
                <w:lang w:eastAsia="en-GB"/>
              </w:rPr>
              <w:t xml:space="preserve">  </w:t>
            </w:r>
          </w:p>
        </w:tc>
        <w:tc>
          <w:tcPr>
            <w:tcW w:w="1859"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DF0B46" w:rsidR="00C00D9C" w:rsidP="00C45BD2" w:rsidRDefault="00136A7E" w14:paraId="61D30957" w14:textId="489C593F">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 xml:space="preserve">                    </w:t>
            </w:r>
            <w:r w:rsidRPr="00DF0B46" w:rsidR="00DF0B46">
              <w:rPr>
                <w:rFonts w:eastAsia="Times New Roman" w:cs="Arial"/>
                <w:b/>
                <w:bCs/>
                <w:color w:val="000000"/>
                <w:sz w:val="20"/>
                <w:szCs w:val="20"/>
                <w:lang w:eastAsia="en-GB"/>
              </w:rPr>
              <w:t>(3.35)</w:t>
            </w:r>
          </w:p>
        </w:tc>
        <w:tc>
          <w:tcPr>
            <w:tcW w:w="1850"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7E46F5" w:rsidR="00C00D9C" w:rsidP="00CB1667" w:rsidRDefault="0079369D" w14:paraId="781A369B" w14:textId="7FF8F878">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w:t>
            </w:r>
            <w:r w:rsidRPr="007E46F5" w:rsidR="007E46F5">
              <w:rPr>
                <w:rFonts w:eastAsia="Times New Roman" w:cs="Arial"/>
                <w:b/>
                <w:bCs/>
                <w:color w:val="000000"/>
                <w:sz w:val="20"/>
                <w:szCs w:val="20"/>
                <w:lang w:eastAsia="en-GB"/>
              </w:rPr>
              <w:t>1.02</w:t>
            </w:r>
            <w:r w:rsidRPr="007E46F5">
              <w:rPr>
                <w:rFonts w:eastAsia="Times New Roman" w:cs="Arial"/>
                <w:b/>
                <w:bCs/>
                <w:color w:val="000000"/>
                <w:sz w:val="20"/>
                <w:szCs w:val="20"/>
                <w:lang w:eastAsia="en-GB"/>
              </w:rPr>
              <w:t>)</w:t>
            </w:r>
          </w:p>
        </w:tc>
      </w:tr>
      <w:tr w:rsidRPr="00614894" w:rsidR="00C00D9C" w:rsidTr="00F117DD" w14:paraId="1C633B52" w14:textId="77777777">
        <w:trPr>
          <w:trHeight w:val="300"/>
        </w:trPr>
        <w:tc>
          <w:tcPr>
            <w:tcW w:w="5103"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DF0B46" w:rsidR="00C00D9C" w:rsidP="007D2EF8" w:rsidRDefault="00C00D9C" w14:paraId="44FC71EE"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Total Amount Recognised in Comprehensive Income &amp; Expenditure</w:t>
            </w:r>
          </w:p>
        </w:tc>
        <w:tc>
          <w:tcPr>
            <w:tcW w:w="1859"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DF0B46" w:rsidR="00C00D9C" w:rsidP="001032AA" w:rsidRDefault="00136A7E" w14:paraId="23AB956C" w14:textId="1F497662">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 xml:space="preserve">                    </w:t>
            </w:r>
            <w:r w:rsidRPr="00DF0B46" w:rsidR="00DF0B46">
              <w:rPr>
                <w:rFonts w:eastAsia="Times New Roman" w:cs="Arial"/>
                <w:b/>
                <w:bCs/>
                <w:color w:val="000000"/>
                <w:sz w:val="20"/>
                <w:szCs w:val="20"/>
                <w:lang w:eastAsia="en-GB"/>
              </w:rPr>
              <w:t>(2.65)</w:t>
            </w:r>
          </w:p>
        </w:tc>
        <w:tc>
          <w:tcPr>
            <w:tcW w:w="1850"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7E46F5" w:rsidR="00C00D9C" w:rsidP="00025917" w:rsidRDefault="0079369D" w14:paraId="08902189" w14:textId="35F13194">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w:t>
            </w:r>
            <w:r w:rsidRPr="007E46F5" w:rsidR="007E46F5">
              <w:rPr>
                <w:rFonts w:eastAsia="Times New Roman" w:cs="Arial"/>
                <w:b/>
                <w:bCs/>
                <w:color w:val="000000"/>
                <w:sz w:val="20"/>
                <w:szCs w:val="20"/>
                <w:lang w:eastAsia="en-GB"/>
              </w:rPr>
              <w:t>0.27</w:t>
            </w:r>
            <w:r w:rsidRPr="007E46F5">
              <w:rPr>
                <w:rFonts w:eastAsia="Times New Roman" w:cs="Arial"/>
                <w:b/>
                <w:bCs/>
                <w:color w:val="000000"/>
                <w:sz w:val="20"/>
                <w:szCs w:val="20"/>
                <w:lang w:eastAsia="en-GB"/>
              </w:rPr>
              <w:t>)</w:t>
            </w:r>
          </w:p>
        </w:tc>
      </w:tr>
    </w:tbl>
    <w:p w:rsidRPr="00614894" w:rsidR="00293B0B" w:rsidP="006B6507" w:rsidRDefault="00293B0B" w14:paraId="25E77542" w14:textId="77777777">
      <w:pPr>
        <w:pStyle w:val="ListParagraph"/>
        <w:ind w:left="709"/>
        <w:jc w:val="both"/>
        <w:rPr>
          <w:rFonts w:cs="Arial"/>
          <w:highlight w:val="yellow"/>
        </w:rPr>
      </w:pPr>
    </w:p>
    <w:p w:rsidRPr="00DF0B46" w:rsidR="00FC3632" w:rsidP="006B6507" w:rsidRDefault="007D2EF8" w14:paraId="3B8A2EDB" w14:textId="28DBE02E">
      <w:pPr>
        <w:pStyle w:val="ListParagraph"/>
        <w:ind w:left="709"/>
        <w:jc w:val="both"/>
        <w:rPr>
          <w:rFonts w:cs="Arial"/>
        </w:rPr>
      </w:pPr>
      <w:r w:rsidRPr="00DF0B46">
        <w:rPr>
          <w:rFonts w:cs="Arial"/>
        </w:rPr>
        <w:t xml:space="preserve">The current service costs included an allowance for the administration expenses of </w:t>
      </w:r>
      <w:r w:rsidRPr="00DF0B46" w:rsidR="008A0060">
        <w:rPr>
          <w:rFonts w:cs="Arial"/>
        </w:rPr>
        <w:t>£0.0</w:t>
      </w:r>
      <w:r w:rsidRPr="00DF0B46" w:rsidR="00DF0B46">
        <w:rPr>
          <w:rFonts w:cs="Arial"/>
        </w:rPr>
        <w:t>1</w:t>
      </w:r>
      <w:r w:rsidRPr="00DF0B46">
        <w:rPr>
          <w:rFonts w:cs="Arial"/>
        </w:rPr>
        <w:t xml:space="preserve">M </w:t>
      </w:r>
      <w:proofErr w:type="gramStart"/>
      <w:r w:rsidRPr="00DF0B46">
        <w:rPr>
          <w:rFonts w:cs="Arial"/>
        </w:rPr>
        <w:t>at</w:t>
      </w:r>
      <w:proofErr w:type="gramEnd"/>
      <w:r w:rsidRPr="00DF0B46">
        <w:rPr>
          <w:rFonts w:cs="Arial"/>
        </w:rPr>
        <w:t xml:space="preserve"> 31</w:t>
      </w:r>
      <w:r w:rsidRPr="00DF0B46">
        <w:rPr>
          <w:rFonts w:cs="Arial"/>
          <w:vertAlign w:val="superscript"/>
        </w:rPr>
        <w:t>st</w:t>
      </w:r>
      <w:r w:rsidRPr="00DF0B46" w:rsidR="00CB1667">
        <w:rPr>
          <w:rFonts w:cs="Arial"/>
        </w:rPr>
        <w:t xml:space="preserve"> March 20</w:t>
      </w:r>
      <w:r w:rsidRPr="00DF0B46" w:rsidR="003D68DB">
        <w:rPr>
          <w:rFonts w:cs="Arial"/>
        </w:rPr>
        <w:t>2</w:t>
      </w:r>
      <w:r w:rsidRPr="00DF0B46" w:rsidR="00DF0B46">
        <w:rPr>
          <w:rFonts w:cs="Arial"/>
        </w:rPr>
        <w:t>3</w:t>
      </w:r>
      <w:r w:rsidRPr="00DF0B46" w:rsidR="002269A3">
        <w:rPr>
          <w:rFonts w:cs="Arial"/>
        </w:rPr>
        <w:t>.</w:t>
      </w:r>
    </w:p>
    <w:p w:rsidRPr="00DF0B46" w:rsidR="007D2EF8" w:rsidP="00BC2FA9" w:rsidRDefault="007D2EF8" w14:paraId="3F346525" w14:textId="77777777">
      <w:pPr>
        <w:rPr>
          <w:b/>
        </w:rPr>
      </w:pPr>
      <w:r w:rsidRPr="00DF0B46">
        <w:rPr>
          <w:b/>
        </w:rPr>
        <w:t>Changes to the Present Value of the Defined Obligation During the Period</w:t>
      </w:r>
    </w:p>
    <w:tbl>
      <w:tblPr>
        <w:tblW w:w="8647" w:type="dxa"/>
        <w:tblInd w:w="817" w:type="dxa"/>
        <w:tblLook w:val="04A0" w:firstRow="1" w:lastRow="0" w:firstColumn="1" w:lastColumn="0" w:noHBand="0" w:noVBand="1"/>
      </w:tblPr>
      <w:tblGrid>
        <w:gridCol w:w="4961"/>
        <w:gridCol w:w="1843"/>
        <w:gridCol w:w="1843"/>
      </w:tblGrid>
      <w:tr w:rsidRPr="00614894" w:rsidR="007D2EF8" w:rsidTr="00FC31A7" w14:paraId="0871ED6D" w14:textId="77777777">
        <w:trPr>
          <w:trHeight w:val="300"/>
        </w:trPr>
        <w:tc>
          <w:tcPr>
            <w:tcW w:w="4961" w:type="dxa"/>
            <w:tcBorders>
              <w:top w:val="single" w:color="auto" w:sz="4" w:space="0"/>
              <w:left w:val="single" w:color="auto" w:sz="4" w:space="0"/>
              <w:bottom w:val="nil"/>
              <w:right w:val="nil"/>
            </w:tcBorders>
            <w:shd w:val="clear" w:color="auto" w:fill="DBE5F1" w:themeFill="accent1" w:themeFillTint="33"/>
            <w:noWrap/>
            <w:vAlign w:val="bottom"/>
            <w:hideMark/>
          </w:tcPr>
          <w:p w:rsidRPr="00DF0B46" w:rsidR="007D2EF8" w:rsidP="007D2EF8" w:rsidRDefault="007D2EF8" w14:paraId="58191142"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 </w:t>
            </w:r>
          </w:p>
        </w:tc>
        <w:tc>
          <w:tcPr>
            <w:tcW w:w="1843"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DF0B46" w:rsidR="007D2EF8" w:rsidP="00962221" w:rsidRDefault="007D2EF8" w14:paraId="54B8027E" w14:textId="77777777">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Period Ended</w:t>
            </w:r>
          </w:p>
        </w:tc>
        <w:tc>
          <w:tcPr>
            <w:tcW w:w="1843" w:type="dxa"/>
            <w:tcBorders>
              <w:top w:val="single" w:color="auto" w:sz="4" w:space="0"/>
              <w:left w:val="nil"/>
              <w:bottom w:val="nil"/>
              <w:right w:val="single" w:color="auto" w:sz="4" w:space="0"/>
            </w:tcBorders>
            <w:shd w:val="clear" w:color="auto" w:fill="DBE5F1" w:themeFill="accent1" w:themeFillTint="33"/>
            <w:noWrap/>
            <w:vAlign w:val="bottom"/>
            <w:hideMark/>
          </w:tcPr>
          <w:p w:rsidRPr="00DF0B46" w:rsidR="007D2EF8" w:rsidP="00962221" w:rsidRDefault="007D2EF8" w14:paraId="32447CBB" w14:textId="77777777">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Period Ended</w:t>
            </w:r>
          </w:p>
        </w:tc>
      </w:tr>
      <w:tr w:rsidRPr="00614894" w:rsidR="007D2EF8" w:rsidTr="00FC31A7" w14:paraId="58C4F777" w14:textId="77777777">
        <w:trPr>
          <w:trHeight w:val="300"/>
        </w:trPr>
        <w:tc>
          <w:tcPr>
            <w:tcW w:w="4961" w:type="dxa"/>
            <w:tcBorders>
              <w:top w:val="nil"/>
              <w:left w:val="single" w:color="auto" w:sz="4" w:space="0"/>
              <w:bottom w:val="nil"/>
              <w:right w:val="nil"/>
            </w:tcBorders>
            <w:shd w:val="clear" w:color="auto" w:fill="DBE5F1" w:themeFill="accent1" w:themeFillTint="33"/>
            <w:noWrap/>
            <w:vAlign w:val="bottom"/>
            <w:hideMark/>
          </w:tcPr>
          <w:p w:rsidRPr="00DF0B46" w:rsidR="007D2EF8" w:rsidP="007D2EF8" w:rsidRDefault="007D2EF8" w14:paraId="15AE19C2"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 </w:t>
            </w:r>
          </w:p>
        </w:tc>
        <w:tc>
          <w:tcPr>
            <w:tcW w:w="1843" w:type="dxa"/>
            <w:tcBorders>
              <w:top w:val="nil"/>
              <w:left w:val="single" w:color="auto" w:sz="4" w:space="0"/>
              <w:bottom w:val="nil"/>
              <w:right w:val="single" w:color="auto" w:sz="4" w:space="0"/>
            </w:tcBorders>
            <w:shd w:val="clear" w:color="auto" w:fill="DBE5F1" w:themeFill="accent1" w:themeFillTint="33"/>
            <w:noWrap/>
            <w:vAlign w:val="bottom"/>
            <w:hideMark/>
          </w:tcPr>
          <w:p w:rsidRPr="00DF0B46" w:rsidR="007D2EF8" w:rsidP="00962221" w:rsidRDefault="00C30576" w14:paraId="531EF2EE" w14:textId="02203EDD">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31st March 202</w:t>
            </w:r>
            <w:r w:rsidRPr="00DF0B46" w:rsidR="008D73C0">
              <w:rPr>
                <w:rFonts w:eastAsia="Times New Roman" w:cs="Arial"/>
                <w:b/>
                <w:bCs/>
                <w:color w:val="000000"/>
                <w:sz w:val="20"/>
                <w:szCs w:val="20"/>
                <w:lang w:eastAsia="en-GB"/>
              </w:rPr>
              <w:t>3</w:t>
            </w:r>
          </w:p>
        </w:tc>
        <w:tc>
          <w:tcPr>
            <w:tcW w:w="1843" w:type="dxa"/>
            <w:tcBorders>
              <w:top w:val="nil"/>
              <w:left w:val="nil"/>
              <w:bottom w:val="nil"/>
              <w:right w:val="single" w:color="auto" w:sz="4" w:space="0"/>
            </w:tcBorders>
            <w:shd w:val="clear" w:color="auto" w:fill="DBE5F1" w:themeFill="accent1" w:themeFillTint="33"/>
            <w:noWrap/>
            <w:vAlign w:val="bottom"/>
            <w:hideMark/>
          </w:tcPr>
          <w:p w:rsidRPr="00DF0B46" w:rsidR="007D2EF8" w:rsidP="00962221" w:rsidRDefault="00695D61" w14:paraId="655A6AED" w14:textId="09D68104">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31st M</w:t>
            </w:r>
            <w:r w:rsidRPr="00DF0B46" w:rsidR="00206F0F">
              <w:rPr>
                <w:rFonts w:eastAsia="Times New Roman" w:cs="Arial"/>
                <w:b/>
                <w:bCs/>
                <w:color w:val="000000"/>
                <w:sz w:val="20"/>
                <w:szCs w:val="20"/>
                <w:lang w:eastAsia="en-GB"/>
              </w:rPr>
              <w:t>arch 20</w:t>
            </w:r>
            <w:r w:rsidRPr="00DF0B46" w:rsidR="00C30576">
              <w:rPr>
                <w:rFonts w:eastAsia="Times New Roman" w:cs="Arial"/>
                <w:b/>
                <w:bCs/>
                <w:color w:val="000000"/>
                <w:sz w:val="20"/>
                <w:szCs w:val="20"/>
                <w:lang w:eastAsia="en-GB"/>
              </w:rPr>
              <w:t>2</w:t>
            </w:r>
            <w:r w:rsidRPr="00DF0B46" w:rsidR="008D73C0">
              <w:rPr>
                <w:rFonts w:eastAsia="Times New Roman" w:cs="Arial"/>
                <w:b/>
                <w:bCs/>
                <w:color w:val="000000"/>
                <w:sz w:val="20"/>
                <w:szCs w:val="20"/>
                <w:lang w:eastAsia="en-GB"/>
              </w:rPr>
              <w:t>2</w:t>
            </w:r>
          </w:p>
        </w:tc>
      </w:tr>
      <w:tr w:rsidRPr="00614894" w:rsidR="007D2EF8" w:rsidTr="00FC31A7" w14:paraId="6670DB7F" w14:textId="77777777">
        <w:trPr>
          <w:trHeight w:val="300"/>
        </w:trPr>
        <w:tc>
          <w:tcPr>
            <w:tcW w:w="4961" w:type="dxa"/>
            <w:tcBorders>
              <w:top w:val="nil"/>
              <w:left w:val="single" w:color="auto" w:sz="4" w:space="0"/>
              <w:bottom w:val="single" w:color="auto" w:sz="4" w:space="0"/>
              <w:right w:val="nil"/>
            </w:tcBorders>
            <w:shd w:val="clear" w:color="auto" w:fill="DBE5F1" w:themeFill="accent1" w:themeFillTint="33"/>
            <w:noWrap/>
            <w:vAlign w:val="bottom"/>
            <w:hideMark/>
          </w:tcPr>
          <w:p w:rsidRPr="00DF0B46" w:rsidR="007D2EF8" w:rsidP="007D2EF8" w:rsidRDefault="007D2EF8" w14:paraId="17566341"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 </w:t>
            </w:r>
          </w:p>
        </w:tc>
        <w:tc>
          <w:tcPr>
            <w:tcW w:w="1843"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DF0B46" w:rsidR="007D2EF8" w:rsidP="00962221" w:rsidRDefault="007D2EF8" w14:paraId="682A71FA" w14:textId="77777777">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£M</w:t>
            </w:r>
          </w:p>
        </w:tc>
        <w:tc>
          <w:tcPr>
            <w:tcW w:w="1843" w:type="dxa"/>
            <w:tcBorders>
              <w:top w:val="nil"/>
              <w:left w:val="nil"/>
              <w:bottom w:val="single" w:color="auto" w:sz="4" w:space="0"/>
              <w:right w:val="single" w:color="auto" w:sz="4" w:space="0"/>
            </w:tcBorders>
            <w:shd w:val="clear" w:color="auto" w:fill="DBE5F1" w:themeFill="accent1" w:themeFillTint="33"/>
            <w:noWrap/>
            <w:vAlign w:val="bottom"/>
            <w:hideMark/>
          </w:tcPr>
          <w:p w:rsidRPr="007E46F5" w:rsidR="007D2EF8" w:rsidP="00962221" w:rsidRDefault="007D2EF8" w14:paraId="3F637AF5" w14:textId="77777777">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£M</w:t>
            </w:r>
          </w:p>
        </w:tc>
      </w:tr>
      <w:tr w:rsidRPr="00614894" w:rsidR="007D2EF8" w:rsidTr="00480191" w14:paraId="2B2FF6E2"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12A196D1"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Opening Defined Benefit Obligation</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5C23972E" w14:textId="42E1C98A">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8.37</w:t>
            </w:r>
          </w:p>
        </w:tc>
        <w:tc>
          <w:tcPr>
            <w:tcW w:w="1843" w:type="dxa"/>
            <w:tcBorders>
              <w:top w:val="nil"/>
              <w:left w:val="nil"/>
              <w:bottom w:val="nil"/>
              <w:right w:val="single" w:color="auto" w:sz="4" w:space="0"/>
            </w:tcBorders>
            <w:shd w:val="clear" w:color="auto" w:fill="auto"/>
            <w:noWrap/>
            <w:vAlign w:val="bottom"/>
          </w:tcPr>
          <w:p w:rsidRPr="007E46F5" w:rsidR="007D2EF8" w:rsidP="00206F0F" w:rsidRDefault="007E46F5" w14:paraId="5C6BB5F2" w14:textId="57F2CADC">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8.34</w:t>
            </w:r>
          </w:p>
        </w:tc>
      </w:tr>
      <w:tr w:rsidRPr="00614894" w:rsidR="007D2EF8" w:rsidTr="00480191" w14:paraId="4BF7B615"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6A1EFA24"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Current Service Cost</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416F2034" w14:textId="3D68E4BB">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0.61</w:t>
            </w:r>
          </w:p>
        </w:tc>
        <w:tc>
          <w:tcPr>
            <w:tcW w:w="1843" w:type="dxa"/>
            <w:tcBorders>
              <w:top w:val="nil"/>
              <w:left w:val="nil"/>
              <w:bottom w:val="nil"/>
              <w:right w:val="single" w:color="auto" w:sz="4" w:space="0"/>
            </w:tcBorders>
            <w:shd w:val="clear" w:color="auto" w:fill="auto"/>
            <w:noWrap/>
            <w:vAlign w:val="bottom"/>
          </w:tcPr>
          <w:p w:rsidRPr="007E46F5" w:rsidR="007D2EF8" w:rsidP="00337E4E" w:rsidRDefault="007E46F5" w14:paraId="5F333EA9" w14:textId="1BB91B21">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0.66</w:t>
            </w:r>
          </w:p>
        </w:tc>
      </w:tr>
      <w:tr w:rsidRPr="00614894" w:rsidR="007D2EF8" w:rsidTr="00480191" w14:paraId="700D9E92"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CB1667" w14:paraId="7911118D"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Interest Expense on Defined B</w:t>
            </w:r>
            <w:r w:rsidRPr="00DF0B46" w:rsidR="007D2EF8">
              <w:rPr>
                <w:rFonts w:eastAsia="Times New Roman" w:cs="Arial"/>
                <w:color w:val="000000"/>
                <w:sz w:val="20"/>
                <w:szCs w:val="20"/>
                <w:lang w:eastAsia="en-GB"/>
              </w:rPr>
              <w:t>enefit Obligation</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1EDB4AD5" w14:textId="49DD1A91">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0.23</w:t>
            </w:r>
          </w:p>
        </w:tc>
        <w:tc>
          <w:tcPr>
            <w:tcW w:w="1843" w:type="dxa"/>
            <w:tcBorders>
              <w:top w:val="nil"/>
              <w:left w:val="nil"/>
              <w:bottom w:val="nil"/>
              <w:right w:val="single" w:color="auto" w:sz="4" w:space="0"/>
            </w:tcBorders>
            <w:shd w:val="clear" w:color="auto" w:fill="auto"/>
            <w:noWrap/>
            <w:vAlign w:val="bottom"/>
          </w:tcPr>
          <w:p w:rsidRPr="007E46F5" w:rsidR="007D2EF8" w:rsidP="00884E54" w:rsidRDefault="007E46F5" w14:paraId="5DD2838D" w14:textId="2B7A71C0">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0.18</w:t>
            </w:r>
          </w:p>
        </w:tc>
      </w:tr>
      <w:tr w:rsidRPr="00614894" w:rsidR="007D2EF8" w:rsidTr="00480191" w14:paraId="1C5FE647"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55894BE3"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Contribution by Participants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0F311F41" w14:textId="5994E11D">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0.09</w:t>
            </w:r>
          </w:p>
        </w:tc>
        <w:tc>
          <w:tcPr>
            <w:tcW w:w="1843" w:type="dxa"/>
            <w:tcBorders>
              <w:top w:val="nil"/>
              <w:left w:val="nil"/>
              <w:bottom w:val="nil"/>
              <w:right w:val="single" w:color="auto" w:sz="4" w:space="0"/>
            </w:tcBorders>
            <w:shd w:val="clear" w:color="auto" w:fill="auto"/>
            <w:noWrap/>
            <w:vAlign w:val="bottom"/>
          </w:tcPr>
          <w:p w:rsidRPr="007E46F5" w:rsidR="007D2EF8" w:rsidP="00337E4E" w:rsidRDefault="00C30576" w14:paraId="6A88C7A5" w14:textId="307F94D8">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7E46F5">
              <w:rPr>
                <w:rFonts w:eastAsia="Times New Roman" w:cs="Arial"/>
                <w:color w:val="000000"/>
                <w:sz w:val="20"/>
                <w:szCs w:val="20"/>
                <w:lang w:eastAsia="en-GB"/>
              </w:rPr>
              <w:t>.09</w:t>
            </w:r>
          </w:p>
        </w:tc>
      </w:tr>
      <w:tr w:rsidRPr="00614894" w:rsidR="007D2EF8" w:rsidTr="00480191" w14:paraId="710FC8E0"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2611E366"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Actuarial (Gains)/Losses due to Changes in Financial Assumptions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174D7CF9" w14:textId="530C3C4C">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(3.80)</w:t>
            </w:r>
          </w:p>
        </w:tc>
        <w:tc>
          <w:tcPr>
            <w:tcW w:w="1843" w:type="dxa"/>
            <w:tcBorders>
              <w:top w:val="nil"/>
              <w:left w:val="nil"/>
              <w:bottom w:val="nil"/>
              <w:right w:val="single" w:color="auto" w:sz="4" w:space="0"/>
            </w:tcBorders>
            <w:shd w:val="clear" w:color="auto" w:fill="auto"/>
            <w:noWrap/>
            <w:vAlign w:val="bottom"/>
          </w:tcPr>
          <w:p w:rsidRPr="007E46F5" w:rsidR="007D2EF8" w:rsidP="00337E4E" w:rsidRDefault="008D73C0" w14:paraId="12C029C9" w14:textId="3BDDF2AC">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w:t>
            </w:r>
            <w:r w:rsidRPr="007E46F5" w:rsidR="007E46F5">
              <w:rPr>
                <w:rFonts w:eastAsia="Times New Roman" w:cs="Arial"/>
                <w:color w:val="000000"/>
                <w:sz w:val="20"/>
                <w:szCs w:val="20"/>
                <w:lang w:eastAsia="en-GB"/>
              </w:rPr>
              <w:t>0.77</w:t>
            </w:r>
            <w:r w:rsidRPr="007E46F5">
              <w:rPr>
                <w:rFonts w:eastAsia="Times New Roman" w:cs="Arial"/>
                <w:color w:val="000000"/>
                <w:sz w:val="20"/>
                <w:szCs w:val="20"/>
                <w:lang w:eastAsia="en-GB"/>
              </w:rPr>
              <w:t>)</w:t>
            </w:r>
          </w:p>
        </w:tc>
      </w:tr>
      <w:tr w:rsidRPr="00614894" w:rsidR="007D2EF8" w:rsidTr="00480191" w14:paraId="36AD37C5"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059A36CF"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Actuarial (Gains)/Losses due to Changes in Demographic Assumptions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08355960" w14:textId="7813CA12">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(0.03)</w:t>
            </w:r>
          </w:p>
        </w:tc>
        <w:tc>
          <w:tcPr>
            <w:tcW w:w="1843" w:type="dxa"/>
            <w:tcBorders>
              <w:top w:val="nil"/>
              <w:left w:val="nil"/>
              <w:bottom w:val="nil"/>
              <w:right w:val="single" w:color="auto" w:sz="4" w:space="0"/>
            </w:tcBorders>
            <w:shd w:val="clear" w:color="auto" w:fill="auto"/>
            <w:noWrap/>
            <w:vAlign w:val="bottom"/>
          </w:tcPr>
          <w:p w:rsidRPr="007E46F5" w:rsidR="007D2EF8" w:rsidP="00884E54" w:rsidRDefault="008D73C0" w14:paraId="01B277DE" w14:textId="66EE69F9">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w:t>
            </w:r>
            <w:r w:rsidRPr="007E46F5" w:rsidR="007E46F5">
              <w:rPr>
                <w:rFonts w:eastAsia="Times New Roman" w:cs="Arial"/>
                <w:color w:val="000000"/>
                <w:sz w:val="20"/>
                <w:szCs w:val="20"/>
                <w:lang w:eastAsia="en-GB"/>
              </w:rPr>
              <w:t>0.08</w:t>
            </w:r>
            <w:r w:rsidRPr="007E46F5">
              <w:rPr>
                <w:rFonts w:eastAsia="Times New Roman" w:cs="Arial"/>
                <w:color w:val="000000"/>
                <w:sz w:val="20"/>
                <w:szCs w:val="20"/>
                <w:lang w:eastAsia="en-GB"/>
              </w:rPr>
              <w:t>)</w:t>
            </w:r>
          </w:p>
        </w:tc>
      </w:tr>
      <w:tr w:rsidRPr="00614894" w:rsidR="007D2EF8" w:rsidTr="00480191" w14:paraId="40B21122"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2E415C48"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Actuarial (Gains)/Losses due to Liability Experience</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DF0B46" w:rsidRDefault="00C30576" w14:paraId="1C7E0D3A" w14:textId="2709DD3E">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 xml:space="preserve">          </w:t>
            </w:r>
            <w:r w:rsidRPr="00DF0B46" w:rsidR="00DF0B46">
              <w:rPr>
                <w:rFonts w:eastAsia="Times New Roman" w:cs="Arial"/>
                <w:color w:val="000000"/>
                <w:sz w:val="20"/>
                <w:szCs w:val="20"/>
                <w:lang w:eastAsia="en-GB"/>
              </w:rPr>
              <w:t>0.21</w:t>
            </w:r>
            <w:r w:rsidRPr="00DF0B46">
              <w:rPr>
                <w:rFonts w:eastAsia="Times New Roman" w:cs="Arial"/>
                <w:color w:val="000000"/>
                <w:sz w:val="20"/>
                <w:szCs w:val="20"/>
                <w:lang w:eastAsia="en-GB"/>
              </w:rPr>
              <w:t xml:space="preserve">       </w:t>
            </w:r>
            <w:r w:rsidRPr="00DF0B46" w:rsidR="008D73C0">
              <w:rPr>
                <w:rFonts w:eastAsia="Times New Roman" w:cs="Arial"/>
                <w:color w:val="000000"/>
                <w:sz w:val="20"/>
                <w:szCs w:val="20"/>
                <w:lang w:eastAsia="en-GB"/>
              </w:rPr>
              <w:t xml:space="preserve">   </w:t>
            </w:r>
            <w:r w:rsidRPr="00DF0B46">
              <w:rPr>
                <w:rFonts w:eastAsia="Times New Roman" w:cs="Arial"/>
                <w:color w:val="000000"/>
                <w:sz w:val="20"/>
                <w:szCs w:val="20"/>
                <w:lang w:eastAsia="en-GB"/>
              </w:rPr>
              <w:t xml:space="preserve">    </w:t>
            </w:r>
          </w:p>
        </w:tc>
        <w:tc>
          <w:tcPr>
            <w:tcW w:w="1843" w:type="dxa"/>
            <w:tcBorders>
              <w:top w:val="nil"/>
              <w:left w:val="nil"/>
              <w:bottom w:val="nil"/>
              <w:right w:val="single" w:color="auto" w:sz="4" w:space="0"/>
            </w:tcBorders>
            <w:shd w:val="clear" w:color="auto" w:fill="auto"/>
            <w:noWrap/>
            <w:vAlign w:val="bottom"/>
          </w:tcPr>
          <w:p w:rsidRPr="007E46F5" w:rsidR="007D2EF8" w:rsidP="00337E4E" w:rsidRDefault="008D73C0" w14:paraId="2ACE2018" w14:textId="5B9EB383">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7E46F5">
              <w:rPr>
                <w:rFonts w:eastAsia="Times New Roman" w:cs="Arial"/>
                <w:color w:val="000000"/>
                <w:sz w:val="20"/>
                <w:szCs w:val="20"/>
                <w:lang w:eastAsia="en-GB"/>
              </w:rPr>
              <w:t>03</w:t>
            </w:r>
          </w:p>
        </w:tc>
      </w:tr>
      <w:tr w:rsidRPr="00614894" w:rsidR="007D2EF8" w:rsidTr="00480191" w14:paraId="1A9D0270"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0A482C15"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Net Benefits Paid Out</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0DCFD63B" w14:textId="4CCC32DF">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(0.04)</w:t>
            </w:r>
          </w:p>
        </w:tc>
        <w:tc>
          <w:tcPr>
            <w:tcW w:w="1843" w:type="dxa"/>
            <w:tcBorders>
              <w:top w:val="nil"/>
              <w:left w:val="nil"/>
              <w:bottom w:val="nil"/>
              <w:right w:val="single" w:color="auto" w:sz="4" w:space="0"/>
            </w:tcBorders>
            <w:shd w:val="clear" w:color="auto" w:fill="auto"/>
            <w:noWrap/>
            <w:vAlign w:val="bottom"/>
          </w:tcPr>
          <w:p w:rsidRPr="007E46F5" w:rsidR="007D2EF8" w:rsidP="00337E4E" w:rsidRDefault="00C30576" w14:paraId="795A5C8A" w14:textId="5A7029DA">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7E46F5">
              <w:rPr>
                <w:rFonts w:eastAsia="Times New Roman" w:cs="Arial"/>
                <w:color w:val="000000"/>
                <w:sz w:val="20"/>
                <w:szCs w:val="20"/>
                <w:lang w:eastAsia="en-GB"/>
              </w:rPr>
              <w:t>08</w:t>
            </w:r>
            <w:r w:rsidRPr="007E46F5" w:rsidR="003D68DB">
              <w:rPr>
                <w:rFonts w:eastAsia="Times New Roman" w:cs="Arial"/>
                <w:color w:val="000000"/>
                <w:sz w:val="20"/>
                <w:szCs w:val="20"/>
                <w:lang w:eastAsia="en-GB"/>
              </w:rPr>
              <w:t>)</w:t>
            </w:r>
          </w:p>
        </w:tc>
      </w:tr>
      <w:tr w:rsidRPr="00614894" w:rsidR="007D2EF8" w:rsidTr="00480191" w14:paraId="53830A33"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1473302C"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Past Service Cost Including Curtailments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220BC547" w14:textId="1175BF25">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0.00</w:t>
            </w:r>
          </w:p>
        </w:tc>
        <w:tc>
          <w:tcPr>
            <w:tcW w:w="1843" w:type="dxa"/>
            <w:tcBorders>
              <w:top w:val="nil"/>
              <w:left w:val="nil"/>
              <w:bottom w:val="nil"/>
              <w:right w:val="single" w:color="auto" w:sz="4" w:space="0"/>
            </w:tcBorders>
            <w:shd w:val="clear" w:color="auto" w:fill="auto"/>
            <w:noWrap/>
            <w:vAlign w:val="bottom"/>
          </w:tcPr>
          <w:p w:rsidRPr="007E46F5" w:rsidR="007D2EF8" w:rsidP="00337E4E" w:rsidRDefault="004F384A" w14:paraId="389BFE99" w14:textId="34ADEDAF">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C30576">
              <w:rPr>
                <w:rFonts w:eastAsia="Times New Roman" w:cs="Arial"/>
                <w:color w:val="000000"/>
                <w:sz w:val="20"/>
                <w:szCs w:val="20"/>
                <w:lang w:eastAsia="en-GB"/>
              </w:rPr>
              <w:t>.00</w:t>
            </w:r>
          </w:p>
        </w:tc>
      </w:tr>
      <w:tr w:rsidRPr="00614894" w:rsidR="007D2EF8" w:rsidTr="00480191" w14:paraId="6F348B00"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652B1F77"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Net Increase in Liabilities from Disposals/Acquisitions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4263095F" w14:textId="00F64471">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0.00</w:t>
            </w:r>
          </w:p>
        </w:tc>
        <w:tc>
          <w:tcPr>
            <w:tcW w:w="1843" w:type="dxa"/>
            <w:tcBorders>
              <w:top w:val="nil"/>
              <w:left w:val="nil"/>
              <w:bottom w:val="nil"/>
              <w:right w:val="single" w:color="auto" w:sz="4" w:space="0"/>
            </w:tcBorders>
            <w:shd w:val="clear" w:color="auto" w:fill="auto"/>
            <w:noWrap/>
            <w:vAlign w:val="bottom"/>
          </w:tcPr>
          <w:p w:rsidRPr="007E46F5" w:rsidR="007D2EF8" w:rsidP="00337E4E" w:rsidRDefault="004F384A" w14:paraId="6C6B65FD" w14:textId="57E60D17">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3D68DB">
              <w:rPr>
                <w:rFonts w:eastAsia="Times New Roman" w:cs="Arial"/>
                <w:color w:val="000000"/>
                <w:sz w:val="20"/>
                <w:szCs w:val="20"/>
                <w:lang w:eastAsia="en-GB"/>
              </w:rPr>
              <w:t>.00</w:t>
            </w:r>
          </w:p>
        </w:tc>
      </w:tr>
      <w:tr w:rsidRPr="00614894" w:rsidR="007D2EF8" w:rsidTr="00480191" w14:paraId="1C0125EF"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7D2EF8" w:rsidP="007D2EF8" w:rsidRDefault="007D2EF8" w14:paraId="4DC57503"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Settlements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7D2EF8" w:rsidP="007D2EF8" w:rsidRDefault="00DF0B46" w14:paraId="2B26D13A" w14:textId="6ACA7C4D">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0.00</w:t>
            </w:r>
          </w:p>
        </w:tc>
        <w:tc>
          <w:tcPr>
            <w:tcW w:w="1843" w:type="dxa"/>
            <w:tcBorders>
              <w:top w:val="nil"/>
              <w:left w:val="nil"/>
              <w:bottom w:val="nil"/>
              <w:right w:val="single" w:color="auto" w:sz="4" w:space="0"/>
            </w:tcBorders>
            <w:shd w:val="clear" w:color="auto" w:fill="auto"/>
            <w:noWrap/>
            <w:vAlign w:val="bottom"/>
          </w:tcPr>
          <w:p w:rsidRPr="007E46F5" w:rsidR="007D2EF8" w:rsidP="00337E4E" w:rsidRDefault="004F384A" w14:paraId="0B356F72" w14:textId="68BF1913">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3D68DB">
              <w:rPr>
                <w:rFonts w:eastAsia="Times New Roman" w:cs="Arial"/>
                <w:color w:val="000000"/>
                <w:sz w:val="20"/>
                <w:szCs w:val="20"/>
                <w:lang w:eastAsia="en-GB"/>
              </w:rPr>
              <w:t>.00</w:t>
            </w:r>
          </w:p>
        </w:tc>
      </w:tr>
      <w:tr w:rsidRPr="00614894" w:rsidR="007D2EF8" w:rsidTr="00FC31A7" w14:paraId="36286B28" w14:textId="77777777">
        <w:trPr>
          <w:trHeight w:val="300"/>
        </w:trPr>
        <w:tc>
          <w:tcPr>
            <w:tcW w:w="4961"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DF0B46" w:rsidR="007D2EF8" w:rsidP="007D2EF8" w:rsidRDefault="007D2EF8" w14:paraId="7318FA2B"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Closing Defined Benefit Obligation</w:t>
            </w:r>
          </w:p>
        </w:tc>
        <w:tc>
          <w:tcPr>
            <w:tcW w:w="1843"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DF0B46" w:rsidR="007D2EF8" w:rsidP="007D2EF8" w:rsidRDefault="00DF0B46" w14:paraId="2042343E" w14:textId="6E12DA2F">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5.64</w:t>
            </w:r>
          </w:p>
        </w:tc>
        <w:tc>
          <w:tcPr>
            <w:tcW w:w="1843"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7E46F5" w:rsidR="007D2EF8" w:rsidP="00337E4E" w:rsidRDefault="007E46F5" w14:paraId="26DAE24D" w14:textId="72C1EE56">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8.37</w:t>
            </w:r>
          </w:p>
        </w:tc>
      </w:tr>
    </w:tbl>
    <w:p w:rsidRPr="00614894" w:rsidR="00293B0B" w:rsidP="00CE3CBF" w:rsidRDefault="00293B0B" w14:paraId="47A3A670" w14:textId="3D228811">
      <w:pPr>
        <w:pStyle w:val="Heading3"/>
        <w:rPr>
          <w:highlight w:val="yellow"/>
        </w:rPr>
      </w:pPr>
    </w:p>
    <w:p w:rsidR="00636EB1" w:rsidP="00636EB1" w:rsidRDefault="00636EB1" w14:paraId="70CAD129" w14:textId="5A21ADB3"/>
    <w:p w:rsidRPr="00DF0B46" w:rsidR="006B4F79" w:rsidP="00636EB1" w:rsidRDefault="006B4F79" w14:paraId="5911A1AA" w14:textId="77777777"/>
    <w:p w:rsidRPr="00DF0B46" w:rsidR="007D2EF8" w:rsidP="00CE3CBF" w:rsidRDefault="007D2EF8" w14:paraId="44782E2D" w14:textId="77777777">
      <w:pPr>
        <w:pStyle w:val="Heading3"/>
      </w:pPr>
      <w:r w:rsidRPr="00DF0B46">
        <w:lastRenderedPageBreak/>
        <w:t xml:space="preserve">Changes to the Fair Value of Assets </w:t>
      </w:r>
      <w:r w:rsidRPr="00DF0B46" w:rsidR="00A41F36">
        <w:t>during</w:t>
      </w:r>
      <w:r w:rsidRPr="00DF0B46">
        <w:t xml:space="preserve"> the Accounting Period</w:t>
      </w:r>
    </w:p>
    <w:tbl>
      <w:tblPr>
        <w:tblW w:w="8647" w:type="dxa"/>
        <w:tblInd w:w="817" w:type="dxa"/>
        <w:tblLook w:val="04A0" w:firstRow="1" w:lastRow="0" w:firstColumn="1" w:lastColumn="0" w:noHBand="0" w:noVBand="1"/>
      </w:tblPr>
      <w:tblGrid>
        <w:gridCol w:w="4961"/>
        <w:gridCol w:w="1843"/>
        <w:gridCol w:w="1843"/>
      </w:tblGrid>
      <w:tr w:rsidRPr="00614894" w:rsidR="00973858" w:rsidTr="00FC31A7" w14:paraId="0322CDD3" w14:textId="77777777">
        <w:trPr>
          <w:trHeight w:val="300"/>
        </w:trPr>
        <w:tc>
          <w:tcPr>
            <w:tcW w:w="4961" w:type="dxa"/>
            <w:tcBorders>
              <w:top w:val="single" w:color="auto" w:sz="4" w:space="0"/>
              <w:left w:val="single" w:color="auto" w:sz="4" w:space="0"/>
              <w:bottom w:val="nil"/>
              <w:right w:val="nil"/>
            </w:tcBorders>
            <w:shd w:val="clear" w:color="auto" w:fill="DBE5F1" w:themeFill="accent1" w:themeFillTint="33"/>
            <w:noWrap/>
            <w:vAlign w:val="bottom"/>
            <w:hideMark/>
          </w:tcPr>
          <w:p w:rsidRPr="00DF0B46" w:rsidR="00973858" w:rsidP="00973858" w:rsidRDefault="00973858" w14:paraId="51903AB4"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 </w:t>
            </w:r>
          </w:p>
        </w:tc>
        <w:tc>
          <w:tcPr>
            <w:tcW w:w="1843"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DF0B46" w:rsidR="00973858" w:rsidP="00962221" w:rsidRDefault="00973858" w14:paraId="2528FABC" w14:textId="77777777">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Period Ended</w:t>
            </w:r>
          </w:p>
        </w:tc>
        <w:tc>
          <w:tcPr>
            <w:tcW w:w="1843" w:type="dxa"/>
            <w:tcBorders>
              <w:top w:val="single" w:color="auto" w:sz="4" w:space="0"/>
              <w:left w:val="nil"/>
              <w:bottom w:val="nil"/>
              <w:right w:val="single" w:color="auto" w:sz="4" w:space="0"/>
            </w:tcBorders>
            <w:shd w:val="clear" w:color="auto" w:fill="DBE5F1" w:themeFill="accent1" w:themeFillTint="33"/>
            <w:noWrap/>
            <w:vAlign w:val="bottom"/>
            <w:hideMark/>
          </w:tcPr>
          <w:p w:rsidRPr="00DF0B46" w:rsidR="00973858" w:rsidP="00962221" w:rsidRDefault="00973858" w14:paraId="3027D4FD" w14:textId="77777777">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Period Ended</w:t>
            </w:r>
          </w:p>
        </w:tc>
      </w:tr>
      <w:tr w:rsidRPr="00614894" w:rsidR="00973858" w:rsidTr="00FC31A7" w14:paraId="226E3FA3" w14:textId="77777777">
        <w:trPr>
          <w:trHeight w:val="300"/>
        </w:trPr>
        <w:tc>
          <w:tcPr>
            <w:tcW w:w="4961" w:type="dxa"/>
            <w:tcBorders>
              <w:top w:val="nil"/>
              <w:left w:val="single" w:color="auto" w:sz="4" w:space="0"/>
              <w:bottom w:val="nil"/>
              <w:right w:val="nil"/>
            </w:tcBorders>
            <w:shd w:val="clear" w:color="auto" w:fill="DBE5F1" w:themeFill="accent1" w:themeFillTint="33"/>
            <w:noWrap/>
            <w:vAlign w:val="bottom"/>
            <w:hideMark/>
          </w:tcPr>
          <w:p w:rsidRPr="00DF0B46" w:rsidR="00973858" w:rsidP="00973858" w:rsidRDefault="00973858" w14:paraId="693EB7F2"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 </w:t>
            </w:r>
          </w:p>
        </w:tc>
        <w:tc>
          <w:tcPr>
            <w:tcW w:w="1843" w:type="dxa"/>
            <w:tcBorders>
              <w:top w:val="nil"/>
              <w:left w:val="single" w:color="auto" w:sz="4" w:space="0"/>
              <w:bottom w:val="nil"/>
              <w:right w:val="single" w:color="auto" w:sz="4" w:space="0"/>
            </w:tcBorders>
            <w:shd w:val="clear" w:color="auto" w:fill="DBE5F1" w:themeFill="accent1" w:themeFillTint="33"/>
            <w:noWrap/>
            <w:vAlign w:val="bottom"/>
            <w:hideMark/>
          </w:tcPr>
          <w:p w:rsidRPr="00DF0B46" w:rsidR="00973858" w:rsidP="00962221" w:rsidRDefault="00C30576" w14:paraId="2623A3C6" w14:textId="11C24942">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31st March 202</w:t>
            </w:r>
            <w:r w:rsidRPr="00DF0B46" w:rsidR="00D034FC">
              <w:rPr>
                <w:rFonts w:eastAsia="Times New Roman" w:cs="Arial"/>
                <w:b/>
                <w:bCs/>
                <w:color w:val="000000"/>
                <w:sz w:val="20"/>
                <w:szCs w:val="20"/>
                <w:lang w:eastAsia="en-GB"/>
              </w:rPr>
              <w:t>3</w:t>
            </w:r>
          </w:p>
        </w:tc>
        <w:tc>
          <w:tcPr>
            <w:tcW w:w="1843" w:type="dxa"/>
            <w:tcBorders>
              <w:top w:val="nil"/>
              <w:left w:val="nil"/>
              <w:bottom w:val="nil"/>
              <w:right w:val="single" w:color="auto" w:sz="4" w:space="0"/>
            </w:tcBorders>
            <w:shd w:val="clear" w:color="auto" w:fill="DBE5F1" w:themeFill="accent1" w:themeFillTint="33"/>
            <w:noWrap/>
            <w:vAlign w:val="bottom"/>
            <w:hideMark/>
          </w:tcPr>
          <w:p w:rsidRPr="00DF0B46" w:rsidR="00973858" w:rsidP="00962221" w:rsidRDefault="00695D61" w14:paraId="404E99C7" w14:textId="6489BC68">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 xml:space="preserve">31st </w:t>
            </w:r>
            <w:r w:rsidRPr="00DF0B46" w:rsidR="00206F0F">
              <w:rPr>
                <w:rFonts w:eastAsia="Times New Roman" w:cs="Arial"/>
                <w:b/>
                <w:bCs/>
                <w:color w:val="000000"/>
                <w:sz w:val="20"/>
                <w:szCs w:val="20"/>
                <w:lang w:eastAsia="en-GB"/>
              </w:rPr>
              <w:t>March 20</w:t>
            </w:r>
            <w:r w:rsidRPr="00DF0B46" w:rsidR="00C30576">
              <w:rPr>
                <w:rFonts w:eastAsia="Times New Roman" w:cs="Arial"/>
                <w:b/>
                <w:bCs/>
                <w:color w:val="000000"/>
                <w:sz w:val="20"/>
                <w:szCs w:val="20"/>
                <w:lang w:eastAsia="en-GB"/>
              </w:rPr>
              <w:t>2</w:t>
            </w:r>
            <w:r w:rsidRPr="00DF0B46" w:rsidR="00D034FC">
              <w:rPr>
                <w:rFonts w:eastAsia="Times New Roman" w:cs="Arial"/>
                <w:b/>
                <w:bCs/>
                <w:color w:val="000000"/>
                <w:sz w:val="20"/>
                <w:szCs w:val="20"/>
                <w:lang w:eastAsia="en-GB"/>
              </w:rPr>
              <w:t>2</w:t>
            </w:r>
          </w:p>
        </w:tc>
      </w:tr>
      <w:tr w:rsidRPr="00614894" w:rsidR="00973858" w:rsidTr="00FC31A7" w14:paraId="793E35F1" w14:textId="77777777">
        <w:trPr>
          <w:trHeight w:val="300"/>
        </w:trPr>
        <w:tc>
          <w:tcPr>
            <w:tcW w:w="4961" w:type="dxa"/>
            <w:tcBorders>
              <w:top w:val="nil"/>
              <w:left w:val="single" w:color="auto" w:sz="4" w:space="0"/>
              <w:bottom w:val="single" w:color="auto" w:sz="4" w:space="0"/>
              <w:right w:val="nil"/>
            </w:tcBorders>
            <w:shd w:val="clear" w:color="auto" w:fill="DBE5F1" w:themeFill="accent1" w:themeFillTint="33"/>
            <w:noWrap/>
            <w:vAlign w:val="bottom"/>
            <w:hideMark/>
          </w:tcPr>
          <w:p w:rsidRPr="00DF0B46" w:rsidR="00973858" w:rsidP="00973858" w:rsidRDefault="00973858" w14:paraId="7A8C099B"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 </w:t>
            </w:r>
          </w:p>
        </w:tc>
        <w:tc>
          <w:tcPr>
            <w:tcW w:w="1843"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DF0B46" w:rsidR="00973858" w:rsidP="00962221" w:rsidRDefault="00973858" w14:paraId="695984C1" w14:textId="77777777">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£M</w:t>
            </w:r>
          </w:p>
        </w:tc>
        <w:tc>
          <w:tcPr>
            <w:tcW w:w="1843" w:type="dxa"/>
            <w:tcBorders>
              <w:top w:val="nil"/>
              <w:left w:val="nil"/>
              <w:bottom w:val="single" w:color="auto" w:sz="4" w:space="0"/>
              <w:right w:val="single" w:color="auto" w:sz="4" w:space="0"/>
            </w:tcBorders>
            <w:shd w:val="clear" w:color="auto" w:fill="DBE5F1" w:themeFill="accent1" w:themeFillTint="33"/>
            <w:noWrap/>
            <w:vAlign w:val="bottom"/>
            <w:hideMark/>
          </w:tcPr>
          <w:p w:rsidRPr="00DF0B46" w:rsidR="00973858" w:rsidP="00962221" w:rsidRDefault="00973858" w14:paraId="2A46CD49" w14:textId="77777777">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£M</w:t>
            </w:r>
          </w:p>
        </w:tc>
      </w:tr>
      <w:tr w:rsidRPr="00614894" w:rsidR="00973858" w:rsidTr="00480191" w14:paraId="2E9323CD"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973858" w:rsidP="00973858" w:rsidRDefault="00973858" w14:paraId="62A8693E"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Opening Fair Value of Assets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973858" w:rsidP="00973858" w:rsidRDefault="00DF0B46" w14:paraId="71DA51C0" w14:textId="3F337F91">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4.89</w:t>
            </w:r>
          </w:p>
        </w:tc>
        <w:tc>
          <w:tcPr>
            <w:tcW w:w="1843" w:type="dxa"/>
            <w:tcBorders>
              <w:top w:val="nil"/>
              <w:left w:val="nil"/>
              <w:bottom w:val="nil"/>
              <w:right w:val="single" w:color="auto" w:sz="4" w:space="0"/>
            </w:tcBorders>
            <w:shd w:val="clear" w:color="auto" w:fill="auto"/>
            <w:noWrap/>
            <w:vAlign w:val="bottom"/>
          </w:tcPr>
          <w:p w:rsidRPr="007E46F5" w:rsidR="00973858" w:rsidP="00FC5130" w:rsidRDefault="007E46F5" w14:paraId="5F7F37F9" w14:textId="409DA599">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4.3</w:t>
            </w:r>
          </w:p>
        </w:tc>
      </w:tr>
      <w:tr w:rsidRPr="00614894" w:rsidR="00973858" w:rsidTr="00480191" w14:paraId="4566825D"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973858" w:rsidP="00973858" w:rsidRDefault="00973858" w14:paraId="5DD128DE"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Interest Income on Assets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973858" w:rsidP="00973858" w:rsidRDefault="00DF0B46" w14:paraId="3C19ABBC" w14:textId="13CD064C">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0.14</w:t>
            </w:r>
          </w:p>
        </w:tc>
        <w:tc>
          <w:tcPr>
            <w:tcW w:w="1843" w:type="dxa"/>
            <w:tcBorders>
              <w:top w:val="nil"/>
              <w:left w:val="nil"/>
              <w:bottom w:val="nil"/>
              <w:right w:val="single" w:color="auto" w:sz="4" w:space="0"/>
            </w:tcBorders>
            <w:shd w:val="clear" w:color="auto" w:fill="auto"/>
            <w:noWrap/>
            <w:vAlign w:val="bottom"/>
          </w:tcPr>
          <w:p w:rsidRPr="007E46F5" w:rsidR="00973858" w:rsidP="00FC5130" w:rsidRDefault="00C30576" w14:paraId="3FDE1208" w14:textId="6C0382FB">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7E46F5">
              <w:rPr>
                <w:rFonts w:eastAsia="Times New Roman" w:cs="Arial"/>
                <w:color w:val="000000"/>
                <w:sz w:val="20"/>
                <w:szCs w:val="20"/>
                <w:lang w:eastAsia="en-GB"/>
              </w:rPr>
              <w:t>09</w:t>
            </w:r>
          </w:p>
        </w:tc>
      </w:tr>
      <w:tr w:rsidRPr="00614894" w:rsidR="00973858" w:rsidTr="00480191" w14:paraId="24376544"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973858" w:rsidP="00973858" w:rsidRDefault="00973858" w14:paraId="08A4123D"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Re-measurements Gains/(Losses) on Assets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D034FC" w:rsidP="00D034FC" w:rsidRDefault="00DF0B46" w14:paraId="195C6995" w14:textId="6363FCAD">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(0.27)</w:t>
            </w:r>
          </w:p>
        </w:tc>
        <w:tc>
          <w:tcPr>
            <w:tcW w:w="1843" w:type="dxa"/>
            <w:tcBorders>
              <w:top w:val="nil"/>
              <w:left w:val="nil"/>
              <w:bottom w:val="nil"/>
              <w:right w:val="single" w:color="auto" w:sz="4" w:space="0"/>
            </w:tcBorders>
            <w:shd w:val="clear" w:color="auto" w:fill="auto"/>
            <w:noWrap/>
            <w:vAlign w:val="bottom"/>
          </w:tcPr>
          <w:p w:rsidRPr="007E46F5" w:rsidR="00973858" w:rsidP="00FC5130" w:rsidRDefault="007E46F5" w14:paraId="094B2E2F" w14:textId="7E888A08">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0.20</w:t>
            </w:r>
          </w:p>
        </w:tc>
      </w:tr>
      <w:tr w:rsidRPr="00614894" w:rsidR="00973858" w:rsidTr="00480191" w14:paraId="49767168"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973858" w:rsidP="00973858" w:rsidRDefault="00973858" w14:paraId="7C34B146"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Contributions by the Employer</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973858" w:rsidP="00973858" w:rsidRDefault="00DF0B46" w14:paraId="0C81C6E4" w14:textId="1912723F">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0.31</w:t>
            </w:r>
          </w:p>
        </w:tc>
        <w:tc>
          <w:tcPr>
            <w:tcW w:w="1843" w:type="dxa"/>
            <w:tcBorders>
              <w:top w:val="nil"/>
              <w:left w:val="nil"/>
              <w:bottom w:val="nil"/>
              <w:right w:val="single" w:color="auto" w:sz="4" w:space="0"/>
            </w:tcBorders>
            <w:shd w:val="clear" w:color="auto" w:fill="auto"/>
            <w:noWrap/>
            <w:vAlign w:val="bottom"/>
          </w:tcPr>
          <w:p w:rsidRPr="007E46F5" w:rsidR="00973858" w:rsidP="00FC5130" w:rsidRDefault="007E46F5" w14:paraId="69B7C110" w14:textId="16EFE1C8">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0.29</w:t>
            </w:r>
          </w:p>
        </w:tc>
      </w:tr>
      <w:tr w:rsidRPr="00614894" w:rsidR="00973858" w:rsidTr="00480191" w14:paraId="75A62D3F"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973858" w:rsidP="00973858" w:rsidRDefault="00973858" w14:paraId="5FE98084"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Contribution by the Participant</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973858" w:rsidP="00973858" w:rsidRDefault="00DF0B46" w14:paraId="1BF42AB6" w14:textId="4939CF25">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0.09</w:t>
            </w:r>
          </w:p>
        </w:tc>
        <w:tc>
          <w:tcPr>
            <w:tcW w:w="1843" w:type="dxa"/>
            <w:tcBorders>
              <w:top w:val="nil"/>
              <w:left w:val="nil"/>
              <w:bottom w:val="nil"/>
              <w:right w:val="single" w:color="auto" w:sz="4" w:space="0"/>
            </w:tcBorders>
            <w:shd w:val="clear" w:color="auto" w:fill="auto"/>
            <w:noWrap/>
            <w:vAlign w:val="bottom"/>
          </w:tcPr>
          <w:p w:rsidRPr="007E46F5" w:rsidR="00973858" w:rsidP="00FC5130" w:rsidRDefault="00C30576" w14:paraId="01174B08" w14:textId="38823B59">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7E46F5">
              <w:rPr>
                <w:rFonts w:eastAsia="Times New Roman" w:cs="Arial"/>
                <w:color w:val="000000"/>
                <w:sz w:val="20"/>
                <w:szCs w:val="20"/>
                <w:lang w:eastAsia="en-GB"/>
              </w:rPr>
              <w:t>09</w:t>
            </w:r>
          </w:p>
        </w:tc>
      </w:tr>
      <w:tr w:rsidRPr="00614894" w:rsidR="00973858" w:rsidTr="00480191" w14:paraId="0FDDCB82"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973858" w:rsidP="00973858" w:rsidRDefault="00973858" w14:paraId="0322C4B3"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Net Benefits Paid out</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973858" w:rsidP="00973858" w:rsidRDefault="00DF0B46" w14:paraId="67E0BAF3" w14:textId="11880F03">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(0.04)</w:t>
            </w:r>
          </w:p>
        </w:tc>
        <w:tc>
          <w:tcPr>
            <w:tcW w:w="1843" w:type="dxa"/>
            <w:tcBorders>
              <w:top w:val="nil"/>
              <w:left w:val="nil"/>
              <w:bottom w:val="nil"/>
              <w:right w:val="single" w:color="auto" w:sz="4" w:space="0"/>
            </w:tcBorders>
            <w:shd w:val="clear" w:color="auto" w:fill="auto"/>
            <w:noWrap/>
            <w:vAlign w:val="bottom"/>
          </w:tcPr>
          <w:p w:rsidRPr="007E46F5" w:rsidR="00973858" w:rsidP="00FC5130" w:rsidRDefault="00C30576" w14:paraId="3370F7C3" w14:textId="3DB53325">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7E46F5">
              <w:rPr>
                <w:rFonts w:eastAsia="Times New Roman" w:cs="Arial"/>
                <w:color w:val="000000"/>
                <w:sz w:val="20"/>
                <w:szCs w:val="20"/>
                <w:lang w:eastAsia="en-GB"/>
              </w:rPr>
              <w:t>08</w:t>
            </w:r>
            <w:r w:rsidRPr="007E46F5" w:rsidR="00A63B03">
              <w:rPr>
                <w:rFonts w:eastAsia="Times New Roman" w:cs="Arial"/>
                <w:color w:val="000000"/>
                <w:sz w:val="20"/>
                <w:szCs w:val="20"/>
                <w:lang w:eastAsia="en-GB"/>
              </w:rPr>
              <w:t>)</w:t>
            </w:r>
          </w:p>
        </w:tc>
      </w:tr>
      <w:tr w:rsidRPr="00614894" w:rsidR="00973858" w:rsidTr="00480191" w14:paraId="6EB1D60D"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973858" w:rsidP="00973858" w:rsidRDefault="00973858" w14:paraId="4AD501A2"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Net increase in Assets from Disposals/Acquisitions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973858" w:rsidP="00973858" w:rsidRDefault="00DF0B46" w14:paraId="68AC81A9" w14:textId="6D8CFC90">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0.00</w:t>
            </w:r>
          </w:p>
        </w:tc>
        <w:tc>
          <w:tcPr>
            <w:tcW w:w="1843" w:type="dxa"/>
            <w:tcBorders>
              <w:top w:val="nil"/>
              <w:left w:val="nil"/>
              <w:bottom w:val="nil"/>
              <w:right w:val="single" w:color="auto" w:sz="4" w:space="0"/>
            </w:tcBorders>
            <w:shd w:val="clear" w:color="auto" w:fill="auto"/>
            <w:noWrap/>
            <w:vAlign w:val="bottom"/>
          </w:tcPr>
          <w:p w:rsidRPr="007E46F5" w:rsidR="00973858" w:rsidP="00FC5130" w:rsidRDefault="004F384A" w14:paraId="3CF71A1E" w14:textId="25C7471E">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FC31A7">
              <w:rPr>
                <w:rFonts w:eastAsia="Times New Roman" w:cs="Arial"/>
                <w:color w:val="000000"/>
                <w:sz w:val="20"/>
                <w:szCs w:val="20"/>
                <w:lang w:eastAsia="en-GB"/>
              </w:rPr>
              <w:t>.00</w:t>
            </w:r>
          </w:p>
        </w:tc>
      </w:tr>
      <w:tr w:rsidRPr="00614894" w:rsidR="00973858" w:rsidTr="00480191" w14:paraId="4D52509C" w14:textId="77777777">
        <w:trPr>
          <w:trHeight w:val="300"/>
        </w:trPr>
        <w:tc>
          <w:tcPr>
            <w:tcW w:w="4961" w:type="dxa"/>
            <w:tcBorders>
              <w:top w:val="nil"/>
              <w:left w:val="single" w:color="auto" w:sz="4" w:space="0"/>
              <w:bottom w:val="nil"/>
              <w:right w:val="nil"/>
            </w:tcBorders>
            <w:shd w:val="clear" w:color="auto" w:fill="auto"/>
            <w:noWrap/>
            <w:vAlign w:val="bottom"/>
            <w:hideMark/>
          </w:tcPr>
          <w:p w:rsidRPr="00DF0B46" w:rsidR="00973858" w:rsidP="00973858" w:rsidRDefault="00973858" w14:paraId="376D92CE" w14:textId="77777777">
            <w:pPr>
              <w:spacing w:after="0" w:line="240" w:lineRule="auto"/>
              <w:rPr>
                <w:rFonts w:eastAsia="Times New Roman" w:cs="Arial"/>
                <w:color w:val="000000"/>
                <w:sz w:val="20"/>
                <w:szCs w:val="20"/>
                <w:lang w:eastAsia="en-GB"/>
              </w:rPr>
            </w:pPr>
            <w:r w:rsidRPr="00DF0B46">
              <w:rPr>
                <w:rFonts w:eastAsia="Times New Roman" w:cs="Arial"/>
                <w:color w:val="000000"/>
                <w:sz w:val="20"/>
                <w:szCs w:val="20"/>
                <w:lang w:eastAsia="en-GB"/>
              </w:rPr>
              <w:t>Settlements</w:t>
            </w:r>
          </w:p>
        </w:tc>
        <w:tc>
          <w:tcPr>
            <w:tcW w:w="1843" w:type="dxa"/>
            <w:tcBorders>
              <w:top w:val="nil"/>
              <w:left w:val="single" w:color="auto" w:sz="4" w:space="0"/>
              <w:bottom w:val="nil"/>
              <w:right w:val="single" w:color="auto" w:sz="4" w:space="0"/>
            </w:tcBorders>
            <w:shd w:val="clear" w:color="auto" w:fill="auto"/>
            <w:noWrap/>
            <w:vAlign w:val="bottom"/>
            <w:hideMark/>
          </w:tcPr>
          <w:p w:rsidRPr="00DF0B46" w:rsidR="00973858" w:rsidP="00973858" w:rsidRDefault="00DF0B46" w14:paraId="01A5B9D6" w14:textId="167A08EC">
            <w:pPr>
              <w:spacing w:after="0" w:line="240" w:lineRule="auto"/>
              <w:jc w:val="right"/>
              <w:rPr>
                <w:rFonts w:eastAsia="Times New Roman" w:cs="Arial"/>
                <w:color w:val="000000"/>
                <w:sz w:val="20"/>
                <w:szCs w:val="20"/>
                <w:lang w:eastAsia="en-GB"/>
              </w:rPr>
            </w:pPr>
            <w:r w:rsidRPr="00DF0B46">
              <w:rPr>
                <w:rFonts w:eastAsia="Times New Roman" w:cs="Arial"/>
                <w:color w:val="000000"/>
                <w:sz w:val="20"/>
                <w:szCs w:val="20"/>
                <w:lang w:eastAsia="en-GB"/>
              </w:rPr>
              <w:t>0.00</w:t>
            </w:r>
          </w:p>
        </w:tc>
        <w:tc>
          <w:tcPr>
            <w:tcW w:w="1843" w:type="dxa"/>
            <w:tcBorders>
              <w:top w:val="nil"/>
              <w:left w:val="nil"/>
              <w:bottom w:val="nil"/>
              <w:right w:val="single" w:color="auto" w:sz="4" w:space="0"/>
            </w:tcBorders>
            <w:shd w:val="clear" w:color="auto" w:fill="auto"/>
            <w:noWrap/>
            <w:vAlign w:val="bottom"/>
          </w:tcPr>
          <w:p w:rsidRPr="007E46F5" w:rsidR="00973858" w:rsidP="00FC5130" w:rsidRDefault="004F384A" w14:paraId="4DD707C8" w14:textId="6FDA1BB0">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w:t>
            </w:r>
            <w:r w:rsidRPr="007E46F5" w:rsidR="00FC31A7">
              <w:rPr>
                <w:rFonts w:eastAsia="Times New Roman" w:cs="Arial"/>
                <w:color w:val="000000"/>
                <w:sz w:val="20"/>
                <w:szCs w:val="20"/>
                <w:lang w:eastAsia="en-GB"/>
              </w:rPr>
              <w:t>.00</w:t>
            </w:r>
          </w:p>
        </w:tc>
      </w:tr>
      <w:tr w:rsidRPr="00614894" w:rsidR="00973858" w:rsidTr="00FC31A7" w14:paraId="401BF7F1" w14:textId="77777777">
        <w:trPr>
          <w:trHeight w:val="300"/>
        </w:trPr>
        <w:tc>
          <w:tcPr>
            <w:tcW w:w="4961"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DF0B46" w:rsidR="00973858" w:rsidP="00973858" w:rsidRDefault="00973858" w14:paraId="69EB4484" w14:textId="77777777">
            <w:pPr>
              <w:spacing w:after="0" w:line="240" w:lineRule="auto"/>
              <w:rPr>
                <w:rFonts w:eastAsia="Times New Roman" w:cs="Arial"/>
                <w:b/>
                <w:bCs/>
                <w:color w:val="000000"/>
                <w:sz w:val="20"/>
                <w:szCs w:val="20"/>
                <w:lang w:eastAsia="en-GB"/>
              </w:rPr>
            </w:pPr>
            <w:r w:rsidRPr="00DF0B46">
              <w:rPr>
                <w:rFonts w:eastAsia="Times New Roman" w:cs="Arial"/>
                <w:b/>
                <w:bCs/>
                <w:color w:val="000000"/>
                <w:sz w:val="20"/>
                <w:szCs w:val="20"/>
                <w:lang w:eastAsia="en-GB"/>
              </w:rPr>
              <w:t>Closing Fair Value of Assets</w:t>
            </w:r>
          </w:p>
        </w:tc>
        <w:tc>
          <w:tcPr>
            <w:tcW w:w="1843"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DF0B46" w:rsidR="00973858" w:rsidP="00973858" w:rsidRDefault="00DF0B46" w14:paraId="01B05F9D" w14:textId="249990B8">
            <w:pPr>
              <w:spacing w:after="0" w:line="240" w:lineRule="auto"/>
              <w:jc w:val="right"/>
              <w:rPr>
                <w:rFonts w:eastAsia="Times New Roman" w:cs="Arial"/>
                <w:b/>
                <w:bCs/>
                <w:color w:val="000000"/>
                <w:sz w:val="20"/>
                <w:szCs w:val="20"/>
                <w:lang w:eastAsia="en-GB"/>
              </w:rPr>
            </w:pPr>
            <w:r w:rsidRPr="00DF0B46">
              <w:rPr>
                <w:rFonts w:eastAsia="Times New Roman" w:cs="Arial"/>
                <w:b/>
                <w:bCs/>
                <w:color w:val="000000"/>
                <w:sz w:val="20"/>
                <w:szCs w:val="20"/>
                <w:lang w:eastAsia="en-GB"/>
              </w:rPr>
              <w:t>5.12</w:t>
            </w:r>
          </w:p>
        </w:tc>
        <w:tc>
          <w:tcPr>
            <w:tcW w:w="1843"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7E46F5" w:rsidR="00973858" w:rsidP="00FC5130" w:rsidRDefault="007E46F5" w14:paraId="6650AD79" w14:textId="425B478A">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4.89</w:t>
            </w:r>
          </w:p>
        </w:tc>
      </w:tr>
    </w:tbl>
    <w:p w:rsidRPr="00DF0B46" w:rsidR="00973858" w:rsidP="00480191" w:rsidRDefault="00973858" w14:paraId="0C03A222" w14:textId="77777777">
      <w:pPr>
        <w:pStyle w:val="Heading3"/>
        <w:spacing w:before="240"/>
      </w:pPr>
      <w:r w:rsidRPr="00DF0B46">
        <w:t>Actual Return on Assets</w:t>
      </w:r>
    </w:p>
    <w:tbl>
      <w:tblPr>
        <w:tblW w:w="8647" w:type="dxa"/>
        <w:tblInd w:w="817" w:type="dxa"/>
        <w:tblLook w:val="04A0" w:firstRow="1" w:lastRow="0" w:firstColumn="1" w:lastColumn="0" w:noHBand="0" w:noVBand="1"/>
      </w:tblPr>
      <w:tblGrid>
        <w:gridCol w:w="4961"/>
        <w:gridCol w:w="1843"/>
        <w:gridCol w:w="1843"/>
      </w:tblGrid>
      <w:tr w:rsidRPr="00614894" w:rsidR="00973858" w:rsidTr="00FC31A7" w14:paraId="2C48B645" w14:textId="77777777">
        <w:trPr>
          <w:trHeight w:val="300"/>
        </w:trPr>
        <w:tc>
          <w:tcPr>
            <w:tcW w:w="4961" w:type="dxa"/>
            <w:tcBorders>
              <w:top w:val="single" w:color="auto" w:sz="4" w:space="0"/>
              <w:left w:val="single" w:color="auto" w:sz="4" w:space="0"/>
              <w:bottom w:val="nil"/>
              <w:right w:val="nil"/>
            </w:tcBorders>
            <w:shd w:val="clear" w:color="auto" w:fill="DBE5F1" w:themeFill="accent1" w:themeFillTint="33"/>
            <w:noWrap/>
            <w:vAlign w:val="bottom"/>
            <w:hideMark/>
          </w:tcPr>
          <w:p w:rsidRPr="00993177" w:rsidR="00973858" w:rsidP="00973858" w:rsidRDefault="00973858" w14:paraId="026FB411" w14:textId="77777777">
            <w:pPr>
              <w:spacing w:after="0" w:line="240" w:lineRule="auto"/>
              <w:rPr>
                <w:rFonts w:eastAsia="Times New Roman" w:cs="Arial"/>
                <w:b/>
                <w:bCs/>
                <w:color w:val="000000"/>
                <w:sz w:val="20"/>
                <w:szCs w:val="20"/>
                <w:lang w:eastAsia="en-GB"/>
              </w:rPr>
            </w:pPr>
            <w:r w:rsidRPr="00993177">
              <w:rPr>
                <w:rFonts w:eastAsia="Times New Roman" w:cs="Arial"/>
                <w:b/>
                <w:bCs/>
                <w:color w:val="000000"/>
                <w:sz w:val="20"/>
                <w:szCs w:val="20"/>
                <w:lang w:eastAsia="en-GB"/>
              </w:rPr>
              <w:t> </w:t>
            </w:r>
          </w:p>
        </w:tc>
        <w:tc>
          <w:tcPr>
            <w:tcW w:w="1843"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993177" w:rsidR="00973858" w:rsidP="00962221" w:rsidRDefault="00973858" w14:paraId="125BAF1E" w14:textId="77777777">
            <w:pPr>
              <w:spacing w:after="0" w:line="240" w:lineRule="auto"/>
              <w:jc w:val="right"/>
              <w:rPr>
                <w:rFonts w:eastAsia="Times New Roman" w:cs="Arial"/>
                <w:b/>
                <w:bCs/>
                <w:color w:val="000000"/>
                <w:sz w:val="20"/>
                <w:szCs w:val="20"/>
                <w:lang w:eastAsia="en-GB"/>
              </w:rPr>
            </w:pPr>
            <w:r w:rsidRPr="00993177">
              <w:rPr>
                <w:rFonts w:eastAsia="Times New Roman" w:cs="Arial"/>
                <w:b/>
                <w:bCs/>
                <w:color w:val="000000"/>
                <w:sz w:val="20"/>
                <w:szCs w:val="20"/>
                <w:lang w:eastAsia="en-GB"/>
              </w:rPr>
              <w:t>Period Ended</w:t>
            </w:r>
          </w:p>
        </w:tc>
        <w:tc>
          <w:tcPr>
            <w:tcW w:w="1843" w:type="dxa"/>
            <w:tcBorders>
              <w:top w:val="single" w:color="auto" w:sz="4" w:space="0"/>
              <w:left w:val="nil"/>
              <w:bottom w:val="nil"/>
              <w:right w:val="single" w:color="auto" w:sz="4" w:space="0"/>
            </w:tcBorders>
            <w:shd w:val="clear" w:color="auto" w:fill="DBE5F1" w:themeFill="accent1" w:themeFillTint="33"/>
            <w:noWrap/>
            <w:vAlign w:val="bottom"/>
            <w:hideMark/>
          </w:tcPr>
          <w:p w:rsidRPr="00993177" w:rsidR="00973858" w:rsidP="00962221" w:rsidRDefault="00973858" w14:paraId="6259DB8E" w14:textId="77777777">
            <w:pPr>
              <w:spacing w:after="0" w:line="240" w:lineRule="auto"/>
              <w:jc w:val="right"/>
              <w:rPr>
                <w:rFonts w:eastAsia="Times New Roman" w:cs="Arial"/>
                <w:b/>
                <w:bCs/>
                <w:color w:val="000000"/>
                <w:sz w:val="20"/>
                <w:szCs w:val="20"/>
                <w:lang w:eastAsia="en-GB"/>
              </w:rPr>
            </w:pPr>
            <w:r w:rsidRPr="00993177">
              <w:rPr>
                <w:rFonts w:eastAsia="Times New Roman" w:cs="Arial"/>
                <w:b/>
                <w:bCs/>
                <w:color w:val="000000"/>
                <w:sz w:val="20"/>
                <w:szCs w:val="20"/>
                <w:lang w:eastAsia="en-GB"/>
              </w:rPr>
              <w:t>Period Ended</w:t>
            </w:r>
          </w:p>
        </w:tc>
      </w:tr>
      <w:tr w:rsidRPr="00614894" w:rsidR="00973858" w:rsidTr="00FC31A7" w14:paraId="07CCB158" w14:textId="77777777">
        <w:trPr>
          <w:trHeight w:val="300"/>
        </w:trPr>
        <w:tc>
          <w:tcPr>
            <w:tcW w:w="4961" w:type="dxa"/>
            <w:tcBorders>
              <w:top w:val="nil"/>
              <w:left w:val="single" w:color="auto" w:sz="4" w:space="0"/>
              <w:bottom w:val="nil"/>
              <w:right w:val="nil"/>
            </w:tcBorders>
            <w:shd w:val="clear" w:color="auto" w:fill="DBE5F1" w:themeFill="accent1" w:themeFillTint="33"/>
            <w:noWrap/>
            <w:vAlign w:val="bottom"/>
            <w:hideMark/>
          </w:tcPr>
          <w:p w:rsidRPr="00993177" w:rsidR="00973858" w:rsidP="00973858" w:rsidRDefault="00973858" w14:paraId="7C854D2E"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 </w:t>
            </w:r>
          </w:p>
        </w:tc>
        <w:tc>
          <w:tcPr>
            <w:tcW w:w="1843" w:type="dxa"/>
            <w:tcBorders>
              <w:top w:val="nil"/>
              <w:left w:val="single" w:color="auto" w:sz="4" w:space="0"/>
              <w:bottom w:val="nil"/>
              <w:right w:val="single" w:color="auto" w:sz="4" w:space="0"/>
            </w:tcBorders>
            <w:shd w:val="clear" w:color="auto" w:fill="DBE5F1" w:themeFill="accent1" w:themeFillTint="33"/>
            <w:noWrap/>
            <w:vAlign w:val="bottom"/>
            <w:hideMark/>
          </w:tcPr>
          <w:p w:rsidRPr="00993177" w:rsidR="00973858" w:rsidP="00962221" w:rsidRDefault="00C30576" w14:paraId="20EECEEE" w14:textId="27CE018D">
            <w:pPr>
              <w:spacing w:after="0" w:line="240" w:lineRule="auto"/>
              <w:jc w:val="right"/>
              <w:rPr>
                <w:rFonts w:eastAsia="Times New Roman" w:cs="Arial"/>
                <w:b/>
                <w:bCs/>
                <w:color w:val="000000"/>
                <w:sz w:val="20"/>
                <w:szCs w:val="20"/>
                <w:lang w:eastAsia="en-GB"/>
              </w:rPr>
            </w:pPr>
            <w:r w:rsidRPr="00993177">
              <w:rPr>
                <w:rFonts w:eastAsia="Times New Roman" w:cs="Arial"/>
                <w:b/>
                <w:bCs/>
                <w:color w:val="000000"/>
                <w:sz w:val="20"/>
                <w:szCs w:val="20"/>
                <w:lang w:eastAsia="en-GB"/>
              </w:rPr>
              <w:t>31st March 202</w:t>
            </w:r>
            <w:r w:rsidRPr="00993177" w:rsidR="00D034FC">
              <w:rPr>
                <w:rFonts w:eastAsia="Times New Roman" w:cs="Arial"/>
                <w:b/>
                <w:bCs/>
                <w:color w:val="000000"/>
                <w:sz w:val="20"/>
                <w:szCs w:val="20"/>
                <w:lang w:eastAsia="en-GB"/>
              </w:rPr>
              <w:t>3</w:t>
            </w:r>
          </w:p>
        </w:tc>
        <w:tc>
          <w:tcPr>
            <w:tcW w:w="1843" w:type="dxa"/>
            <w:tcBorders>
              <w:top w:val="nil"/>
              <w:left w:val="nil"/>
              <w:bottom w:val="nil"/>
              <w:right w:val="single" w:color="auto" w:sz="4" w:space="0"/>
            </w:tcBorders>
            <w:shd w:val="clear" w:color="auto" w:fill="DBE5F1" w:themeFill="accent1" w:themeFillTint="33"/>
            <w:noWrap/>
            <w:vAlign w:val="bottom"/>
            <w:hideMark/>
          </w:tcPr>
          <w:p w:rsidRPr="00993177" w:rsidR="00973858" w:rsidP="00962221" w:rsidRDefault="00A0749F" w14:paraId="048545A0" w14:textId="174AB951">
            <w:pPr>
              <w:spacing w:after="0" w:line="240" w:lineRule="auto"/>
              <w:jc w:val="right"/>
              <w:rPr>
                <w:rFonts w:eastAsia="Times New Roman" w:cs="Arial"/>
                <w:b/>
                <w:bCs/>
                <w:color w:val="000000"/>
                <w:sz w:val="20"/>
                <w:szCs w:val="20"/>
                <w:lang w:eastAsia="en-GB"/>
              </w:rPr>
            </w:pPr>
            <w:r w:rsidRPr="00993177">
              <w:rPr>
                <w:rFonts w:eastAsia="Times New Roman" w:cs="Arial"/>
                <w:b/>
                <w:bCs/>
                <w:color w:val="000000"/>
                <w:sz w:val="20"/>
                <w:szCs w:val="20"/>
                <w:lang w:eastAsia="en-GB"/>
              </w:rPr>
              <w:t>31st March 20</w:t>
            </w:r>
            <w:r w:rsidRPr="00993177" w:rsidR="00C30576">
              <w:rPr>
                <w:rFonts w:eastAsia="Times New Roman" w:cs="Arial"/>
                <w:b/>
                <w:bCs/>
                <w:color w:val="000000"/>
                <w:sz w:val="20"/>
                <w:szCs w:val="20"/>
                <w:lang w:eastAsia="en-GB"/>
              </w:rPr>
              <w:t>2</w:t>
            </w:r>
            <w:r w:rsidRPr="00993177" w:rsidR="00D034FC">
              <w:rPr>
                <w:rFonts w:eastAsia="Times New Roman" w:cs="Arial"/>
                <w:b/>
                <w:bCs/>
                <w:color w:val="000000"/>
                <w:sz w:val="20"/>
                <w:szCs w:val="20"/>
                <w:lang w:eastAsia="en-GB"/>
              </w:rPr>
              <w:t>2</w:t>
            </w:r>
          </w:p>
        </w:tc>
      </w:tr>
      <w:tr w:rsidRPr="00614894" w:rsidR="00973858" w:rsidTr="00FC31A7" w14:paraId="5A36F81C" w14:textId="77777777">
        <w:trPr>
          <w:trHeight w:val="300"/>
        </w:trPr>
        <w:tc>
          <w:tcPr>
            <w:tcW w:w="4961" w:type="dxa"/>
            <w:tcBorders>
              <w:top w:val="nil"/>
              <w:left w:val="single" w:color="auto" w:sz="4" w:space="0"/>
              <w:bottom w:val="single" w:color="auto" w:sz="4" w:space="0"/>
              <w:right w:val="nil"/>
            </w:tcBorders>
            <w:shd w:val="clear" w:color="auto" w:fill="DBE5F1" w:themeFill="accent1" w:themeFillTint="33"/>
            <w:noWrap/>
            <w:vAlign w:val="bottom"/>
            <w:hideMark/>
          </w:tcPr>
          <w:p w:rsidRPr="00993177" w:rsidR="00973858" w:rsidP="00973858" w:rsidRDefault="00973858" w14:paraId="52BC2282"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 </w:t>
            </w:r>
          </w:p>
        </w:tc>
        <w:tc>
          <w:tcPr>
            <w:tcW w:w="1843"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993177" w:rsidR="00973858" w:rsidP="00962221" w:rsidRDefault="00973858" w14:paraId="1684AF25" w14:textId="77777777">
            <w:pPr>
              <w:spacing w:after="0" w:line="240" w:lineRule="auto"/>
              <w:jc w:val="right"/>
              <w:rPr>
                <w:rFonts w:eastAsia="Times New Roman" w:cs="Arial"/>
                <w:b/>
                <w:bCs/>
                <w:color w:val="000000"/>
                <w:sz w:val="20"/>
                <w:szCs w:val="20"/>
                <w:lang w:eastAsia="en-GB"/>
              </w:rPr>
            </w:pPr>
            <w:r w:rsidRPr="00993177">
              <w:rPr>
                <w:rFonts w:eastAsia="Times New Roman" w:cs="Arial"/>
                <w:b/>
                <w:bCs/>
                <w:color w:val="000000"/>
                <w:sz w:val="20"/>
                <w:szCs w:val="20"/>
                <w:lang w:eastAsia="en-GB"/>
              </w:rPr>
              <w:t>£M</w:t>
            </w:r>
          </w:p>
        </w:tc>
        <w:tc>
          <w:tcPr>
            <w:tcW w:w="1843" w:type="dxa"/>
            <w:tcBorders>
              <w:top w:val="nil"/>
              <w:left w:val="nil"/>
              <w:bottom w:val="single" w:color="auto" w:sz="4" w:space="0"/>
              <w:right w:val="single" w:color="auto" w:sz="4" w:space="0"/>
            </w:tcBorders>
            <w:shd w:val="clear" w:color="auto" w:fill="DBE5F1" w:themeFill="accent1" w:themeFillTint="33"/>
            <w:noWrap/>
            <w:vAlign w:val="bottom"/>
            <w:hideMark/>
          </w:tcPr>
          <w:p w:rsidRPr="00993177" w:rsidR="00973858" w:rsidP="00962221" w:rsidRDefault="00973858" w14:paraId="7B3FD0B7" w14:textId="77777777">
            <w:pPr>
              <w:spacing w:after="0" w:line="240" w:lineRule="auto"/>
              <w:jc w:val="right"/>
              <w:rPr>
                <w:rFonts w:eastAsia="Times New Roman" w:cs="Arial"/>
                <w:b/>
                <w:bCs/>
                <w:color w:val="000000"/>
                <w:sz w:val="20"/>
                <w:szCs w:val="20"/>
                <w:lang w:eastAsia="en-GB"/>
              </w:rPr>
            </w:pPr>
            <w:r w:rsidRPr="00993177">
              <w:rPr>
                <w:rFonts w:eastAsia="Times New Roman" w:cs="Arial"/>
                <w:b/>
                <w:bCs/>
                <w:color w:val="000000"/>
                <w:sz w:val="20"/>
                <w:szCs w:val="20"/>
                <w:lang w:eastAsia="en-GB"/>
              </w:rPr>
              <w:t>£M</w:t>
            </w:r>
          </w:p>
        </w:tc>
      </w:tr>
      <w:tr w:rsidRPr="00614894" w:rsidR="00973858" w:rsidTr="00480191" w14:paraId="2E88518B" w14:textId="77777777">
        <w:trPr>
          <w:trHeight w:val="300"/>
        </w:trPr>
        <w:tc>
          <w:tcPr>
            <w:tcW w:w="4961" w:type="dxa"/>
            <w:tcBorders>
              <w:top w:val="nil"/>
              <w:left w:val="single" w:color="auto" w:sz="4" w:space="0"/>
              <w:bottom w:val="nil"/>
              <w:right w:val="nil"/>
            </w:tcBorders>
            <w:shd w:val="clear" w:color="auto" w:fill="auto"/>
            <w:noWrap/>
            <w:vAlign w:val="bottom"/>
            <w:hideMark/>
          </w:tcPr>
          <w:p w:rsidRPr="00993177" w:rsidR="00973858" w:rsidP="00973858" w:rsidRDefault="00973858" w14:paraId="09D93F4A"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Interest Income on Assets</w:t>
            </w:r>
          </w:p>
        </w:tc>
        <w:tc>
          <w:tcPr>
            <w:tcW w:w="1843" w:type="dxa"/>
            <w:tcBorders>
              <w:top w:val="nil"/>
              <w:left w:val="single" w:color="auto" w:sz="4" w:space="0"/>
              <w:bottom w:val="nil"/>
              <w:right w:val="single" w:color="auto" w:sz="4" w:space="0"/>
            </w:tcBorders>
            <w:shd w:val="clear" w:color="auto" w:fill="auto"/>
            <w:noWrap/>
            <w:vAlign w:val="bottom"/>
            <w:hideMark/>
          </w:tcPr>
          <w:p w:rsidRPr="00993177" w:rsidR="00973858" w:rsidP="00973858" w:rsidRDefault="00993177" w14:paraId="6E5DA9AF" w14:textId="4822083F">
            <w:pPr>
              <w:spacing w:after="0" w:line="240" w:lineRule="auto"/>
              <w:jc w:val="right"/>
              <w:rPr>
                <w:rFonts w:eastAsia="Times New Roman" w:cs="Arial"/>
                <w:bCs/>
                <w:color w:val="000000"/>
                <w:sz w:val="20"/>
                <w:szCs w:val="20"/>
                <w:lang w:eastAsia="en-GB"/>
              </w:rPr>
            </w:pPr>
            <w:r w:rsidRPr="00993177">
              <w:rPr>
                <w:rFonts w:eastAsia="Times New Roman" w:cs="Arial"/>
                <w:bCs/>
                <w:color w:val="000000"/>
                <w:sz w:val="20"/>
                <w:szCs w:val="20"/>
                <w:lang w:eastAsia="en-GB"/>
              </w:rPr>
              <w:t>0.14</w:t>
            </w:r>
          </w:p>
        </w:tc>
        <w:tc>
          <w:tcPr>
            <w:tcW w:w="1843" w:type="dxa"/>
            <w:tcBorders>
              <w:top w:val="nil"/>
              <w:left w:val="nil"/>
              <w:bottom w:val="nil"/>
              <w:right w:val="single" w:color="auto" w:sz="4" w:space="0"/>
            </w:tcBorders>
            <w:shd w:val="clear" w:color="auto" w:fill="auto"/>
            <w:noWrap/>
            <w:vAlign w:val="bottom"/>
          </w:tcPr>
          <w:p w:rsidRPr="007E46F5" w:rsidR="00973858" w:rsidP="00AA5DA7" w:rsidRDefault="00C30576" w14:paraId="1A439A6F" w14:textId="7F56116D">
            <w:pPr>
              <w:spacing w:after="0" w:line="240" w:lineRule="auto"/>
              <w:jc w:val="right"/>
              <w:rPr>
                <w:rFonts w:eastAsia="Times New Roman" w:cs="Arial"/>
                <w:bCs/>
                <w:color w:val="000000"/>
                <w:sz w:val="20"/>
                <w:szCs w:val="20"/>
                <w:lang w:eastAsia="en-GB"/>
              </w:rPr>
            </w:pPr>
            <w:r w:rsidRPr="007E46F5">
              <w:rPr>
                <w:rFonts w:eastAsia="Times New Roman" w:cs="Arial"/>
                <w:bCs/>
                <w:color w:val="000000"/>
                <w:sz w:val="20"/>
                <w:szCs w:val="20"/>
                <w:lang w:eastAsia="en-GB"/>
              </w:rPr>
              <w:t>0.</w:t>
            </w:r>
            <w:r w:rsidRPr="007E46F5" w:rsidR="007E46F5">
              <w:rPr>
                <w:rFonts w:eastAsia="Times New Roman" w:cs="Arial"/>
                <w:bCs/>
                <w:color w:val="000000"/>
                <w:sz w:val="20"/>
                <w:szCs w:val="20"/>
                <w:lang w:eastAsia="en-GB"/>
              </w:rPr>
              <w:t>09</w:t>
            </w:r>
          </w:p>
        </w:tc>
      </w:tr>
      <w:tr w:rsidRPr="00614894" w:rsidR="00973858" w:rsidTr="00480191" w14:paraId="6847C607" w14:textId="77777777">
        <w:trPr>
          <w:trHeight w:val="300"/>
        </w:trPr>
        <w:tc>
          <w:tcPr>
            <w:tcW w:w="4961" w:type="dxa"/>
            <w:tcBorders>
              <w:top w:val="nil"/>
              <w:left w:val="single" w:color="auto" w:sz="4" w:space="0"/>
              <w:bottom w:val="nil"/>
              <w:right w:val="nil"/>
            </w:tcBorders>
            <w:shd w:val="clear" w:color="auto" w:fill="auto"/>
            <w:noWrap/>
            <w:vAlign w:val="bottom"/>
            <w:hideMark/>
          </w:tcPr>
          <w:p w:rsidRPr="00993177" w:rsidR="00973858" w:rsidP="00973858" w:rsidRDefault="00973858" w14:paraId="3EAD0455"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Re-measurements Gains/(Losses) on Assets</w:t>
            </w:r>
          </w:p>
        </w:tc>
        <w:tc>
          <w:tcPr>
            <w:tcW w:w="1843" w:type="dxa"/>
            <w:tcBorders>
              <w:top w:val="nil"/>
              <w:left w:val="single" w:color="auto" w:sz="4" w:space="0"/>
              <w:bottom w:val="nil"/>
              <w:right w:val="single" w:color="auto" w:sz="4" w:space="0"/>
            </w:tcBorders>
            <w:shd w:val="clear" w:color="auto" w:fill="auto"/>
            <w:noWrap/>
            <w:vAlign w:val="bottom"/>
            <w:hideMark/>
          </w:tcPr>
          <w:p w:rsidRPr="00993177" w:rsidR="00973858" w:rsidP="00973858" w:rsidRDefault="00993177" w14:paraId="0E8C0B9F" w14:textId="43288F1C">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(0.27)</w:t>
            </w:r>
          </w:p>
        </w:tc>
        <w:tc>
          <w:tcPr>
            <w:tcW w:w="1843" w:type="dxa"/>
            <w:tcBorders>
              <w:top w:val="nil"/>
              <w:left w:val="nil"/>
              <w:bottom w:val="nil"/>
              <w:right w:val="single" w:color="auto" w:sz="4" w:space="0"/>
            </w:tcBorders>
            <w:shd w:val="clear" w:color="auto" w:fill="auto"/>
            <w:noWrap/>
            <w:vAlign w:val="bottom"/>
          </w:tcPr>
          <w:p w:rsidRPr="007E46F5" w:rsidR="00973858" w:rsidP="00AA5DA7" w:rsidRDefault="007E46F5" w14:paraId="2DA684F7" w14:textId="0EA6CDD9">
            <w:pPr>
              <w:spacing w:after="0" w:line="240" w:lineRule="auto"/>
              <w:jc w:val="right"/>
              <w:rPr>
                <w:rFonts w:eastAsia="Times New Roman" w:cs="Arial"/>
                <w:color w:val="000000"/>
                <w:sz w:val="20"/>
                <w:szCs w:val="20"/>
                <w:lang w:eastAsia="en-GB"/>
              </w:rPr>
            </w:pPr>
            <w:r w:rsidRPr="007E46F5">
              <w:rPr>
                <w:rFonts w:eastAsia="Times New Roman" w:cs="Arial"/>
                <w:color w:val="000000"/>
                <w:sz w:val="20"/>
                <w:szCs w:val="20"/>
                <w:lang w:eastAsia="en-GB"/>
              </w:rPr>
              <w:t>0.20</w:t>
            </w:r>
          </w:p>
        </w:tc>
      </w:tr>
      <w:tr w:rsidRPr="00614894" w:rsidR="00973858" w:rsidTr="00FC31A7" w14:paraId="56C69611" w14:textId="77777777">
        <w:trPr>
          <w:trHeight w:val="300"/>
        </w:trPr>
        <w:tc>
          <w:tcPr>
            <w:tcW w:w="4961"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993177" w:rsidR="00973858" w:rsidP="00973858" w:rsidRDefault="00104DA5" w14:paraId="2484F3A1" w14:textId="77777777">
            <w:pPr>
              <w:spacing w:after="0" w:line="240" w:lineRule="auto"/>
              <w:rPr>
                <w:rFonts w:eastAsia="Times New Roman" w:cs="Arial"/>
                <w:b/>
                <w:bCs/>
                <w:color w:val="000000"/>
                <w:sz w:val="20"/>
                <w:szCs w:val="20"/>
                <w:lang w:eastAsia="en-GB"/>
              </w:rPr>
            </w:pPr>
            <w:r w:rsidRPr="00993177">
              <w:rPr>
                <w:rFonts w:eastAsia="Times New Roman" w:cs="Arial"/>
                <w:b/>
                <w:bCs/>
                <w:color w:val="000000"/>
                <w:sz w:val="20"/>
                <w:szCs w:val="20"/>
                <w:lang w:eastAsia="en-GB"/>
              </w:rPr>
              <w:t xml:space="preserve">Actual Return on </w:t>
            </w:r>
            <w:r w:rsidRPr="00993177" w:rsidR="00973858">
              <w:rPr>
                <w:rFonts w:eastAsia="Times New Roman" w:cs="Arial"/>
                <w:b/>
                <w:bCs/>
                <w:color w:val="000000"/>
                <w:sz w:val="20"/>
                <w:szCs w:val="20"/>
                <w:lang w:eastAsia="en-GB"/>
              </w:rPr>
              <w:t>Assets</w:t>
            </w:r>
          </w:p>
        </w:tc>
        <w:tc>
          <w:tcPr>
            <w:tcW w:w="1843"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993177" w:rsidR="00973858" w:rsidP="00973858" w:rsidRDefault="00993177" w14:paraId="1B832F59" w14:textId="45AA577F">
            <w:pPr>
              <w:spacing w:after="0" w:line="240" w:lineRule="auto"/>
              <w:jc w:val="right"/>
              <w:rPr>
                <w:rFonts w:eastAsia="Times New Roman" w:cs="Arial"/>
                <w:b/>
                <w:bCs/>
                <w:color w:val="000000"/>
                <w:sz w:val="20"/>
                <w:szCs w:val="20"/>
                <w:lang w:eastAsia="en-GB"/>
              </w:rPr>
            </w:pPr>
            <w:r w:rsidRPr="00993177">
              <w:rPr>
                <w:rFonts w:eastAsia="Times New Roman" w:cs="Arial"/>
                <w:b/>
                <w:bCs/>
                <w:color w:val="000000"/>
                <w:sz w:val="20"/>
                <w:szCs w:val="20"/>
                <w:lang w:eastAsia="en-GB"/>
              </w:rPr>
              <w:t>(0.13)</w:t>
            </w:r>
          </w:p>
        </w:tc>
        <w:tc>
          <w:tcPr>
            <w:tcW w:w="1843" w:type="dxa"/>
            <w:tcBorders>
              <w:top w:val="single" w:color="auto" w:sz="4" w:space="0"/>
              <w:left w:val="nil"/>
              <w:bottom w:val="single" w:color="auto" w:sz="4" w:space="0"/>
              <w:right w:val="single" w:color="auto" w:sz="4" w:space="0"/>
            </w:tcBorders>
            <w:shd w:val="clear" w:color="auto" w:fill="DBE5F1" w:themeFill="accent1" w:themeFillTint="33"/>
            <w:noWrap/>
            <w:vAlign w:val="bottom"/>
          </w:tcPr>
          <w:p w:rsidRPr="007E46F5" w:rsidR="00973858" w:rsidP="00AA5DA7" w:rsidRDefault="007E46F5" w14:paraId="12BC243B" w14:textId="236A18A8">
            <w:pPr>
              <w:spacing w:after="0" w:line="240" w:lineRule="auto"/>
              <w:jc w:val="right"/>
              <w:rPr>
                <w:rFonts w:eastAsia="Times New Roman" w:cs="Arial"/>
                <w:b/>
                <w:bCs/>
                <w:color w:val="000000"/>
                <w:sz w:val="20"/>
                <w:szCs w:val="20"/>
                <w:lang w:eastAsia="en-GB"/>
              </w:rPr>
            </w:pPr>
            <w:r w:rsidRPr="007E46F5">
              <w:rPr>
                <w:rFonts w:eastAsia="Times New Roman" w:cs="Arial"/>
                <w:b/>
                <w:bCs/>
                <w:color w:val="000000"/>
                <w:sz w:val="20"/>
                <w:szCs w:val="20"/>
                <w:lang w:eastAsia="en-GB"/>
              </w:rPr>
              <w:t>0.29</w:t>
            </w:r>
          </w:p>
        </w:tc>
      </w:tr>
    </w:tbl>
    <w:p w:rsidRPr="00614894" w:rsidR="005E4BFE" w:rsidP="00480191" w:rsidRDefault="005E4BFE" w14:paraId="2A8698A6" w14:textId="77777777">
      <w:pPr>
        <w:pStyle w:val="Heading3"/>
        <w:spacing w:before="240"/>
        <w:rPr>
          <w:highlight w:val="yellow"/>
        </w:rPr>
      </w:pPr>
    </w:p>
    <w:p w:rsidRPr="00993177" w:rsidR="00973858" w:rsidP="00480191" w:rsidRDefault="00973858" w14:paraId="1B77F194" w14:textId="635D564F">
      <w:pPr>
        <w:pStyle w:val="Heading3"/>
        <w:spacing w:before="240"/>
      </w:pPr>
      <w:r w:rsidRPr="00993177">
        <w:t>Sensitivity Analysis</w:t>
      </w:r>
      <w:r w:rsidRPr="00993177" w:rsidR="00A63B03">
        <w:t xml:space="preserve"> of Projected Service Costs 202</w:t>
      </w:r>
      <w:r w:rsidRPr="00993177" w:rsidR="00D034FC">
        <w:t>2</w:t>
      </w:r>
      <w:r w:rsidRPr="00993177" w:rsidR="00A63B03">
        <w:t>/2</w:t>
      </w:r>
      <w:r w:rsidRPr="00993177" w:rsidR="00D034FC">
        <w:t>3</w:t>
      </w:r>
    </w:p>
    <w:p w:rsidR="00993177" w:rsidP="00993177" w:rsidRDefault="00EE02B7" w14:paraId="30080F31" w14:textId="1ED89EEA">
      <w:pPr>
        <w:pStyle w:val="ListParagraph"/>
        <w:rPr>
          <w:rStyle w:val="normaltextrun"/>
          <w:rFonts w:cs="Arial"/>
          <w:lang w:val="en-US"/>
        </w:rPr>
      </w:pPr>
      <w:r w:rsidRPr="00993177">
        <w:t xml:space="preserve">The </w:t>
      </w:r>
      <w:r w:rsidRPr="00993177" w:rsidR="00993177">
        <w:rPr>
          <w:rStyle w:val="normaltextrun"/>
          <w:rFonts w:cs="Arial"/>
          <w:lang w:val="en-US"/>
        </w:rPr>
        <w:t>estimation of the defined benefit obligations is sensitive to the actuarial assumptions. The sensitivity</w:t>
      </w:r>
      <w:r w:rsidR="00993177">
        <w:rPr>
          <w:rStyle w:val="normaltextrun"/>
          <w:rFonts w:cs="Arial"/>
          <w:lang w:val="en-US"/>
        </w:rPr>
        <w:t xml:space="preserve"> analyses below have been determined based on reasonably possible changes of the assumptions occurring at the end of the reporting period</w:t>
      </w:r>
      <w:r w:rsidR="00993177">
        <w:rPr>
          <w:rStyle w:val="normaltextrun"/>
          <w:rFonts w:cs="Arial"/>
          <w:b/>
          <w:bCs/>
          <w:lang w:val="en-US"/>
        </w:rPr>
        <w:t xml:space="preserve"> </w:t>
      </w:r>
      <w:r w:rsidR="00993177">
        <w:rPr>
          <w:rStyle w:val="normaltextrun"/>
          <w:rFonts w:cs="Arial"/>
          <w:lang w:val="en-US"/>
        </w:rPr>
        <w:t xml:space="preserve">and assumes for each change that the assumption </w:t>
      </w:r>
      <w:proofErr w:type="spellStart"/>
      <w:r w:rsidR="00993177">
        <w:rPr>
          <w:rStyle w:val="normaltextrun"/>
          <w:rFonts w:cs="Arial"/>
          <w:lang w:val="en-US"/>
        </w:rPr>
        <w:t>analysed</w:t>
      </w:r>
      <w:proofErr w:type="spellEnd"/>
      <w:r w:rsidR="00993177">
        <w:rPr>
          <w:rStyle w:val="normaltextrun"/>
          <w:rFonts w:cs="Arial"/>
          <w:lang w:val="en-US"/>
        </w:rPr>
        <w:t xml:space="preserve"> changes while all the other assumptions remain constant. The assumptions in longevity, for example, assume that life expectancy increases or decreases for men and women. In practice, this is unlikely to occur, and changes in some of the assumptions may be interrelated. The estimations in the sensitivity analysis have followed the accounting policies for the scheme, i.e.</w:t>
      </w:r>
      <w:r w:rsidR="00A04101">
        <w:rPr>
          <w:rStyle w:val="normaltextrun"/>
          <w:rFonts w:cs="Arial"/>
          <w:lang w:val="en-US"/>
        </w:rPr>
        <w:t>,</w:t>
      </w:r>
      <w:r w:rsidR="00993177">
        <w:rPr>
          <w:rStyle w:val="normaltextrun"/>
          <w:rFonts w:cs="Arial"/>
          <w:lang w:val="en-US"/>
        </w:rPr>
        <w:t xml:space="preserve"> on an actuarial basis using the projected unit credit method. The methods and types of assumptions used in preparing the sensitivity analysis below did not change from those used in the previous period.</w:t>
      </w:r>
    </w:p>
    <w:p w:rsidR="00993177" w:rsidP="00993177" w:rsidRDefault="00993177" w14:paraId="6877BD61" w14:textId="07A3BFF7">
      <w:pPr>
        <w:pStyle w:val="ListParagraph"/>
        <w:rPr>
          <w:rFonts w:ascii="Segoe UI" w:hAnsi="Segoe UI" w:cs="Segoe UI"/>
          <w:sz w:val="18"/>
          <w:szCs w:val="18"/>
        </w:rPr>
      </w:pPr>
      <w:r>
        <w:rPr>
          <w:rStyle w:val="eop"/>
          <w:rFonts w:cs="Arial"/>
        </w:rPr>
        <w:t> </w:t>
      </w:r>
    </w:p>
    <w:p w:rsidR="00125E83" w:rsidP="00993177" w:rsidRDefault="00993177" w14:paraId="637B87B7" w14:textId="4BA6738F">
      <w:pPr>
        <w:pStyle w:val="ListParagraph"/>
        <w:rPr>
          <w:rStyle w:val="eop"/>
          <w:rFonts w:cs="Arial"/>
        </w:rPr>
      </w:pPr>
      <w:r>
        <w:rPr>
          <w:rStyle w:val="normaltextrun"/>
          <w:rFonts w:cs="Arial"/>
          <w:lang w:val="en-US"/>
        </w:rPr>
        <w:t>Projected service cost in the sensitivity analysis below is the projected service cost for the period ending 31st March 2024.</w:t>
      </w:r>
      <w:r>
        <w:rPr>
          <w:rStyle w:val="eop"/>
          <w:rFonts w:cs="Arial"/>
        </w:rPr>
        <w:t> </w:t>
      </w:r>
    </w:p>
    <w:p w:rsidRPr="00993177" w:rsidR="00993177" w:rsidP="00993177" w:rsidRDefault="00993177" w14:paraId="4BAC18D4" w14:textId="77777777">
      <w:pPr>
        <w:pStyle w:val="ListParagraph"/>
        <w:rPr>
          <w:rFonts w:ascii="Segoe UI" w:hAnsi="Segoe UI" w:cs="Segoe UI"/>
          <w:sz w:val="18"/>
          <w:szCs w:val="18"/>
        </w:rPr>
      </w:pPr>
    </w:p>
    <w:p w:rsidR="00A2163C" w:rsidP="00480191" w:rsidRDefault="00A2163C" w14:paraId="74FBBC87" w14:textId="77777777">
      <w:pPr>
        <w:pStyle w:val="ListParagraph"/>
        <w:spacing w:after="0"/>
        <w:ind w:left="1080"/>
        <w:jc w:val="both"/>
        <w:rPr>
          <w:rFonts w:cs="Arial"/>
          <w:b/>
        </w:rPr>
      </w:pPr>
    </w:p>
    <w:p w:rsidR="00A2163C" w:rsidP="00480191" w:rsidRDefault="00A2163C" w14:paraId="5B57B953" w14:textId="1473D758">
      <w:pPr>
        <w:pStyle w:val="ListParagraph"/>
        <w:spacing w:after="0"/>
        <w:ind w:left="1080"/>
        <w:jc w:val="both"/>
        <w:rPr>
          <w:rFonts w:cs="Arial"/>
          <w:b/>
        </w:rPr>
      </w:pPr>
    </w:p>
    <w:p w:rsidR="006B4F79" w:rsidP="00480191" w:rsidRDefault="006B4F79" w14:paraId="3B19039D" w14:textId="77777777">
      <w:pPr>
        <w:pStyle w:val="ListParagraph"/>
        <w:spacing w:after="0"/>
        <w:ind w:left="1080"/>
        <w:jc w:val="both"/>
        <w:rPr>
          <w:rFonts w:cs="Arial"/>
          <w:b/>
        </w:rPr>
      </w:pPr>
    </w:p>
    <w:p w:rsidR="00A2163C" w:rsidP="00480191" w:rsidRDefault="00A2163C" w14:paraId="3B147540" w14:textId="77777777">
      <w:pPr>
        <w:pStyle w:val="ListParagraph"/>
        <w:spacing w:after="0"/>
        <w:ind w:left="1080"/>
        <w:jc w:val="both"/>
        <w:rPr>
          <w:rFonts w:cs="Arial"/>
          <w:b/>
        </w:rPr>
      </w:pPr>
    </w:p>
    <w:p w:rsidR="00A2163C" w:rsidP="00480191" w:rsidRDefault="00A2163C" w14:paraId="0EBBF60D" w14:textId="77777777">
      <w:pPr>
        <w:pStyle w:val="ListParagraph"/>
        <w:spacing w:after="0"/>
        <w:ind w:left="1080"/>
        <w:jc w:val="both"/>
        <w:rPr>
          <w:rFonts w:cs="Arial"/>
          <w:b/>
        </w:rPr>
      </w:pPr>
    </w:p>
    <w:p w:rsidR="00A2163C" w:rsidP="00480191" w:rsidRDefault="00A2163C" w14:paraId="7A37817A" w14:textId="77777777">
      <w:pPr>
        <w:pStyle w:val="ListParagraph"/>
        <w:spacing w:after="0"/>
        <w:ind w:left="1080"/>
        <w:jc w:val="both"/>
        <w:rPr>
          <w:rFonts w:cs="Arial"/>
          <w:b/>
        </w:rPr>
      </w:pPr>
    </w:p>
    <w:p w:rsidRPr="00993177" w:rsidR="00973858" w:rsidP="00480191" w:rsidRDefault="00973858" w14:paraId="1512663A" w14:textId="5BDAF6B6">
      <w:pPr>
        <w:pStyle w:val="ListParagraph"/>
        <w:spacing w:after="0"/>
        <w:ind w:left="1080"/>
        <w:jc w:val="both"/>
        <w:rPr>
          <w:rFonts w:cs="Arial"/>
          <w:b/>
        </w:rPr>
      </w:pPr>
      <w:r w:rsidRPr="00993177">
        <w:rPr>
          <w:rFonts w:cs="Arial"/>
          <w:b/>
        </w:rPr>
        <w:lastRenderedPageBreak/>
        <w:t>Discount Rate Assumption</w:t>
      </w:r>
    </w:p>
    <w:p w:rsidRPr="00614894" w:rsidR="00480191" w:rsidP="00480191" w:rsidRDefault="00480191" w14:paraId="7DE88460" w14:textId="77777777">
      <w:pPr>
        <w:pStyle w:val="ListParagraph"/>
        <w:spacing w:after="0"/>
        <w:ind w:left="1080"/>
        <w:jc w:val="both"/>
        <w:rPr>
          <w:rFonts w:cs="Arial"/>
          <w:b/>
          <w:highlight w:val="yellow"/>
        </w:rPr>
      </w:pPr>
    </w:p>
    <w:tbl>
      <w:tblPr>
        <w:tblW w:w="8647" w:type="dxa"/>
        <w:tblInd w:w="817" w:type="dxa"/>
        <w:tblLook w:val="04A0" w:firstRow="1" w:lastRow="0" w:firstColumn="1" w:lastColumn="0" w:noHBand="0" w:noVBand="1"/>
      </w:tblPr>
      <w:tblGrid>
        <w:gridCol w:w="4961"/>
        <w:gridCol w:w="1276"/>
        <w:gridCol w:w="1134"/>
        <w:gridCol w:w="1276"/>
      </w:tblGrid>
      <w:tr w:rsidRPr="00993177" w:rsidR="004E5185" w:rsidTr="00FC31A7" w14:paraId="57E7046C" w14:textId="77777777">
        <w:trPr>
          <w:trHeight w:val="300"/>
        </w:trPr>
        <w:tc>
          <w:tcPr>
            <w:tcW w:w="4961"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993177" w:rsidR="004E5185" w:rsidP="004E5185" w:rsidRDefault="004E5185" w14:paraId="5C2B57C0" w14:textId="77777777">
            <w:pPr>
              <w:spacing w:after="0" w:line="240" w:lineRule="auto"/>
              <w:rPr>
                <w:rFonts w:eastAsia="Times New Roman" w:cs="Arial"/>
                <w:b/>
                <w:bCs/>
                <w:color w:val="000000"/>
                <w:sz w:val="20"/>
                <w:szCs w:val="20"/>
                <w:lang w:eastAsia="en-GB"/>
              </w:rPr>
            </w:pPr>
            <w:r w:rsidRPr="00993177">
              <w:rPr>
                <w:rFonts w:eastAsia="Times New Roman" w:cs="Arial"/>
                <w:b/>
                <w:bCs/>
                <w:color w:val="000000"/>
                <w:sz w:val="20"/>
                <w:szCs w:val="20"/>
                <w:lang w:eastAsia="en-GB"/>
              </w:rPr>
              <w:t>Adjustment to Discount Rate</w:t>
            </w:r>
          </w:p>
        </w:tc>
        <w:tc>
          <w:tcPr>
            <w:tcW w:w="1276"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993177" w:rsidR="004E5185" w:rsidP="004E5185" w:rsidRDefault="004E5185" w14:paraId="05D24AC7" w14:textId="77777777">
            <w:pPr>
              <w:spacing w:after="0" w:line="240" w:lineRule="auto"/>
              <w:jc w:val="center"/>
              <w:rPr>
                <w:rFonts w:eastAsia="Times New Roman" w:cs="Arial"/>
                <w:b/>
                <w:bCs/>
                <w:color w:val="000000"/>
                <w:sz w:val="20"/>
                <w:szCs w:val="20"/>
                <w:lang w:eastAsia="en-GB"/>
              </w:rPr>
            </w:pPr>
            <w:r w:rsidRPr="00993177">
              <w:rPr>
                <w:rFonts w:eastAsia="Times New Roman" w:cs="Arial"/>
                <w:b/>
                <w:bCs/>
                <w:color w:val="000000"/>
                <w:sz w:val="20"/>
                <w:szCs w:val="20"/>
                <w:lang w:eastAsia="en-GB"/>
              </w:rPr>
              <w:t>+0.1% p.a</w:t>
            </w:r>
            <w:r w:rsidRPr="00993177" w:rsidR="00263CDC">
              <w:rPr>
                <w:rFonts w:eastAsia="Times New Roman" w:cs="Arial"/>
                <w:b/>
                <w:bCs/>
                <w:color w:val="000000"/>
                <w:sz w:val="20"/>
                <w:szCs w:val="20"/>
                <w:lang w:eastAsia="en-GB"/>
              </w:rPr>
              <w:t>.</w:t>
            </w:r>
          </w:p>
        </w:tc>
        <w:tc>
          <w:tcPr>
            <w:tcW w:w="1134"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993177" w:rsidR="004E5185" w:rsidP="004E5185" w:rsidRDefault="004E5185" w14:paraId="6F8B6897" w14:textId="77777777">
            <w:pPr>
              <w:spacing w:after="0" w:line="240" w:lineRule="auto"/>
              <w:jc w:val="center"/>
              <w:rPr>
                <w:rFonts w:eastAsia="Times New Roman" w:cs="Arial"/>
                <w:b/>
                <w:bCs/>
                <w:color w:val="000000"/>
                <w:sz w:val="20"/>
                <w:szCs w:val="20"/>
                <w:lang w:eastAsia="en-GB"/>
              </w:rPr>
            </w:pPr>
            <w:r w:rsidRPr="00993177">
              <w:rPr>
                <w:rFonts w:eastAsia="Times New Roman" w:cs="Arial"/>
                <w:b/>
                <w:bCs/>
                <w:color w:val="000000"/>
                <w:sz w:val="20"/>
                <w:szCs w:val="20"/>
                <w:lang w:eastAsia="en-GB"/>
              </w:rPr>
              <w:t>Base Figure</w:t>
            </w:r>
          </w:p>
        </w:tc>
        <w:tc>
          <w:tcPr>
            <w:tcW w:w="1276"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993177" w:rsidR="004E5185" w:rsidP="004E5185" w:rsidRDefault="004E5185" w14:paraId="523860D1" w14:textId="77777777">
            <w:pPr>
              <w:spacing w:after="0" w:line="240" w:lineRule="auto"/>
              <w:jc w:val="center"/>
              <w:rPr>
                <w:rFonts w:eastAsia="Times New Roman" w:cs="Arial"/>
                <w:b/>
                <w:bCs/>
                <w:color w:val="000000"/>
                <w:sz w:val="20"/>
                <w:szCs w:val="20"/>
                <w:lang w:eastAsia="en-GB"/>
              </w:rPr>
            </w:pPr>
            <w:r w:rsidRPr="00993177">
              <w:rPr>
                <w:rFonts w:eastAsia="Times New Roman" w:cs="Arial"/>
                <w:b/>
                <w:bCs/>
                <w:color w:val="000000"/>
                <w:sz w:val="20"/>
                <w:szCs w:val="20"/>
                <w:lang w:eastAsia="en-GB"/>
              </w:rPr>
              <w:t>-0.1% p.a</w:t>
            </w:r>
            <w:r w:rsidRPr="00993177" w:rsidR="00263CDC">
              <w:rPr>
                <w:rFonts w:eastAsia="Times New Roman" w:cs="Arial"/>
                <w:b/>
                <w:bCs/>
                <w:color w:val="000000"/>
                <w:sz w:val="20"/>
                <w:szCs w:val="20"/>
                <w:lang w:eastAsia="en-GB"/>
              </w:rPr>
              <w:t>.</w:t>
            </w:r>
          </w:p>
        </w:tc>
      </w:tr>
      <w:tr w:rsidRPr="00993177" w:rsidR="004E5185" w:rsidTr="00480191" w14:paraId="29D4DF40" w14:textId="77777777">
        <w:trPr>
          <w:trHeight w:val="300"/>
        </w:trPr>
        <w:tc>
          <w:tcPr>
            <w:tcW w:w="4961" w:type="dxa"/>
            <w:tcBorders>
              <w:top w:val="single" w:color="auto" w:sz="4" w:space="0"/>
              <w:left w:val="single" w:color="auto" w:sz="4" w:space="0"/>
              <w:bottom w:val="nil"/>
              <w:right w:val="nil"/>
            </w:tcBorders>
            <w:shd w:val="clear" w:color="auto" w:fill="auto"/>
            <w:noWrap/>
            <w:vAlign w:val="bottom"/>
            <w:hideMark/>
          </w:tcPr>
          <w:p w:rsidRPr="00993177" w:rsidR="004E5185" w:rsidP="00257EFC" w:rsidRDefault="004E5185" w14:paraId="54A17C8C"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Present Value of Obligation (£M)</w:t>
            </w:r>
          </w:p>
        </w:tc>
        <w:tc>
          <w:tcPr>
            <w:tcW w:w="1276" w:type="dxa"/>
            <w:tcBorders>
              <w:top w:val="single" w:color="auto" w:sz="4" w:space="0"/>
              <w:left w:val="single" w:color="auto" w:sz="4" w:space="0"/>
              <w:bottom w:val="nil"/>
              <w:right w:val="single" w:color="auto" w:sz="4" w:space="0"/>
            </w:tcBorders>
            <w:shd w:val="clear" w:color="auto" w:fill="auto"/>
            <w:noWrap/>
            <w:vAlign w:val="bottom"/>
          </w:tcPr>
          <w:p w:rsidRPr="00993177" w:rsidR="00835AA2" w:rsidP="00AA5DA7" w:rsidRDefault="00993177" w14:paraId="2E36E28F" w14:textId="4C000273">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5.51</w:t>
            </w:r>
          </w:p>
        </w:tc>
        <w:tc>
          <w:tcPr>
            <w:tcW w:w="1134" w:type="dxa"/>
            <w:tcBorders>
              <w:top w:val="single" w:color="auto" w:sz="4" w:space="0"/>
              <w:left w:val="nil"/>
              <w:bottom w:val="nil"/>
              <w:right w:val="single" w:color="auto" w:sz="4" w:space="0"/>
            </w:tcBorders>
            <w:shd w:val="clear" w:color="auto" w:fill="auto"/>
            <w:noWrap/>
            <w:vAlign w:val="bottom"/>
          </w:tcPr>
          <w:p w:rsidRPr="00993177" w:rsidR="004E5185" w:rsidP="00AA5DA7" w:rsidRDefault="00993177" w14:paraId="0A9E538E" w14:textId="6C32A338">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5.64</w:t>
            </w:r>
          </w:p>
        </w:tc>
        <w:tc>
          <w:tcPr>
            <w:tcW w:w="1276" w:type="dxa"/>
            <w:tcBorders>
              <w:top w:val="single" w:color="auto" w:sz="4" w:space="0"/>
              <w:left w:val="nil"/>
              <w:bottom w:val="nil"/>
              <w:right w:val="single" w:color="auto" w:sz="4" w:space="0"/>
            </w:tcBorders>
            <w:shd w:val="clear" w:color="auto" w:fill="auto"/>
            <w:noWrap/>
            <w:vAlign w:val="bottom"/>
          </w:tcPr>
          <w:p w:rsidRPr="00993177" w:rsidR="004E5185" w:rsidP="00602D4B" w:rsidRDefault="00993177" w14:paraId="76F82CA0" w14:textId="25CE3C5D">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5.77</w:t>
            </w:r>
          </w:p>
        </w:tc>
      </w:tr>
      <w:tr w:rsidRPr="00993177" w:rsidR="004E5185" w:rsidTr="00480191" w14:paraId="291A08F5" w14:textId="77777777">
        <w:trPr>
          <w:trHeight w:val="300"/>
        </w:trPr>
        <w:tc>
          <w:tcPr>
            <w:tcW w:w="4961" w:type="dxa"/>
            <w:tcBorders>
              <w:top w:val="nil"/>
              <w:left w:val="single" w:color="auto" w:sz="4" w:space="0"/>
              <w:bottom w:val="nil"/>
              <w:right w:val="nil"/>
            </w:tcBorders>
            <w:shd w:val="clear" w:color="auto" w:fill="auto"/>
            <w:noWrap/>
            <w:vAlign w:val="bottom"/>
            <w:hideMark/>
          </w:tcPr>
          <w:p w:rsidRPr="00993177" w:rsidR="004E5185" w:rsidP="00257EFC" w:rsidRDefault="004E5185" w14:paraId="66856E18"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 Change in Present Value of Total Obligation</w:t>
            </w:r>
          </w:p>
        </w:tc>
        <w:tc>
          <w:tcPr>
            <w:tcW w:w="1276" w:type="dxa"/>
            <w:tcBorders>
              <w:top w:val="nil"/>
              <w:left w:val="single" w:color="auto" w:sz="4" w:space="0"/>
              <w:bottom w:val="nil"/>
              <w:right w:val="single" w:color="auto" w:sz="4" w:space="0"/>
            </w:tcBorders>
            <w:shd w:val="clear" w:color="auto" w:fill="auto"/>
            <w:noWrap/>
            <w:vAlign w:val="bottom"/>
          </w:tcPr>
          <w:p w:rsidRPr="00993177" w:rsidR="004E5185" w:rsidP="00AA5DA7" w:rsidRDefault="00993177" w14:paraId="27DD7260" w14:textId="1AF0BD27">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(2.3)%</w:t>
            </w:r>
          </w:p>
        </w:tc>
        <w:tc>
          <w:tcPr>
            <w:tcW w:w="1134" w:type="dxa"/>
            <w:tcBorders>
              <w:top w:val="nil"/>
              <w:left w:val="nil"/>
              <w:bottom w:val="nil"/>
              <w:right w:val="single" w:color="auto" w:sz="4" w:space="0"/>
            </w:tcBorders>
            <w:shd w:val="clear" w:color="auto" w:fill="auto"/>
            <w:noWrap/>
            <w:vAlign w:val="bottom"/>
          </w:tcPr>
          <w:p w:rsidRPr="00993177" w:rsidR="004E5185" w:rsidP="00AA5DA7" w:rsidRDefault="004E5185" w14:paraId="757996AD" w14:textId="77777777">
            <w:pPr>
              <w:spacing w:after="0" w:line="240" w:lineRule="auto"/>
              <w:jc w:val="right"/>
              <w:rPr>
                <w:rFonts w:eastAsia="Times New Roman" w:cs="Arial"/>
                <w:color w:val="000000"/>
                <w:sz w:val="20"/>
                <w:szCs w:val="20"/>
                <w:lang w:eastAsia="en-GB"/>
              </w:rPr>
            </w:pPr>
          </w:p>
        </w:tc>
        <w:tc>
          <w:tcPr>
            <w:tcW w:w="1276" w:type="dxa"/>
            <w:tcBorders>
              <w:top w:val="nil"/>
              <w:left w:val="nil"/>
              <w:bottom w:val="nil"/>
              <w:right w:val="single" w:color="auto" w:sz="4" w:space="0"/>
            </w:tcBorders>
            <w:shd w:val="clear" w:color="auto" w:fill="auto"/>
            <w:noWrap/>
            <w:vAlign w:val="bottom"/>
          </w:tcPr>
          <w:p w:rsidRPr="00993177" w:rsidR="004E5185" w:rsidP="00AA5DA7" w:rsidRDefault="00993177" w14:paraId="549667D4" w14:textId="64B562A3">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2.3%</w:t>
            </w:r>
          </w:p>
        </w:tc>
      </w:tr>
      <w:tr w:rsidRPr="00993177" w:rsidR="004E5185" w:rsidTr="00480191" w14:paraId="72C2C5DF" w14:textId="77777777">
        <w:trPr>
          <w:trHeight w:val="300"/>
        </w:trPr>
        <w:tc>
          <w:tcPr>
            <w:tcW w:w="4961" w:type="dxa"/>
            <w:tcBorders>
              <w:top w:val="nil"/>
              <w:left w:val="single" w:color="auto" w:sz="4" w:space="0"/>
              <w:bottom w:val="nil"/>
              <w:right w:val="nil"/>
            </w:tcBorders>
            <w:shd w:val="clear" w:color="auto" w:fill="auto"/>
            <w:noWrap/>
            <w:vAlign w:val="bottom"/>
            <w:hideMark/>
          </w:tcPr>
          <w:p w:rsidRPr="00993177" w:rsidR="004E5185" w:rsidP="00257EFC" w:rsidRDefault="004E5185" w14:paraId="66D669C8"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Projected Service Cost (£M)</w:t>
            </w:r>
          </w:p>
        </w:tc>
        <w:tc>
          <w:tcPr>
            <w:tcW w:w="1276" w:type="dxa"/>
            <w:tcBorders>
              <w:top w:val="nil"/>
              <w:left w:val="single" w:color="auto" w:sz="4" w:space="0"/>
              <w:bottom w:val="nil"/>
              <w:right w:val="single" w:color="auto" w:sz="4" w:space="0"/>
            </w:tcBorders>
            <w:shd w:val="clear" w:color="auto" w:fill="auto"/>
            <w:noWrap/>
            <w:vAlign w:val="bottom"/>
          </w:tcPr>
          <w:p w:rsidRPr="00993177" w:rsidR="004E5185" w:rsidP="00AA5DA7" w:rsidRDefault="00993177" w14:paraId="4AA50222" w14:textId="37C65083">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0.28</w:t>
            </w:r>
          </w:p>
        </w:tc>
        <w:tc>
          <w:tcPr>
            <w:tcW w:w="1134" w:type="dxa"/>
            <w:tcBorders>
              <w:top w:val="nil"/>
              <w:left w:val="nil"/>
              <w:bottom w:val="nil"/>
              <w:right w:val="single" w:color="auto" w:sz="4" w:space="0"/>
            </w:tcBorders>
            <w:shd w:val="clear" w:color="auto" w:fill="auto"/>
            <w:noWrap/>
            <w:vAlign w:val="bottom"/>
          </w:tcPr>
          <w:p w:rsidRPr="00993177" w:rsidR="004E5185" w:rsidP="00AA5DA7" w:rsidRDefault="00993177" w14:paraId="374FC272" w14:textId="273BC085">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0.29</w:t>
            </w:r>
          </w:p>
        </w:tc>
        <w:tc>
          <w:tcPr>
            <w:tcW w:w="1276" w:type="dxa"/>
            <w:tcBorders>
              <w:top w:val="nil"/>
              <w:left w:val="nil"/>
              <w:bottom w:val="nil"/>
              <w:right w:val="single" w:color="auto" w:sz="4" w:space="0"/>
            </w:tcBorders>
            <w:shd w:val="clear" w:color="auto" w:fill="auto"/>
            <w:noWrap/>
            <w:vAlign w:val="bottom"/>
          </w:tcPr>
          <w:p w:rsidRPr="00993177" w:rsidR="004E5185" w:rsidP="00AA5DA7" w:rsidRDefault="00993177" w14:paraId="09E35F11" w14:textId="7B444C46">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0.30</w:t>
            </w:r>
          </w:p>
        </w:tc>
      </w:tr>
      <w:tr w:rsidRPr="00993177" w:rsidR="004E5185" w:rsidTr="00480191" w14:paraId="03985ACB" w14:textId="77777777">
        <w:trPr>
          <w:trHeight w:val="300"/>
        </w:trPr>
        <w:tc>
          <w:tcPr>
            <w:tcW w:w="4961" w:type="dxa"/>
            <w:tcBorders>
              <w:top w:val="nil"/>
              <w:left w:val="single" w:color="auto" w:sz="4" w:space="0"/>
              <w:bottom w:val="single" w:color="auto" w:sz="4" w:space="0"/>
              <w:right w:val="nil"/>
            </w:tcBorders>
            <w:shd w:val="clear" w:color="auto" w:fill="auto"/>
            <w:noWrap/>
            <w:vAlign w:val="bottom"/>
            <w:hideMark/>
          </w:tcPr>
          <w:p w:rsidRPr="00993177" w:rsidR="004E5185" w:rsidP="00257EFC" w:rsidRDefault="004E5185" w14:paraId="352DECC8"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Approximate % Change in Projected Service Cost</w:t>
            </w:r>
          </w:p>
        </w:tc>
        <w:tc>
          <w:tcPr>
            <w:tcW w:w="1276" w:type="dxa"/>
            <w:tcBorders>
              <w:top w:val="nil"/>
              <w:left w:val="single" w:color="auto" w:sz="4" w:space="0"/>
              <w:bottom w:val="single" w:color="auto" w:sz="4" w:space="0"/>
              <w:right w:val="single" w:color="auto" w:sz="4" w:space="0"/>
            </w:tcBorders>
            <w:shd w:val="clear" w:color="auto" w:fill="auto"/>
            <w:noWrap/>
            <w:vAlign w:val="bottom"/>
          </w:tcPr>
          <w:p w:rsidRPr="00993177" w:rsidR="004E5185" w:rsidP="00AA5DA7" w:rsidRDefault="00A63B03" w14:paraId="3DE1765E" w14:textId="7FC1DAF3">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w:t>
            </w:r>
            <w:r w:rsidRPr="00993177" w:rsidR="00993177">
              <w:rPr>
                <w:rFonts w:eastAsia="Times New Roman" w:cs="Arial"/>
                <w:color w:val="000000"/>
                <w:sz w:val="20"/>
                <w:szCs w:val="20"/>
                <w:lang w:eastAsia="en-GB"/>
              </w:rPr>
              <w:t>4.0)%</w:t>
            </w:r>
          </w:p>
        </w:tc>
        <w:tc>
          <w:tcPr>
            <w:tcW w:w="1134" w:type="dxa"/>
            <w:tcBorders>
              <w:top w:val="nil"/>
              <w:left w:val="nil"/>
              <w:bottom w:val="single" w:color="auto" w:sz="4" w:space="0"/>
              <w:right w:val="single" w:color="auto" w:sz="4" w:space="0"/>
            </w:tcBorders>
            <w:shd w:val="clear" w:color="auto" w:fill="auto"/>
            <w:noWrap/>
            <w:vAlign w:val="bottom"/>
          </w:tcPr>
          <w:p w:rsidRPr="00993177" w:rsidR="004E5185" w:rsidP="00AA5DA7" w:rsidRDefault="004E5185" w14:paraId="0D86D974" w14:textId="77777777">
            <w:pPr>
              <w:spacing w:after="0" w:line="240" w:lineRule="auto"/>
              <w:jc w:val="right"/>
              <w:rPr>
                <w:rFonts w:eastAsia="Times New Roman" w:cs="Arial"/>
                <w:color w:val="000000"/>
                <w:sz w:val="20"/>
                <w:szCs w:val="20"/>
                <w:lang w:eastAsia="en-GB"/>
              </w:rPr>
            </w:pPr>
          </w:p>
        </w:tc>
        <w:tc>
          <w:tcPr>
            <w:tcW w:w="1276" w:type="dxa"/>
            <w:tcBorders>
              <w:top w:val="nil"/>
              <w:left w:val="nil"/>
              <w:bottom w:val="single" w:color="auto" w:sz="4" w:space="0"/>
              <w:right w:val="single" w:color="auto" w:sz="4" w:space="0"/>
            </w:tcBorders>
            <w:shd w:val="clear" w:color="auto" w:fill="auto"/>
            <w:noWrap/>
            <w:vAlign w:val="bottom"/>
          </w:tcPr>
          <w:p w:rsidRPr="00993177" w:rsidR="004E5185" w:rsidP="00AA5DA7" w:rsidRDefault="00993177" w14:paraId="095100CC" w14:textId="04F17834">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4.1%</w:t>
            </w:r>
          </w:p>
        </w:tc>
      </w:tr>
    </w:tbl>
    <w:p w:rsidR="00993177" w:rsidP="00480191" w:rsidRDefault="00993177" w14:paraId="2A8CD00A" w14:textId="77777777">
      <w:pPr>
        <w:pStyle w:val="ListParagraph"/>
        <w:spacing w:after="0"/>
        <w:ind w:left="1080"/>
        <w:jc w:val="both"/>
        <w:rPr>
          <w:rFonts w:cs="Arial"/>
          <w:b/>
          <w:highlight w:val="yellow"/>
        </w:rPr>
      </w:pPr>
    </w:p>
    <w:p w:rsidRPr="00993177" w:rsidR="004E5185" w:rsidP="00480191" w:rsidRDefault="00B51F51" w14:paraId="668270E9" w14:textId="3E9D1073">
      <w:pPr>
        <w:pStyle w:val="ListParagraph"/>
        <w:spacing w:after="0"/>
        <w:ind w:left="1080"/>
        <w:jc w:val="both"/>
        <w:rPr>
          <w:rFonts w:cs="Arial"/>
          <w:b/>
        </w:rPr>
      </w:pPr>
      <w:r w:rsidRPr="00993177">
        <w:rPr>
          <w:rFonts w:cs="Arial"/>
          <w:b/>
        </w:rPr>
        <w:t>R</w:t>
      </w:r>
      <w:r w:rsidRPr="00993177" w:rsidR="004E5185">
        <w:rPr>
          <w:rFonts w:cs="Arial"/>
          <w:b/>
        </w:rPr>
        <w:t>ate of General Increase in Salaries</w:t>
      </w:r>
    </w:p>
    <w:p w:rsidRPr="00614894" w:rsidR="00480191" w:rsidP="00480191" w:rsidRDefault="00480191" w14:paraId="35328D96" w14:textId="77777777">
      <w:pPr>
        <w:pStyle w:val="ListParagraph"/>
        <w:spacing w:after="0"/>
        <w:ind w:left="1080"/>
        <w:jc w:val="both"/>
        <w:rPr>
          <w:rFonts w:cs="Arial"/>
          <w:b/>
          <w:highlight w:val="yellow"/>
        </w:rPr>
      </w:pPr>
    </w:p>
    <w:tbl>
      <w:tblPr>
        <w:tblW w:w="8647" w:type="dxa"/>
        <w:tblInd w:w="817" w:type="dxa"/>
        <w:tblLook w:val="04A0" w:firstRow="1" w:lastRow="0" w:firstColumn="1" w:lastColumn="0" w:noHBand="0" w:noVBand="1"/>
      </w:tblPr>
      <w:tblGrid>
        <w:gridCol w:w="4961"/>
        <w:gridCol w:w="1276"/>
        <w:gridCol w:w="1134"/>
        <w:gridCol w:w="1276"/>
      </w:tblGrid>
      <w:tr w:rsidRPr="00614894" w:rsidR="004E5185" w:rsidTr="00FC31A7" w14:paraId="10B94968" w14:textId="77777777">
        <w:trPr>
          <w:trHeight w:val="300"/>
        </w:trPr>
        <w:tc>
          <w:tcPr>
            <w:tcW w:w="4961"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993177" w:rsidR="004E5185" w:rsidP="004E5185" w:rsidRDefault="004E5185" w14:paraId="6F6E7F64" w14:textId="77777777">
            <w:pPr>
              <w:spacing w:after="0" w:line="240" w:lineRule="auto"/>
              <w:rPr>
                <w:rFonts w:eastAsia="Times New Roman" w:cs="Arial"/>
                <w:b/>
                <w:bCs/>
                <w:color w:val="000000"/>
                <w:sz w:val="20"/>
                <w:szCs w:val="20"/>
                <w:lang w:eastAsia="en-GB"/>
              </w:rPr>
            </w:pPr>
            <w:r w:rsidRPr="00993177">
              <w:rPr>
                <w:rFonts w:eastAsia="Times New Roman" w:cs="Arial"/>
                <w:b/>
                <w:bCs/>
                <w:color w:val="000000"/>
                <w:sz w:val="20"/>
                <w:szCs w:val="20"/>
                <w:lang w:eastAsia="en-GB"/>
              </w:rPr>
              <w:t>Adjustment to Salary Increase Rate</w:t>
            </w:r>
          </w:p>
        </w:tc>
        <w:tc>
          <w:tcPr>
            <w:tcW w:w="1276"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993177" w:rsidR="004E5185" w:rsidP="004E5185" w:rsidRDefault="00263CDC" w14:paraId="7D1A1F9A" w14:textId="77777777">
            <w:pPr>
              <w:spacing w:after="0" w:line="240" w:lineRule="auto"/>
              <w:jc w:val="center"/>
              <w:rPr>
                <w:rFonts w:eastAsia="Times New Roman" w:cs="Arial"/>
                <w:b/>
                <w:bCs/>
                <w:color w:val="000000"/>
                <w:sz w:val="20"/>
                <w:szCs w:val="20"/>
                <w:lang w:eastAsia="en-GB"/>
              </w:rPr>
            </w:pPr>
            <w:r w:rsidRPr="00993177">
              <w:rPr>
                <w:rFonts w:eastAsia="Times New Roman" w:cs="Arial"/>
                <w:b/>
                <w:bCs/>
                <w:color w:val="000000"/>
                <w:sz w:val="20"/>
                <w:szCs w:val="20"/>
                <w:lang w:eastAsia="en-GB"/>
              </w:rPr>
              <w:t>+0.1% p.</w:t>
            </w:r>
            <w:r w:rsidRPr="00993177" w:rsidR="004E5185">
              <w:rPr>
                <w:rFonts w:eastAsia="Times New Roman" w:cs="Arial"/>
                <w:b/>
                <w:bCs/>
                <w:color w:val="000000"/>
                <w:sz w:val="20"/>
                <w:szCs w:val="20"/>
                <w:lang w:eastAsia="en-GB"/>
              </w:rPr>
              <w:t>a</w:t>
            </w:r>
            <w:r w:rsidRPr="00993177">
              <w:rPr>
                <w:rFonts w:eastAsia="Times New Roman" w:cs="Arial"/>
                <w:b/>
                <w:bCs/>
                <w:color w:val="000000"/>
                <w:sz w:val="20"/>
                <w:szCs w:val="20"/>
                <w:lang w:eastAsia="en-GB"/>
              </w:rPr>
              <w:t>.</w:t>
            </w:r>
          </w:p>
        </w:tc>
        <w:tc>
          <w:tcPr>
            <w:tcW w:w="1134"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993177" w:rsidR="004E5185" w:rsidP="004E5185" w:rsidRDefault="004E5185" w14:paraId="6E3B55F2" w14:textId="77777777">
            <w:pPr>
              <w:spacing w:after="0" w:line="240" w:lineRule="auto"/>
              <w:jc w:val="center"/>
              <w:rPr>
                <w:rFonts w:eastAsia="Times New Roman" w:cs="Arial"/>
                <w:b/>
                <w:bCs/>
                <w:color w:val="000000"/>
                <w:sz w:val="20"/>
                <w:szCs w:val="20"/>
                <w:lang w:eastAsia="en-GB"/>
              </w:rPr>
            </w:pPr>
            <w:r w:rsidRPr="00993177">
              <w:rPr>
                <w:rFonts w:eastAsia="Times New Roman" w:cs="Arial"/>
                <w:b/>
                <w:bCs/>
                <w:color w:val="000000"/>
                <w:sz w:val="20"/>
                <w:szCs w:val="20"/>
                <w:lang w:eastAsia="en-GB"/>
              </w:rPr>
              <w:t>Base Figure</w:t>
            </w:r>
          </w:p>
        </w:tc>
        <w:tc>
          <w:tcPr>
            <w:tcW w:w="1276"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993177" w:rsidR="004E5185" w:rsidP="004E5185" w:rsidRDefault="004E5185" w14:paraId="755D209E" w14:textId="77777777">
            <w:pPr>
              <w:spacing w:after="0" w:line="240" w:lineRule="auto"/>
              <w:jc w:val="center"/>
              <w:rPr>
                <w:rFonts w:eastAsia="Times New Roman" w:cs="Arial"/>
                <w:b/>
                <w:bCs/>
                <w:color w:val="000000"/>
                <w:sz w:val="20"/>
                <w:szCs w:val="20"/>
                <w:lang w:eastAsia="en-GB"/>
              </w:rPr>
            </w:pPr>
            <w:r w:rsidRPr="00993177">
              <w:rPr>
                <w:rFonts w:eastAsia="Times New Roman" w:cs="Arial"/>
                <w:b/>
                <w:bCs/>
                <w:color w:val="000000"/>
                <w:sz w:val="20"/>
                <w:szCs w:val="20"/>
                <w:lang w:eastAsia="en-GB"/>
              </w:rPr>
              <w:t>-0.1% p.a</w:t>
            </w:r>
            <w:r w:rsidRPr="00993177" w:rsidR="00263CDC">
              <w:rPr>
                <w:rFonts w:eastAsia="Times New Roman" w:cs="Arial"/>
                <w:b/>
                <w:bCs/>
                <w:color w:val="000000"/>
                <w:sz w:val="20"/>
                <w:szCs w:val="20"/>
                <w:lang w:eastAsia="en-GB"/>
              </w:rPr>
              <w:t>.</w:t>
            </w:r>
          </w:p>
        </w:tc>
      </w:tr>
      <w:tr w:rsidRPr="00614894" w:rsidR="004E5185" w:rsidTr="00480191" w14:paraId="76D4192E" w14:textId="77777777">
        <w:trPr>
          <w:trHeight w:val="300"/>
        </w:trPr>
        <w:tc>
          <w:tcPr>
            <w:tcW w:w="4961" w:type="dxa"/>
            <w:tcBorders>
              <w:top w:val="single" w:color="auto" w:sz="4" w:space="0"/>
              <w:left w:val="single" w:color="auto" w:sz="4" w:space="0"/>
              <w:bottom w:val="nil"/>
              <w:right w:val="nil"/>
            </w:tcBorders>
            <w:shd w:val="clear" w:color="auto" w:fill="auto"/>
            <w:noWrap/>
            <w:vAlign w:val="bottom"/>
            <w:hideMark/>
          </w:tcPr>
          <w:p w:rsidRPr="00993177" w:rsidR="004E5185" w:rsidP="004E5185" w:rsidRDefault="004E5185" w14:paraId="2F41E5F0"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Present Value of Total Obligation (£M)</w:t>
            </w:r>
          </w:p>
        </w:tc>
        <w:tc>
          <w:tcPr>
            <w:tcW w:w="1276" w:type="dxa"/>
            <w:tcBorders>
              <w:top w:val="single" w:color="auto" w:sz="4" w:space="0"/>
              <w:left w:val="single" w:color="auto" w:sz="4" w:space="0"/>
              <w:bottom w:val="nil"/>
              <w:right w:val="single" w:color="auto" w:sz="4" w:space="0"/>
            </w:tcBorders>
            <w:shd w:val="clear" w:color="auto" w:fill="auto"/>
            <w:noWrap/>
            <w:vAlign w:val="bottom"/>
          </w:tcPr>
          <w:p w:rsidRPr="00993177" w:rsidR="004E5185" w:rsidP="00AA5DA7" w:rsidRDefault="00993177" w14:paraId="0E1EE2C9" w14:textId="0E1ED52B">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5.66</w:t>
            </w:r>
          </w:p>
        </w:tc>
        <w:tc>
          <w:tcPr>
            <w:tcW w:w="1134" w:type="dxa"/>
            <w:tcBorders>
              <w:top w:val="single" w:color="auto" w:sz="4" w:space="0"/>
              <w:left w:val="nil"/>
              <w:bottom w:val="nil"/>
              <w:right w:val="single" w:color="auto" w:sz="4" w:space="0"/>
            </w:tcBorders>
            <w:shd w:val="clear" w:color="auto" w:fill="auto"/>
            <w:noWrap/>
            <w:vAlign w:val="bottom"/>
          </w:tcPr>
          <w:p w:rsidRPr="00993177" w:rsidR="004E5185" w:rsidP="00AA5DA7" w:rsidRDefault="00993177" w14:paraId="51EEEE25" w14:textId="53F5E1A1">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5.64</w:t>
            </w:r>
          </w:p>
        </w:tc>
        <w:tc>
          <w:tcPr>
            <w:tcW w:w="1276" w:type="dxa"/>
            <w:tcBorders>
              <w:top w:val="single" w:color="auto" w:sz="4" w:space="0"/>
              <w:left w:val="nil"/>
              <w:bottom w:val="nil"/>
              <w:right w:val="single" w:color="auto" w:sz="4" w:space="0"/>
            </w:tcBorders>
            <w:shd w:val="clear" w:color="auto" w:fill="auto"/>
            <w:noWrap/>
            <w:vAlign w:val="bottom"/>
          </w:tcPr>
          <w:p w:rsidRPr="00993177" w:rsidR="004E5185" w:rsidP="00993177" w:rsidRDefault="00993177" w14:paraId="5632D2F6" w14:textId="2433C39C">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5.62</w:t>
            </w:r>
            <w:r w:rsidRPr="00993177" w:rsidR="00D034FC">
              <w:rPr>
                <w:rFonts w:eastAsia="Times New Roman" w:cs="Arial"/>
                <w:color w:val="000000"/>
                <w:sz w:val="20"/>
                <w:szCs w:val="20"/>
                <w:lang w:eastAsia="en-GB"/>
              </w:rPr>
              <w:t xml:space="preserve">             </w:t>
            </w:r>
          </w:p>
        </w:tc>
      </w:tr>
      <w:tr w:rsidRPr="00614894" w:rsidR="004E5185" w:rsidTr="00480191" w14:paraId="5DFC0147" w14:textId="77777777">
        <w:trPr>
          <w:trHeight w:val="300"/>
        </w:trPr>
        <w:tc>
          <w:tcPr>
            <w:tcW w:w="4961" w:type="dxa"/>
            <w:tcBorders>
              <w:top w:val="nil"/>
              <w:left w:val="single" w:color="auto" w:sz="4" w:space="0"/>
              <w:bottom w:val="nil"/>
              <w:right w:val="nil"/>
            </w:tcBorders>
            <w:shd w:val="clear" w:color="auto" w:fill="auto"/>
            <w:noWrap/>
            <w:vAlign w:val="bottom"/>
            <w:hideMark/>
          </w:tcPr>
          <w:p w:rsidRPr="00993177" w:rsidR="004E5185" w:rsidP="004E5185" w:rsidRDefault="004E5185" w14:paraId="41D6F68B"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 Change in Present Value of Total Obligation</w:t>
            </w:r>
          </w:p>
        </w:tc>
        <w:tc>
          <w:tcPr>
            <w:tcW w:w="1276" w:type="dxa"/>
            <w:tcBorders>
              <w:top w:val="nil"/>
              <w:left w:val="single" w:color="auto" w:sz="4" w:space="0"/>
              <w:bottom w:val="nil"/>
              <w:right w:val="single" w:color="auto" w:sz="4" w:space="0"/>
            </w:tcBorders>
            <w:shd w:val="clear" w:color="auto" w:fill="auto"/>
            <w:noWrap/>
            <w:vAlign w:val="bottom"/>
          </w:tcPr>
          <w:p w:rsidRPr="00993177" w:rsidR="004E5185" w:rsidP="00AA5DA7" w:rsidRDefault="00993177" w14:paraId="6EBCFDA6" w14:textId="27B74805">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0.4%</w:t>
            </w:r>
          </w:p>
        </w:tc>
        <w:tc>
          <w:tcPr>
            <w:tcW w:w="1134" w:type="dxa"/>
            <w:tcBorders>
              <w:top w:val="nil"/>
              <w:left w:val="nil"/>
              <w:bottom w:val="nil"/>
              <w:right w:val="single" w:color="auto" w:sz="4" w:space="0"/>
            </w:tcBorders>
            <w:shd w:val="clear" w:color="auto" w:fill="auto"/>
            <w:noWrap/>
            <w:vAlign w:val="bottom"/>
          </w:tcPr>
          <w:p w:rsidRPr="00993177" w:rsidR="004E5185" w:rsidP="00AA5DA7" w:rsidRDefault="004E5185" w14:paraId="635BAA43" w14:textId="77777777">
            <w:pPr>
              <w:spacing w:after="0" w:line="240" w:lineRule="auto"/>
              <w:jc w:val="right"/>
              <w:rPr>
                <w:rFonts w:eastAsia="Times New Roman" w:cs="Arial"/>
                <w:color w:val="000000"/>
                <w:sz w:val="20"/>
                <w:szCs w:val="20"/>
                <w:lang w:eastAsia="en-GB"/>
              </w:rPr>
            </w:pPr>
          </w:p>
        </w:tc>
        <w:tc>
          <w:tcPr>
            <w:tcW w:w="1276" w:type="dxa"/>
            <w:tcBorders>
              <w:top w:val="nil"/>
              <w:left w:val="nil"/>
              <w:bottom w:val="nil"/>
              <w:right w:val="single" w:color="auto" w:sz="4" w:space="0"/>
            </w:tcBorders>
            <w:shd w:val="clear" w:color="auto" w:fill="auto"/>
            <w:noWrap/>
            <w:vAlign w:val="bottom"/>
          </w:tcPr>
          <w:p w:rsidRPr="00993177" w:rsidR="004E5185" w:rsidP="00AA5DA7" w:rsidRDefault="00993177" w14:paraId="4E9FA7FA" w14:textId="45B06F91">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(0.4)%</w:t>
            </w:r>
          </w:p>
        </w:tc>
      </w:tr>
      <w:tr w:rsidRPr="00614894" w:rsidR="004E5185" w:rsidTr="00480191" w14:paraId="1847A673" w14:textId="77777777">
        <w:trPr>
          <w:trHeight w:val="300"/>
        </w:trPr>
        <w:tc>
          <w:tcPr>
            <w:tcW w:w="4961" w:type="dxa"/>
            <w:tcBorders>
              <w:top w:val="nil"/>
              <w:left w:val="single" w:color="auto" w:sz="4" w:space="0"/>
              <w:bottom w:val="nil"/>
              <w:right w:val="nil"/>
            </w:tcBorders>
            <w:shd w:val="clear" w:color="auto" w:fill="auto"/>
            <w:noWrap/>
            <w:vAlign w:val="bottom"/>
            <w:hideMark/>
          </w:tcPr>
          <w:p w:rsidRPr="00993177" w:rsidR="004E5185" w:rsidP="004E5185" w:rsidRDefault="004E5185" w14:paraId="27C9EA5E"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Projected Service Cost (£M)</w:t>
            </w:r>
          </w:p>
        </w:tc>
        <w:tc>
          <w:tcPr>
            <w:tcW w:w="1276" w:type="dxa"/>
            <w:tcBorders>
              <w:top w:val="nil"/>
              <w:left w:val="single" w:color="auto" w:sz="4" w:space="0"/>
              <w:bottom w:val="nil"/>
              <w:right w:val="single" w:color="auto" w:sz="4" w:space="0"/>
            </w:tcBorders>
            <w:shd w:val="clear" w:color="auto" w:fill="auto"/>
            <w:noWrap/>
            <w:vAlign w:val="bottom"/>
          </w:tcPr>
          <w:p w:rsidRPr="00993177" w:rsidR="004E5185" w:rsidP="00AA5DA7" w:rsidRDefault="00993177" w14:paraId="0830EF5E" w14:textId="45805502">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0.29</w:t>
            </w:r>
          </w:p>
        </w:tc>
        <w:tc>
          <w:tcPr>
            <w:tcW w:w="1134" w:type="dxa"/>
            <w:tcBorders>
              <w:top w:val="nil"/>
              <w:left w:val="nil"/>
              <w:bottom w:val="nil"/>
              <w:right w:val="single" w:color="auto" w:sz="4" w:space="0"/>
            </w:tcBorders>
            <w:shd w:val="clear" w:color="auto" w:fill="auto"/>
            <w:noWrap/>
            <w:vAlign w:val="bottom"/>
          </w:tcPr>
          <w:p w:rsidRPr="00993177" w:rsidR="004E5185" w:rsidP="00AA5DA7" w:rsidRDefault="00993177" w14:paraId="585BAD1B" w14:textId="50787273">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0.29</w:t>
            </w:r>
          </w:p>
        </w:tc>
        <w:tc>
          <w:tcPr>
            <w:tcW w:w="1276" w:type="dxa"/>
            <w:tcBorders>
              <w:top w:val="nil"/>
              <w:left w:val="nil"/>
              <w:bottom w:val="nil"/>
              <w:right w:val="single" w:color="auto" w:sz="4" w:space="0"/>
            </w:tcBorders>
            <w:shd w:val="clear" w:color="auto" w:fill="auto"/>
            <w:noWrap/>
            <w:vAlign w:val="bottom"/>
          </w:tcPr>
          <w:p w:rsidRPr="00993177" w:rsidR="004E5185" w:rsidP="0049156E" w:rsidRDefault="00993177" w14:paraId="500CDB58" w14:textId="78F21BE1">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0.29</w:t>
            </w:r>
          </w:p>
        </w:tc>
      </w:tr>
      <w:tr w:rsidRPr="00614894" w:rsidR="004E5185" w:rsidTr="00480191" w14:paraId="5042019D" w14:textId="77777777">
        <w:trPr>
          <w:trHeight w:val="300"/>
        </w:trPr>
        <w:tc>
          <w:tcPr>
            <w:tcW w:w="4961" w:type="dxa"/>
            <w:tcBorders>
              <w:top w:val="nil"/>
              <w:left w:val="single" w:color="auto" w:sz="4" w:space="0"/>
              <w:bottom w:val="single" w:color="auto" w:sz="4" w:space="0"/>
              <w:right w:val="nil"/>
            </w:tcBorders>
            <w:shd w:val="clear" w:color="auto" w:fill="auto"/>
            <w:noWrap/>
            <w:vAlign w:val="bottom"/>
            <w:hideMark/>
          </w:tcPr>
          <w:p w:rsidRPr="00993177" w:rsidR="004E5185" w:rsidP="004E5185" w:rsidRDefault="004E5185" w14:paraId="0FC93756" w14:textId="77777777">
            <w:pPr>
              <w:spacing w:after="0" w:line="240" w:lineRule="auto"/>
              <w:rPr>
                <w:rFonts w:eastAsia="Times New Roman" w:cs="Arial"/>
                <w:color w:val="000000"/>
                <w:sz w:val="20"/>
                <w:szCs w:val="20"/>
                <w:lang w:eastAsia="en-GB"/>
              </w:rPr>
            </w:pPr>
            <w:r w:rsidRPr="00993177">
              <w:rPr>
                <w:rFonts w:eastAsia="Times New Roman" w:cs="Arial"/>
                <w:color w:val="000000"/>
                <w:sz w:val="20"/>
                <w:szCs w:val="20"/>
                <w:lang w:eastAsia="en-GB"/>
              </w:rPr>
              <w:t>Approximate % Change in Projected Service Cost</w:t>
            </w:r>
          </w:p>
        </w:tc>
        <w:tc>
          <w:tcPr>
            <w:tcW w:w="1276" w:type="dxa"/>
            <w:tcBorders>
              <w:top w:val="nil"/>
              <w:left w:val="single" w:color="auto" w:sz="4" w:space="0"/>
              <w:bottom w:val="single" w:color="auto" w:sz="4" w:space="0"/>
              <w:right w:val="single" w:color="auto" w:sz="4" w:space="0"/>
            </w:tcBorders>
            <w:shd w:val="clear" w:color="auto" w:fill="auto"/>
            <w:noWrap/>
            <w:vAlign w:val="bottom"/>
          </w:tcPr>
          <w:p w:rsidRPr="00993177" w:rsidR="004E5185" w:rsidP="00AA5DA7" w:rsidRDefault="00993177" w14:paraId="355CA281" w14:textId="40DFC5AA">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0.0%</w:t>
            </w:r>
          </w:p>
        </w:tc>
        <w:tc>
          <w:tcPr>
            <w:tcW w:w="1134" w:type="dxa"/>
            <w:tcBorders>
              <w:top w:val="nil"/>
              <w:left w:val="nil"/>
              <w:bottom w:val="single" w:color="auto" w:sz="4" w:space="0"/>
              <w:right w:val="single" w:color="auto" w:sz="4" w:space="0"/>
            </w:tcBorders>
            <w:shd w:val="clear" w:color="auto" w:fill="auto"/>
            <w:noWrap/>
            <w:vAlign w:val="bottom"/>
          </w:tcPr>
          <w:p w:rsidRPr="00993177" w:rsidR="004E5185" w:rsidP="00AA5DA7" w:rsidRDefault="004E5185" w14:paraId="3DD2F48C" w14:textId="77777777">
            <w:pPr>
              <w:spacing w:after="0" w:line="240" w:lineRule="auto"/>
              <w:jc w:val="right"/>
              <w:rPr>
                <w:rFonts w:eastAsia="Times New Roman" w:cs="Arial"/>
                <w:color w:val="000000"/>
                <w:sz w:val="20"/>
                <w:szCs w:val="20"/>
                <w:lang w:eastAsia="en-GB"/>
              </w:rPr>
            </w:pPr>
          </w:p>
        </w:tc>
        <w:tc>
          <w:tcPr>
            <w:tcW w:w="1276" w:type="dxa"/>
            <w:tcBorders>
              <w:top w:val="nil"/>
              <w:left w:val="nil"/>
              <w:bottom w:val="single" w:color="auto" w:sz="4" w:space="0"/>
              <w:right w:val="single" w:color="auto" w:sz="4" w:space="0"/>
            </w:tcBorders>
            <w:shd w:val="clear" w:color="auto" w:fill="auto"/>
            <w:noWrap/>
            <w:vAlign w:val="bottom"/>
          </w:tcPr>
          <w:p w:rsidRPr="00993177" w:rsidR="004E5185" w:rsidP="00AA5DA7" w:rsidRDefault="00993177" w14:paraId="60FC75D9" w14:textId="18BA3868">
            <w:pPr>
              <w:spacing w:after="0" w:line="240" w:lineRule="auto"/>
              <w:jc w:val="right"/>
              <w:rPr>
                <w:rFonts w:eastAsia="Times New Roman" w:cs="Arial"/>
                <w:color w:val="000000"/>
                <w:sz w:val="20"/>
                <w:szCs w:val="20"/>
                <w:lang w:eastAsia="en-GB"/>
              </w:rPr>
            </w:pPr>
            <w:r w:rsidRPr="00993177">
              <w:rPr>
                <w:rFonts w:eastAsia="Times New Roman" w:cs="Arial"/>
                <w:color w:val="000000"/>
                <w:sz w:val="20"/>
                <w:szCs w:val="20"/>
                <w:lang w:eastAsia="en-GB"/>
              </w:rPr>
              <w:t>0.0%</w:t>
            </w:r>
          </w:p>
        </w:tc>
      </w:tr>
    </w:tbl>
    <w:p w:rsidRPr="00614894" w:rsidR="00894342" w:rsidP="00480191" w:rsidRDefault="00894342" w14:paraId="0F44C093" w14:textId="77777777">
      <w:pPr>
        <w:pStyle w:val="ListParagraph"/>
        <w:spacing w:after="0"/>
        <w:ind w:left="1080"/>
        <w:jc w:val="both"/>
        <w:rPr>
          <w:rFonts w:cs="Arial"/>
          <w:b/>
          <w:highlight w:val="yellow"/>
        </w:rPr>
      </w:pPr>
    </w:p>
    <w:p w:rsidRPr="00993177" w:rsidR="004E5185" w:rsidP="00480191" w:rsidRDefault="004E5185" w14:paraId="5B9C8764" w14:textId="77777777">
      <w:pPr>
        <w:pStyle w:val="ListParagraph"/>
        <w:spacing w:after="0"/>
        <w:ind w:left="1080"/>
        <w:jc w:val="both"/>
        <w:rPr>
          <w:rFonts w:cs="Arial"/>
          <w:b/>
        </w:rPr>
      </w:pPr>
      <w:r w:rsidRPr="00993177">
        <w:rPr>
          <w:rFonts w:cs="Arial"/>
          <w:b/>
        </w:rPr>
        <w:t>Rate of Increase to Pensions and Rate of</w:t>
      </w:r>
      <w:r w:rsidRPr="00993177" w:rsidR="000B77D2">
        <w:rPr>
          <w:rFonts w:cs="Arial"/>
          <w:b/>
        </w:rPr>
        <w:t xml:space="preserve"> Revaluation of Pension Accounts</w:t>
      </w:r>
    </w:p>
    <w:p w:rsidRPr="00614894" w:rsidR="00480191" w:rsidP="00480191" w:rsidRDefault="00480191" w14:paraId="1F02E5D1" w14:textId="77777777">
      <w:pPr>
        <w:pStyle w:val="ListParagraph"/>
        <w:spacing w:after="0"/>
        <w:ind w:left="1080"/>
        <w:jc w:val="both"/>
        <w:rPr>
          <w:rFonts w:cs="Arial"/>
          <w:b/>
          <w:highlight w:val="yellow"/>
        </w:rPr>
      </w:pPr>
    </w:p>
    <w:tbl>
      <w:tblPr>
        <w:tblW w:w="8660" w:type="dxa"/>
        <w:tblInd w:w="817" w:type="dxa"/>
        <w:tblLook w:val="04A0" w:firstRow="1" w:lastRow="0" w:firstColumn="1" w:lastColumn="0" w:noHBand="0" w:noVBand="1"/>
      </w:tblPr>
      <w:tblGrid>
        <w:gridCol w:w="4961"/>
        <w:gridCol w:w="1276"/>
        <w:gridCol w:w="1134"/>
        <w:gridCol w:w="1289"/>
      </w:tblGrid>
      <w:tr w:rsidRPr="00614894" w:rsidR="00F846E1" w:rsidTr="00FC31A7" w14:paraId="2F603204" w14:textId="77777777">
        <w:trPr>
          <w:trHeight w:val="300"/>
        </w:trPr>
        <w:tc>
          <w:tcPr>
            <w:tcW w:w="4961"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CF652C" w:rsidR="00F846E1" w:rsidP="00F846E1" w:rsidRDefault="00FF632A" w14:paraId="4D373846" w14:textId="77777777">
            <w:pPr>
              <w:spacing w:after="0" w:line="240" w:lineRule="auto"/>
              <w:rPr>
                <w:rFonts w:eastAsia="Times New Roman" w:cs="Arial"/>
                <w:b/>
                <w:bCs/>
                <w:color w:val="000000"/>
                <w:sz w:val="20"/>
                <w:szCs w:val="20"/>
                <w:lang w:eastAsia="en-GB"/>
              </w:rPr>
            </w:pPr>
            <w:r w:rsidRPr="00CF652C">
              <w:rPr>
                <w:rFonts w:eastAsia="Times New Roman" w:cs="Arial"/>
                <w:b/>
                <w:bCs/>
                <w:color w:val="000000"/>
                <w:sz w:val="20"/>
                <w:szCs w:val="20"/>
                <w:lang w:eastAsia="en-GB"/>
              </w:rPr>
              <w:t>Adjustment to Pension</w:t>
            </w:r>
            <w:r w:rsidRPr="00CF652C" w:rsidR="00F846E1">
              <w:rPr>
                <w:rFonts w:eastAsia="Times New Roman" w:cs="Arial"/>
                <w:b/>
                <w:bCs/>
                <w:color w:val="000000"/>
                <w:sz w:val="20"/>
                <w:szCs w:val="20"/>
                <w:lang w:eastAsia="en-GB"/>
              </w:rPr>
              <w:t xml:space="preserve"> Increase Rate</w:t>
            </w:r>
          </w:p>
        </w:tc>
        <w:tc>
          <w:tcPr>
            <w:tcW w:w="1276"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CF652C" w:rsidR="00F846E1" w:rsidP="00F846E1" w:rsidRDefault="00F846E1" w14:paraId="5A76BBDB" w14:textId="77777777">
            <w:pPr>
              <w:spacing w:after="0" w:line="240" w:lineRule="auto"/>
              <w:jc w:val="center"/>
              <w:rPr>
                <w:rFonts w:eastAsia="Times New Roman" w:cs="Arial"/>
                <w:b/>
                <w:bCs/>
                <w:color w:val="000000"/>
                <w:sz w:val="20"/>
                <w:szCs w:val="20"/>
                <w:lang w:eastAsia="en-GB"/>
              </w:rPr>
            </w:pPr>
            <w:r w:rsidRPr="00CF652C">
              <w:rPr>
                <w:rFonts w:eastAsia="Times New Roman" w:cs="Arial"/>
                <w:b/>
                <w:bCs/>
                <w:color w:val="000000"/>
                <w:sz w:val="20"/>
                <w:szCs w:val="20"/>
                <w:lang w:eastAsia="en-GB"/>
              </w:rPr>
              <w:t>+0.1% p.a</w:t>
            </w:r>
            <w:r w:rsidRPr="00CF652C" w:rsidR="00263CDC">
              <w:rPr>
                <w:rFonts w:eastAsia="Times New Roman" w:cs="Arial"/>
                <w:b/>
                <w:bCs/>
                <w:color w:val="000000"/>
                <w:sz w:val="20"/>
                <w:szCs w:val="20"/>
                <w:lang w:eastAsia="en-GB"/>
              </w:rPr>
              <w:t>.</w:t>
            </w:r>
          </w:p>
        </w:tc>
        <w:tc>
          <w:tcPr>
            <w:tcW w:w="1134"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CF652C" w:rsidR="00F846E1" w:rsidP="00F846E1" w:rsidRDefault="00F846E1" w14:paraId="1811A604" w14:textId="77777777">
            <w:pPr>
              <w:spacing w:after="0" w:line="240" w:lineRule="auto"/>
              <w:jc w:val="center"/>
              <w:rPr>
                <w:rFonts w:eastAsia="Times New Roman" w:cs="Arial"/>
                <w:b/>
                <w:bCs/>
                <w:color w:val="000000"/>
                <w:sz w:val="20"/>
                <w:szCs w:val="20"/>
                <w:lang w:eastAsia="en-GB"/>
              </w:rPr>
            </w:pPr>
            <w:r w:rsidRPr="00CF652C">
              <w:rPr>
                <w:rFonts w:eastAsia="Times New Roman" w:cs="Arial"/>
                <w:b/>
                <w:bCs/>
                <w:color w:val="000000"/>
                <w:sz w:val="20"/>
                <w:szCs w:val="20"/>
                <w:lang w:eastAsia="en-GB"/>
              </w:rPr>
              <w:t>Base Figure</w:t>
            </w:r>
          </w:p>
        </w:tc>
        <w:tc>
          <w:tcPr>
            <w:tcW w:w="1289"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CF652C" w:rsidR="00F846E1" w:rsidP="00263CDC" w:rsidRDefault="00263CDC" w14:paraId="781A98AE" w14:textId="77777777">
            <w:pPr>
              <w:spacing w:after="0" w:line="240" w:lineRule="auto"/>
              <w:rPr>
                <w:rFonts w:eastAsia="Times New Roman" w:cs="Arial"/>
                <w:b/>
                <w:bCs/>
                <w:color w:val="000000"/>
                <w:sz w:val="20"/>
                <w:szCs w:val="20"/>
                <w:lang w:eastAsia="en-GB"/>
              </w:rPr>
            </w:pPr>
            <w:r w:rsidRPr="00CF652C">
              <w:rPr>
                <w:rFonts w:eastAsia="Times New Roman" w:cs="Arial"/>
                <w:b/>
                <w:bCs/>
                <w:color w:val="000000"/>
                <w:sz w:val="20"/>
                <w:szCs w:val="20"/>
                <w:lang w:eastAsia="en-GB"/>
              </w:rPr>
              <w:t xml:space="preserve">-0.1% </w:t>
            </w:r>
            <w:r w:rsidRPr="00CF652C" w:rsidR="00F846E1">
              <w:rPr>
                <w:rFonts w:eastAsia="Times New Roman" w:cs="Arial"/>
                <w:b/>
                <w:bCs/>
                <w:color w:val="000000"/>
                <w:sz w:val="20"/>
                <w:szCs w:val="20"/>
                <w:lang w:eastAsia="en-GB"/>
              </w:rPr>
              <w:t>p.a</w:t>
            </w:r>
            <w:r w:rsidRPr="00CF652C">
              <w:rPr>
                <w:rFonts w:eastAsia="Times New Roman" w:cs="Arial"/>
                <w:b/>
                <w:bCs/>
                <w:color w:val="000000"/>
                <w:sz w:val="20"/>
                <w:szCs w:val="20"/>
                <w:lang w:eastAsia="en-GB"/>
              </w:rPr>
              <w:t>.</w:t>
            </w:r>
          </w:p>
        </w:tc>
      </w:tr>
      <w:tr w:rsidRPr="00614894" w:rsidR="00F846E1" w:rsidTr="00480191" w14:paraId="3D87E4BA" w14:textId="77777777">
        <w:trPr>
          <w:trHeight w:val="300"/>
        </w:trPr>
        <w:tc>
          <w:tcPr>
            <w:tcW w:w="4961" w:type="dxa"/>
            <w:tcBorders>
              <w:top w:val="single" w:color="auto" w:sz="4" w:space="0"/>
              <w:left w:val="single" w:color="auto" w:sz="4" w:space="0"/>
              <w:bottom w:val="nil"/>
              <w:right w:val="nil"/>
            </w:tcBorders>
            <w:shd w:val="clear" w:color="auto" w:fill="auto"/>
            <w:noWrap/>
            <w:vAlign w:val="bottom"/>
            <w:hideMark/>
          </w:tcPr>
          <w:p w:rsidRPr="00CF652C" w:rsidR="00F846E1" w:rsidP="00F846E1" w:rsidRDefault="00F846E1" w14:paraId="186B7F06" w14:textId="77777777">
            <w:pPr>
              <w:spacing w:after="0" w:line="240" w:lineRule="auto"/>
              <w:rPr>
                <w:rFonts w:eastAsia="Times New Roman" w:cs="Arial"/>
                <w:color w:val="000000"/>
                <w:sz w:val="20"/>
                <w:szCs w:val="20"/>
                <w:lang w:eastAsia="en-GB"/>
              </w:rPr>
            </w:pPr>
            <w:r w:rsidRPr="00CF652C">
              <w:rPr>
                <w:rFonts w:eastAsia="Times New Roman" w:cs="Arial"/>
                <w:color w:val="000000"/>
                <w:sz w:val="20"/>
                <w:szCs w:val="20"/>
                <w:lang w:eastAsia="en-GB"/>
              </w:rPr>
              <w:t>Present Value of Total Obligation (£M)</w:t>
            </w:r>
          </w:p>
        </w:tc>
        <w:tc>
          <w:tcPr>
            <w:tcW w:w="1276" w:type="dxa"/>
            <w:tcBorders>
              <w:top w:val="single" w:color="auto" w:sz="4" w:space="0"/>
              <w:left w:val="single" w:color="auto" w:sz="4" w:space="0"/>
              <w:bottom w:val="nil"/>
              <w:right w:val="single" w:color="auto" w:sz="4" w:space="0"/>
            </w:tcBorders>
            <w:shd w:val="clear" w:color="auto" w:fill="auto"/>
            <w:noWrap/>
            <w:vAlign w:val="bottom"/>
          </w:tcPr>
          <w:p w:rsidRPr="00CF652C" w:rsidR="00F846E1" w:rsidP="00244639" w:rsidRDefault="00CF652C" w14:paraId="6EF4CC2A" w14:textId="365C263E">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5.75</w:t>
            </w:r>
          </w:p>
        </w:tc>
        <w:tc>
          <w:tcPr>
            <w:tcW w:w="1134" w:type="dxa"/>
            <w:tcBorders>
              <w:top w:val="single" w:color="auto" w:sz="4" w:space="0"/>
              <w:left w:val="nil"/>
              <w:bottom w:val="nil"/>
              <w:right w:val="single" w:color="auto" w:sz="4" w:space="0"/>
            </w:tcBorders>
            <w:shd w:val="clear" w:color="auto" w:fill="auto"/>
            <w:noWrap/>
            <w:vAlign w:val="bottom"/>
          </w:tcPr>
          <w:p w:rsidRPr="00CF652C" w:rsidR="00F846E1" w:rsidP="00244639" w:rsidRDefault="00CF652C" w14:paraId="40494FEF" w14:textId="246AB0DF">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5.64</w:t>
            </w:r>
          </w:p>
        </w:tc>
        <w:tc>
          <w:tcPr>
            <w:tcW w:w="1289" w:type="dxa"/>
            <w:tcBorders>
              <w:top w:val="single" w:color="auto" w:sz="4" w:space="0"/>
              <w:left w:val="nil"/>
              <w:bottom w:val="nil"/>
              <w:right w:val="single" w:color="auto" w:sz="4" w:space="0"/>
            </w:tcBorders>
            <w:shd w:val="clear" w:color="auto" w:fill="auto"/>
            <w:noWrap/>
            <w:vAlign w:val="bottom"/>
          </w:tcPr>
          <w:p w:rsidRPr="00CF652C" w:rsidR="00F846E1" w:rsidP="00244639" w:rsidRDefault="00CF652C" w14:paraId="578C5439" w14:textId="256D8608">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5.53</w:t>
            </w:r>
          </w:p>
        </w:tc>
      </w:tr>
      <w:tr w:rsidRPr="00614894" w:rsidR="00F846E1" w:rsidTr="00480191" w14:paraId="51BDBA63" w14:textId="77777777">
        <w:trPr>
          <w:trHeight w:val="300"/>
        </w:trPr>
        <w:tc>
          <w:tcPr>
            <w:tcW w:w="4961" w:type="dxa"/>
            <w:tcBorders>
              <w:top w:val="nil"/>
              <w:left w:val="single" w:color="auto" w:sz="4" w:space="0"/>
              <w:bottom w:val="nil"/>
              <w:right w:val="nil"/>
            </w:tcBorders>
            <w:shd w:val="clear" w:color="auto" w:fill="auto"/>
            <w:noWrap/>
            <w:vAlign w:val="bottom"/>
            <w:hideMark/>
          </w:tcPr>
          <w:p w:rsidRPr="00CF652C" w:rsidR="00F846E1" w:rsidP="00F846E1" w:rsidRDefault="00F846E1" w14:paraId="215E7B21" w14:textId="77777777">
            <w:pPr>
              <w:spacing w:after="0" w:line="240" w:lineRule="auto"/>
              <w:rPr>
                <w:rFonts w:eastAsia="Times New Roman" w:cs="Arial"/>
                <w:color w:val="000000"/>
                <w:sz w:val="20"/>
                <w:szCs w:val="20"/>
                <w:lang w:eastAsia="en-GB"/>
              </w:rPr>
            </w:pPr>
            <w:r w:rsidRPr="00CF652C">
              <w:rPr>
                <w:rFonts w:eastAsia="Times New Roman" w:cs="Arial"/>
                <w:color w:val="000000"/>
                <w:sz w:val="20"/>
                <w:szCs w:val="20"/>
                <w:lang w:eastAsia="en-GB"/>
              </w:rPr>
              <w:t>% Change in Present Value of Total Obligation</w:t>
            </w:r>
          </w:p>
        </w:tc>
        <w:tc>
          <w:tcPr>
            <w:tcW w:w="1276" w:type="dxa"/>
            <w:tcBorders>
              <w:top w:val="nil"/>
              <w:left w:val="single" w:color="auto" w:sz="4" w:space="0"/>
              <w:bottom w:val="nil"/>
              <w:right w:val="single" w:color="auto" w:sz="4" w:space="0"/>
            </w:tcBorders>
            <w:shd w:val="clear" w:color="auto" w:fill="auto"/>
            <w:noWrap/>
            <w:vAlign w:val="bottom"/>
          </w:tcPr>
          <w:p w:rsidRPr="00CF652C" w:rsidR="00F846E1" w:rsidP="00244639" w:rsidRDefault="00CF652C" w14:paraId="40A6665F" w14:textId="4E34CA9C">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1.9%</w:t>
            </w:r>
          </w:p>
        </w:tc>
        <w:tc>
          <w:tcPr>
            <w:tcW w:w="1134" w:type="dxa"/>
            <w:tcBorders>
              <w:top w:val="nil"/>
              <w:left w:val="nil"/>
              <w:bottom w:val="nil"/>
              <w:right w:val="single" w:color="auto" w:sz="4" w:space="0"/>
            </w:tcBorders>
            <w:shd w:val="clear" w:color="auto" w:fill="auto"/>
            <w:noWrap/>
            <w:vAlign w:val="bottom"/>
          </w:tcPr>
          <w:p w:rsidRPr="00CF652C" w:rsidR="00F846E1" w:rsidP="00244639" w:rsidRDefault="00F846E1" w14:paraId="4AB22BFE" w14:textId="77777777">
            <w:pPr>
              <w:spacing w:after="0" w:line="240" w:lineRule="auto"/>
              <w:jc w:val="right"/>
              <w:rPr>
                <w:rFonts w:eastAsia="Times New Roman" w:cs="Arial"/>
                <w:color w:val="000000"/>
                <w:sz w:val="20"/>
                <w:szCs w:val="20"/>
                <w:lang w:eastAsia="en-GB"/>
              </w:rPr>
            </w:pPr>
          </w:p>
        </w:tc>
        <w:tc>
          <w:tcPr>
            <w:tcW w:w="1289" w:type="dxa"/>
            <w:tcBorders>
              <w:top w:val="nil"/>
              <w:left w:val="nil"/>
              <w:bottom w:val="nil"/>
              <w:right w:val="single" w:color="auto" w:sz="4" w:space="0"/>
            </w:tcBorders>
            <w:shd w:val="clear" w:color="auto" w:fill="auto"/>
            <w:noWrap/>
            <w:vAlign w:val="bottom"/>
          </w:tcPr>
          <w:p w:rsidRPr="00CF652C" w:rsidR="00F846E1" w:rsidP="00244639" w:rsidRDefault="00CF652C" w14:paraId="304E952D" w14:textId="5F5998C0">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(1.9%)</w:t>
            </w:r>
          </w:p>
        </w:tc>
      </w:tr>
      <w:tr w:rsidRPr="00614894" w:rsidR="00F846E1" w:rsidTr="00480191" w14:paraId="614A3ED6" w14:textId="77777777">
        <w:trPr>
          <w:trHeight w:val="300"/>
        </w:trPr>
        <w:tc>
          <w:tcPr>
            <w:tcW w:w="4961" w:type="dxa"/>
            <w:tcBorders>
              <w:top w:val="nil"/>
              <w:left w:val="single" w:color="auto" w:sz="4" w:space="0"/>
              <w:bottom w:val="nil"/>
              <w:right w:val="nil"/>
            </w:tcBorders>
            <w:shd w:val="clear" w:color="auto" w:fill="auto"/>
            <w:noWrap/>
            <w:vAlign w:val="bottom"/>
            <w:hideMark/>
          </w:tcPr>
          <w:p w:rsidRPr="00CF652C" w:rsidR="00F846E1" w:rsidP="00F846E1" w:rsidRDefault="00F846E1" w14:paraId="76A4360A" w14:textId="77777777">
            <w:pPr>
              <w:spacing w:after="0" w:line="240" w:lineRule="auto"/>
              <w:rPr>
                <w:rFonts w:eastAsia="Times New Roman" w:cs="Arial"/>
                <w:color w:val="000000"/>
                <w:sz w:val="20"/>
                <w:szCs w:val="20"/>
                <w:lang w:eastAsia="en-GB"/>
              </w:rPr>
            </w:pPr>
            <w:r w:rsidRPr="00CF652C">
              <w:rPr>
                <w:rFonts w:eastAsia="Times New Roman" w:cs="Arial"/>
                <w:color w:val="000000"/>
                <w:sz w:val="20"/>
                <w:szCs w:val="20"/>
                <w:lang w:eastAsia="en-GB"/>
              </w:rPr>
              <w:t>Projected Service Cost (£M)</w:t>
            </w:r>
          </w:p>
        </w:tc>
        <w:tc>
          <w:tcPr>
            <w:tcW w:w="1276" w:type="dxa"/>
            <w:tcBorders>
              <w:top w:val="nil"/>
              <w:left w:val="single" w:color="auto" w:sz="4" w:space="0"/>
              <w:bottom w:val="nil"/>
              <w:right w:val="single" w:color="auto" w:sz="4" w:space="0"/>
            </w:tcBorders>
            <w:shd w:val="clear" w:color="auto" w:fill="auto"/>
            <w:noWrap/>
            <w:vAlign w:val="bottom"/>
          </w:tcPr>
          <w:p w:rsidRPr="00CF652C" w:rsidR="00F846E1" w:rsidP="00244639" w:rsidRDefault="00CF652C" w14:paraId="14BA01D1" w14:textId="25525847">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0.30</w:t>
            </w:r>
          </w:p>
        </w:tc>
        <w:tc>
          <w:tcPr>
            <w:tcW w:w="1134" w:type="dxa"/>
            <w:tcBorders>
              <w:top w:val="nil"/>
              <w:left w:val="nil"/>
              <w:bottom w:val="nil"/>
              <w:right w:val="single" w:color="auto" w:sz="4" w:space="0"/>
            </w:tcBorders>
            <w:shd w:val="clear" w:color="auto" w:fill="auto"/>
            <w:noWrap/>
            <w:vAlign w:val="bottom"/>
          </w:tcPr>
          <w:p w:rsidRPr="00CF652C" w:rsidR="00F846E1" w:rsidP="00244639" w:rsidRDefault="00CF652C" w14:paraId="3EE45CDB" w14:textId="71436F2F">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0.29</w:t>
            </w:r>
          </w:p>
        </w:tc>
        <w:tc>
          <w:tcPr>
            <w:tcW w:w="1289" w:type="dxa"/>
            <w:tcBorders>
              <w:top w:val="nil"/>
              <w:left w:val="nil"/>
              <w:bottom w:val="nil"/>
              <w:right w:val="single" w:color="auto" w:sz="4" w:space="0"/>
            </w:tcBorders>
            <w:shd w:val="clear" w:color="auto" w:fill="auto"/>
            <w:noWrap/>
            <w:vAlign w:val="bottom"/>
          </w:tcPr>
          <w:p w:rsidRPr="00CF652C" w:rsidR="00F846E1" w:rsidP="00244639" w:rsidRDefault="00CF652C" w14:paraId="59CB24A9" w14:textId="44999E1A">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0.28</w:t>
            </w:r>
          </w:p>
        </w:tc>
      </w:tr>
      <w:tr w:rsidRPr="00614894" w:rsidR="00F846E1" w:rsidTr="00480191" w14:paraId="6B48766F" w14:textId="77777777">
        <w:trPr>
          <w:trHeight w:val="300"/>
        </w:trPr>
        <w:tc>
          <w:tcPr>
            <w:tcW w:w="4961" w:type="dxa"/>
            <w:tcBorders>
              <w:top w:val="nil"/>
              <w:left w:val="single" w:color="auto" w:sz="4" w:space="0"/>
              <w:bottom w:val="single" w:color="auto" w:sz="4" w:space="0"/>
              <w:right w:val="nil"/>
            </w:tcBorders>
            <w:shd w:val="clear" w:color="auto" w:fill="auto"/>
            <w:noWrap/>
            <w:vAlign w:val="bottom"/>
            <w:hideMark/>
          </w:tcPr>
          <w:p w:rsidRPr="00CF652C" w:rsidR="00F846E1" w:rsidP="00F846E1" w:rsidRDefault="00F846E1" w14:paraId="7859709B" w14:textId="77777777">
            <w:pPr>
              <w:spacing w:after="0" w:line="240" w:lineRule="auto"/>
              <w:rPr>
                <w:rFonts w:eastAsia="Times New Roman" w:cs="Arial"/>
                <w:color w:val="000000"/>
                <w:sz w:val="20"/>
                <w:szCs w:val="20"/>
                <w:lang w:eastAsia="en-GB"/>
              </w:rPr>
            </w:pPr>
            <w:r w:rsidRPr="00CF652C">
              <w:rPr>
                <w:rFonts w:eastAsia="Times New Roman" w:cs="Arial"/>
                <w:color w:val="000000"/>
                <w:sz w:val="20"/>
                <w:szCs w:val="20"/>
                <w:lang w:eastAsia="en-GB"/>
              </w:rPr>
              <w:t>Approximate % Change in Projected Service Cost</w:t>
            </w:r>
          </w:p>
        </w:tc>
        <w:tc>
          <w:tcPr>
            <w:tcW w:w="1276" w:type="dxa"/>
            <w:tcBorders>
              <w:top w:val="nil"/>
              <w:left w:val="single" w:color="auto" w:sz="4" w:space="0"/>
              <w:bottom w:val="single" w:color="auto" w:sz="4" w:space="0"/>
              <w:right w:val="single" w:color="auto" w:sz="4" w:space="0"/>
            </w:tcBorders>
            <w:shd w:val="clear" w:color="auto" w:fill="auto"/>
            <w:noWrap/>
            <w:vAlign w:val="bottom"/>
          </w:tcPr>
          <w:p w:rsidRPr="00CF652C" w:rsidR="00F846E1" w:rsidP="00244639" w:rsidRDefault="00CF652C" w14:paraId="1A41D47C" w14:textId="1917BBE2">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4.1%</w:t>
            </w:r>
          </w:p>
        </w:tc>
        <w:tc>
          <w:tcPr>
            <w:tcW w:w="1134" w:type="dxa"/>
            <w:tcBorders>
              <w:top w:val="nil"/>
              <w:left w:val="nil"/>
              <w:bottom w:val="single" w:color="auto" w:sz="4" w:space="0"/>
              <w:right w:val="single" w:color="auto" w:sz="4" w:space="0"/>
            </w:tcBorders>
            <w:shd w:val="clear" w:color="auto" w:fill="auto"/>
            <w:noWrap/>
            <w:vAlign w:val="bottom"/>
          </w:tcPr>
          <w:p w:rsidRPr="00CF652C" w:rsidR="00F846E1" w:rsidP="00244639" w:rsidRDefault="00F846E1" w14:paraId="6A815B5B" w14:textId="77777777">
            <w:pPr>
              <w:spacing w:after="0" w:line="240" w:lineRule="auto"/>
              <w:jc w:val="right"/>
              <w:rPr>
                <w:rFonts w:eastAsia="Times New Roman" w:cs="Arial"/>
                <w:color w:val="000000"/>
                <w:sz w:val="20"/>
                <w:szCs w:val="20"/>
                <w:lang w:eastAsia="en-GB"/>
              </w:rPr>
            </w:pPr>
          </w:p>
        </w:tc>
        <w:tc>
          <w:tcPr>
            <w:tcW w:w="1289" w:type="dxa"/>
            <w:tcBorders>
              <w:top w:val="nil"/>
              <w:left w:val="nil"/>
              <w:bottom w:val="single" w:color="auto" w:sz="4" w:space="0"/>
              <w:right w:val="single" w:color="auto" w:sz="4" w:space="0"/>
            </w:tcBorders>
            <w:shd w:val="clear" w:color="auto" w:fill="auto"/>
            <w:noWrap/>
            <w:vAlign w:val="bottom"/>
          </w:tcPr>
          <w:p w:rsidRPr="00CF652C" w:rsidR="00F846E1" w:rsidP="00244639" w:rsidRDefault="00CF652C" w14:paraId="7F9AA8BE" w14:textId="50D821C5">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(4.0)%</w:t>
            </w:r>
          </w:p>
        </w:tc>
      </w:tr>
    </w:tbl>
    <w:p w:rsidRPr="00CF652C" w:rsidR="0065421D" w:rsidP="00803BC5" w:rsidRDefault="0065421D" w14:paraId="55F47270" w14:textId="77777777">
      <w:pPr>
        <w:pStyle w:val="ListParagraph"/>
        <w:ind w:left="1080"/>
        <w:jc w:val="both"/>
        <w:rPr>
          <w:rFonts w:cs="Arial"/>
          <w:b/>
        </w:rPr>
      </w:pPr>
    </w:p>
    <w:p w:rsidRPr="00CF652C" w:rsidR="00F846E1" w:rsidP="00803BC5" w:rsidRDefault="00F846E1" w14:paraId="1DD7251B" w14:textId="77777777">
      <w:pPr>
        <w:pStyle w:val="ListParagraph"/>
        <w:ind w:left="1080"/>
        <w:jc w:val="both"/>
        <w:rPr>
          <w:rFonts w:cs="Arial"/>
          <w:b/>
        </w:rPr>
      </w:pPr>
      <w:r w:rsidRPr="00CF652C">
        <w:rPr>
          <w:rFonts w:cs="Arial"/>
          <w:b/>
        </w:rPr>
        <w:t>Post R</w:t>
      </w:r>
      <w:r w:rsidRPr="00CF652C" w:rsidR="00505AAE">
        <w:rPr>
          <w:rFonts w:cs="Arial"/>
          <w:b/>
        </w:rPr>
        <w:t xml:space="preserve">etirement Mortality Assumption </w:t>
      </w:r>
    </w:p>
    <w:tbl>
      <w:tblPr>
        <w:tblW w:w="8505" w:type="dxa"/>
        <w:tblInd w:w="959" w:type="dxa"/>
        <w:tblLook w:val="04A0" w:firstRow="1" w:lastRow="0" w:firstColumn="1" w:lastColumn="0" w:noHBand="0" w:noVBand="1"/>
      </w:tblPr>
      <w:tblGrid>
        <w:gridCol w:w="4819"/>
        <w:gridCol w:w="1276"/>
        <w:gridCol w:w="1134"/>
        <w:gridCol w:w="1276"/>
      </w:tblGrid>
      <w:tr w:rsidRPr="00CF652C" w:rsidR="00F846E1" w:rsidTr="00FC31A7" w14:paraId="786D6B4B" w14:textId="77777777">
        <w:trPr>
          <w:trHeight w:val="300"/>
        </w:trPr>
        <w:tc>
          <w:tcPr>
            <w:tcW w:w="4819" w:type="dxa"/>
            <w:tcBorders>
              <w:top w:val="single" w:color="auto" w:sz="4" w:space="0"/>
              <w:left w:val="single" w:color="auto" w:sz="4" w:space="0"/>
              <w:bottom w:val="single" w:color="auto" w:sz="4" w:space="0"/>
              <w:right w:val="nil"/>
            </w:tcBorders>
            <w:shd w:val="clear" w:color="auto" w:fill="DBE5F1" w:themeFill="accent1" w:themeFillTint="33"/>
            <w:noWrap/>
            <w:vAlign w:val="bottom"/>
            <w:hideMark/>
          </w:tcPr>
          <w:p w:rsidRPr="00CF652C" w:rsidR="00F846E1" w:rsidP="00F846E1" w:rsidRDefault="00F846E1" w14:paraId="61B73E4B" w14:textId="77777777">
            <w:pPr>
              <w:spacing w:after="0" w:line="240" w:lineRule="auto"/>
              <w:rPr>
                <w:rFonts w:eastAsia="Times New Roman" w:cs="Arial"/>
                <w:b/>
                <w:bCs/>
                <w:color w:val="000000"/>
                <w:lang w:eastAsia="en-GB"/>
              </w:rPr>
            </w:pPr>
            <w:r w:rsidRPr="00CF652C">
              <w:rPr>
                <w:rFonts w:eastAsia="Times New Roman" w:cs="Arial"/>
                <w:b/>
                <w:bCs/>
                <w:color w:val="000000"/>
                <w:lang w:eastAsia="en-GB"/>
              </w:rPr>
              <w:t>Adjustment to Mo</w:t>
            </w:r>
            <w:r w:rsidRPr="00CF652C" w:rsidR="00522B3D">
              <w:rPr>
                <w:rFonts w:eastAsia="Times New Roman" w:cs="Arial"/>
                <w:b/>
                <w:bCs/>
                <w:color w:val="000000"/>
                <w:lang w:eastAsia="en-GB"/>
              </w:rPr>
              <w:t>r</w:t>
            </w:r>
            <w:r w:rsidRPr="00CF652C">
              <w:rPr>
                <w:rFonts w:eastAsia="Times New Roman" w:cs="Arial"/>
                <w:b/>
                <w:bCs/>
                <w:color w:val="000000"/>
                <w:lang w:eastAsia="en-GB"/>
              </w:rPr>
              <w:t>tality Age Rating Assumption</w:t>
            </w:r>
          </w:p>
        </w:tc>
        <w:tc>
          <w:tcPr>
            <w:tcW w:w="1276"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bottom"/>
            <w:hideMark/>
          </w:tcPr>
          <w:p w:rsidRPr="00CF652C" w:rsidR="00F846E1" w:rsidP="00F846E1" w:rsidRDefault="00F846E1" w14:paraId="4DDDBA02" w14:textId="77777777">
            <w:pPr>
              <w:spacing w:after="0" w:line="240" w:lineRule="auto"/>
              <w:jc w:val="center"/>
              <w:rPr>
                <w:rFonts w:eastAsia="Times New Roman" w:cs="Arial"/>
                <w:b/>
                <w:bCs/>
                <w:color w:val="000000"/>
                <w:lang w:eastAsia="en-GB"/>
              </w:rPr>
            </w:pPr>
            <w:r w:rsidRPr="00CF652C">
              <w:rPr>
                <w:rFonts w:eastAsia="Times New Roman" w:cs="Arial"/>
                <w:b/>
                <w:bCs/>
                <w:color w:val="000000"/>
                <w:lang w:eastAsia="en-GB"/>
              </w:rPr>
              <w:t>- 1 year</w:t>
            </w:r>
          </w:p>
        </w:tc>
        <w:tc>
          <w:tcPr>
            <w:tcW w:w="1134"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CF652C" w:rsidR="00F846E1" w:rsidP="00F846E1" w:rsidRDefault="00F846E1" w14:paraId="4E35B4BE" w14:textId="77777777">
            <w:pPr>
              <w:spacing w:after="0" w:line="240" w:lineRule="auto"/>
              <w:jc w:val="center"/>
              <w:rPr>
                <w:rFonts w:eastAsia="Times New Roman" w:cs="Arial"/>
                <w:b/>
                <w:bCs/>
                <w:color w:val="000000"/>
                <w:lang w:eastAsia="en-GB"/>
              </w:rPr>
            </w:pPr>
            <w:r w:rsidRPr="00CF652C">
              <w:rPr>
                <w:rFonts w:eastAsia="Times New Roman" w:cs="Arial"/>
                <w:b/>
                <w:bCs/>
                <w:color w:val="000000"/>
                <w:lang w:eastAsia="en-GB"/>
              </w:rPr>
              <w:t>Base Figure</w:t>
            </w:r>
          </w:p>
        </w:tc>
        <w:tc>
          <w:tcPr>
            <w:tcW w:w="1276" w:type="dxa"/>
            <w:tcBorders>
              <w:top w:val="single" w:color="auto" w:sz="4" w:space="0"/>
              <w:left w:val="nil"/>
              <w:bottom w:val="single" w:color="auto" w:sz="4" w:space="0"/>
              <w:right w:val="single" w:color="auto" w:sz="4" w:space="0"/>
            </w:tcBorders>
            <w:shd w:val="clear" w:color="auto" w:fill="DBE5F1" w:themeFill="accent1" w:themeFillTint="33"/>
            <w:noWrap/>
            <w:vAlign w:val="bottom"/>
            <w:hideMark/>
          </w:tcPr>
          <w:p w:rsidRPr="00CF652C" w:rsidR="00F846E1" w:rsidP="00F846E1" w:rsidRDefault="00F846E1" w14:paraId="7D63CAF1" w14:textId="77777777">
            <w:pPr>
              <w:spacing w:after="0" w:line="240" w:lineRule="auto"/>
              <w:jc w:val="center"/>
              <w:rPr>
                <w:rFonts w:eastAsia="Times New Roman" w:cs="Arial"/>
                <w:b/>
                <w:bCs/>
                <w:color w:val="000000"/>
                <w:lang w:eastAsia="en-GB"/>
              </w:rPr>
            </w:pPr>
            <w:r w:rsidRPr="00CF652C">
              <w:rPr>
                <w:rFonts w:eastAsia="Times New Roman" w:cs="Arial"/>
                <w:b/>
                <w:bCs/>
                <w:color w:val="000000"/>
                <w:lang w:eastAsia="en-GB"/>
              </w:rPr>
              <w:t>+ 1 year</w:t>
            </w:r>
          </w:p>
        </w:tc>
      </w:tr>
      <w:tr w:rsidRPr="00CF652C" w:rsidR="00F846E1" w:rsidTr="00480191" w14:paraId="763B9C3C" w14:textId="77777777">
        <w:trPr>
          <w:trHeight w:val="300"/>
        </w:trPr>
        <w:tc>
          <w:tcPr>
            <w:tcW w:w="4819" w:type="dxa"/>
            <w:tcBorders>
              <w:top w:val="single" w:color="auto" w:sz="4" w:space="0"/>
              <w:left w:val="single" w:color="auto" w:sz="4" w:space="0"/>
              <w:bottom w:val="nil"/>
              <w:right w:val="nil"/>
            </w:tcBorders>
            <w:shd w:val="clear" w:color="auto" w:fill="auto"/>
            <w:noWrap/>
            <w:vAlign w:val="bottom"/>
            <w:hideMark/>
          </w:tcPr>
          <w:p w:rsidRPr="00CF652C" w:rsidR="00F846E1" w:rsidP="00F846E1" w:rsidRDefault="00F846E1" w14:paraId="18BA243E" w14:textId="77777777">
            <w:pPr>
              <w:spacing w:after="0" w:line="240" w:lineRule="auto"/>
              <w:rPr>
                <w:rFonts w:eastAsia="Times New Roman" w:cs="Arial"/>
                <w:color w:val="000000"/>
                <w:sz w:val="20"/>
                <w:szCs w:val="20"/>
                <w:lang w:eastAsia="en-GB"/>
              </w:rPr>
            </w:pPr>
            <w:r w:rsidRPr="00CF652C">
              <w:rPr>
                <w:rFonts w:eastAsia="Times New Roman" w:cs="Arial"/>
                <w:color w:val="000000"/>
                <w:sz w:val="20"/>
                <w:szCs w:val="20"/>
                <w:lang w:eastAsia="en-GB"/>
              </w:rPr>
              <w:t>Present Value of Total Obligation (£M)</w:t>
            </w:r>
          </w:p>
        </w:tc>
        <w:tc>
          <w:tcPr>
            <w:tcW w:w="1276" w:type="dxa"/>
            <w:tcBorders>
              <w:top w:val="single" w:color="auto" w:sz="4" w:space="0"/>
              <w:left w:val="single" w:color="auto" w:sz="4" w:space="0"/>
              <w:bottom w:val="nil"/>
              <w:right w:val="single" w:color="auto" w:sz="4" w:space="0"/>
            </w:tcBorders>
            <w:shd w:val="clear" w:color="auto" w:fill="auto"/>
            <w:noWrap/>
            <w:vAlign w:val="bottom"/>
          </w:tcPr>
          <w:p w:rsidRPr="00CF652C" w:rsidR="00F846E1" w:rsidP="00806E4A" w:rsidRDefault="00CF652C" w14:paraId="380D2C13" w14:textId="427D6BC4">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5.79</w:t>
            </w:r>
          </w:p>
        </w:tc>
        <w:tc>
          <w:tcPr>
            <w:tcW w:w="1134" w:type="dxa"/>
            <w:tcBorders>
              <w:top w:val="single" w:color="auto" w:sz="4" w:space="0"/>
              <w:left w:val="nil"/>
              <w:bottom w:val="nil"/>
              <w:right w:val="single" w:color="auto" w:sz="4" w:space="0"/>
            </w:tcBorders>
            <w:shd w:val="clear" w:color="auto" w:fill="auto"/>
            <w:noWrap/>
            <w:vAlign w:val="bottom"/>
          </w:tcPr>
          <w:p w:rsidRPr="00CF652C" w:rsidR="00394F8D" w:rsidP="00394F8D" w:rsidRDefault="00CF652C" w14:paraId="6C60AEAA" w14:textId="647A623A">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5.64</w:t>
            </w:r>
          </w:p>
        </w:tc>
        <w:tc>
          <w:tcPr>
            <w:tcW w:w="1276" w:type="dxa"/>
            <w:tcBorders>
              <w:top w:val="single" w:color="auto" w:sz="4" w:space="0"/>
              <w:left w:val="nil"/>
              <w:bottom w:val="nil"/>
              <w:right w:val="single" w:color="auto" w:sz="4" w:space="0"/>
            </w:tcBorders>
            <w:shd w:val="clear" w:color="auto" w:fill="auto"/>
            <w:noWrap/>
            <w:vAlign w:val="bottom"/>
          </w:tcPr>
          <w:p w:rsidRPr="00CF652C" w:rsidR="00F846E1" w:rsidP="002D349D" w:rsidRDefault="00CF652C" w14:paraId="5419A0D3" w14:textId="7E1F0CF0">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5.49</w:t>
            </w:r>
          </w:p>
        </w:tc>
      </w:tr>
      <w:tr w:rsidRPr="00CF652C" w:rsidR="00F846E1" w:rsidTr="00480191" w14:paraId="5E277ACA" w14:textId="77777777">
        <w:trPr>
          <w:trHeight w:val="300"/>
        </w:trPr>
        <w:tc>
          <w:tcPr>
            <w:tcW w:w="4819" w:type="dxa"/>
            <w:tcBorders>
              <w:top w:val="nil"/>
              <w:left w:val="single" w:color="auto" w:sz="4" w:space="0"/>
              <w:bottom w:val="nil"/>
              <w:right w:val="nil"/>
            </w:tcBorders>
            <w:shd w:val="clear" w:color="auto" w:fill="auto"/>
            <w:noWrap/>
            <w:vAlign w:val="bottom"/>
            <w:hideMark/>
          </w:tcPr>
          <w:p w:rsidRPr="00CF652C" w:rsidR="00F846E1" w:rsidP="00F846E1" w:rsidRDefault="00F846E1" w14:paraId="67E5A4FA" w14:textId="77777777">
            <w:pPr>
              <w:spacing w:after="0" w:line="240" w:lineRule="auto"/>
              <w:rPr>
                <w:rFonts w:eastAsia="Times New Roman" w:cs="Arial"/>
                <w:color w:val="000000"/>
                <w:sz w:val="20"/>
                <w:szCs w:val="20"/>
                <w:lang w:eastAsia="en-GB"/>
              </w:rPr>
            </w:pPr>
            <w:r w:rsidRPr="00CF652C">
              <w:rPr>
                <w:rFonts w:eastAsia="Times New Roman" w:cs="Arial"/>
                <w:color w:val="000000"/>
                <w:sz w:val="20"/>
                <w:szCs w:val="20"/>
                <w:lang w:eastAsia="en-GB"/>
              </w:rPr>
              <w:t>% Change in Present Value of Total Obligation</w:t>
            </w:r>
          </w:p>
        </w:tc>
        <w:tc>
          <w:tcPr>
            <w:tcW w:w="1276" w:type="dxa"/>
            <w:tcBorders>
              <w:top w:val="nil"/>
              <w:left w:val="single" w:color="auto" w:sz="4" w:space="0"/>
              <w:bottom w:val="nil"/>
              <w:right w:val="single" w:color="auto" w:sz="4" w:space="0"/>
            </w:tcBorders>
            <w:shd w:val="clear" w:color="auto" w:fill="auto"/>
            <w:noWrap/>
            <w:vAlign w:val="bottom"/>
          </w:tcPr>
          <w:p w:rsidRPr="00CF652C" w:rsidR="00F846E1" w:rsidP="00806E4A" w:rsidRDefault="00CF652C" w14:paraId="6FF6FC56" w14:textId="70DB5FD2">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2.7%</w:t>
            </w:r>
          </w:p>
        </w:tc>
        <w:tc>
          <w:tcPr>
            <w:tcW w:w="1134" w:type="dxa"/>
            <w:tcBorders>
              <w:top w:val="nil"/>
              <w:left w:val="nil"/>
              <w:bottom w:val="nil"/>
              <w:right w:val="single" w:color="auto" w:sz="4" w:space="0"/>
            </w:tcBorders>
            <w:shd w:val="clear" w:color="auto" w:fill="auto"/>
            <w:noWrap/>
            <w:vAlign w:val="bottom"/>
          </w:tcPr>
          <w:p w:rsidRPr="00CF652C" w:rsidR="00F846E1" w:rsidP="00806E4A" w:rsidRDefault="00F846E1" w14:paraId="713B5032" w14:textId="77777777">
            <w:pPr>
              <w:spacing w:after="0" w:line="240" w:lineRule="auto"/>
              <w:jc w:val="right"/>
              <w:rPr>
                <w:rFonts w:eastAsia="Times New Roman" w:cs="Arial"/>
                <w:color w:val="000000"/>
                <w:sz w:val="20"/>
                <w:szCs w:val="20"/>
                <w:lang w:eastAsia="en-GB"/>
              </w:rPr>
            </w:pPr>
          </w:p>
        </w:tc>
        <w:tc>
          <w:tcPr>
            <w:tcW w:w="1276" w:type="dxa"/>
            <w:tcBorders>
              <w:top w:val="nil"/>
              <w:left w:val="nil"/>
              <w:bottom w:val="nil"/>
              <w:right w:val="single" w:color="auto" w:sz="4" w:space="0"/>
            </w:tcBorders>
            <w:shd w:val="clear" w:color="auto" w:fill="auto"/>
            <w:noWrap/>
            <w:vAlign w:val="bottom"/>
          </w:tcPr>
          <w:p w:rsidRPr="00CF652C" w:rsidR="00F846E1" w:rsidP="002D349D" w:rsidRDefault="00CF652C" w14:paraId="0B80902B" w14:textId="07023D13">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(2.7)%</w:t>
            </w:r>
          </w:p>
        </w:tc>
      </w:tr>
      <w:tr w:rsidRPr="00CF652C" w:rsidR="00F846E1" w:rsidTr="00480191" w14:paraId="703B9609" w14:textId="77777777">
        <w:trPr>
          <w:trHeight w:val="300"/>
        </w:trPr>
        <w:tc>
          <w:tcPr>
            <w:tcW w:w="4819" w:type="dxa"/>
            <w:tcBorders>
              <w:top w:val="nil"/>
              <w:left w:val="single" w:color="auto" w:sz="4" w:space="0"/>
              <w:bottom w:val="nil"/>
              <w:right w:val="nil"/>
            </w:tcBorders>
            <w:shd w:val="clear" w:color="auto" w:fill="auto"/>
            <w:noWrap/>
            <w:vAlign w:val="bottom"/>
            <w:hideMark/>
          </w:tcPr>
          <w:p w:rsidRPr="00CF652C" w:rsidR="00F846E1" w:rsidP="00F846E1" w:rsidRDefault="00F846E1" w14:paraId="2B9E87ED" w14:textId="77777777">
            <w:pPr>
              <w:spacing w:after="0" w:line="240" w:lineRule="auto"/>
              <w:rPr>
                <w:rFonts w:eastAsia="Times New Roman" w:cs="Arial"/>
                <w:color w:val="000000"/>
                <w:sz w:val="20"/>
                <w:szCs w:val="20"/>
                <w:lang w:eastAsia="en-GB"/>
              </w:rPr>
            </w:pPr>
            <w:r w:rsidRPr="00CF652C">
              <w:rPr>
                <w:rFonts w:eastAsia="Times New Roman" w:cs="Arial"/>
                <w:color w:val="000000"/>
                <w:sz w:val="20"/>
                <w:szCs w:val="20"/>
                <w:lang w:eastAsia="en-GB"/>
              </w:rPr>
              <w:t>Projected Service Cost (£M)</w:t>
            </w:r>
          </w:p>
        </w:tc>
        <w:tc>
          <w:tcPr>
            <w:tcW w:w="1276" w:type="dxa"/>
            <w:tcBorders>
              <w:top w:val="nil"/>
              <w:left w:val="single" w:color="auto" w:sz="4" w:space="0"/>
              <w:bottom w:val="nil"/>
              <w:right w:val="single" w:color="auto" w:sz="4" w:space="0"/>
            </w:tcBorders>
            <w:shd w:val="clear" w:color="auto" w:fill="auto"/>
            <w:noWrap/>
            <w:vAlign w:val="bottom"/>
          </w:tcPr>
          <w:p w:rsidRPr="00CF652C" w:rsidR="00F846E1" w:rsidP="00806E4A" w:rsidRDefault="00CF652C" w14:paraId="7BD16231" w14:textId="1414A501">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0.30</w:t>
            </w:r>
          </w:p>
        </w:tc>
        <w:tc>
          <w:tcPr>
            <w:tcW w:w="1134" w:type="dxa"/>
            <w:tcBorders>
              <w:top w:val="nil"/>
              <w:left w:val="nil"/>
              <w:bottom w:val="nil"/>
              <w:right w:val="single" w:color="auto" w:sz="4" w:space="0"/>
            </w:tcBorders>
            <w:shd w:val="clear" w:color="auto" w:fill="auto"/>
            <w:noWrap/>
            <w:vAlign w:val="bottom"/>
          </w:tcPr>
          <w:p w:rsidRPr="00CF652C" w:rsidR="00F846E1" w:rsidP="00806E4A" w:rsidRDefault="00CF652C" w14:paraId="2AB0DC80" w14:textId="4D09BD39">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0.29</w:t>
            </w:r>
          </w:p>
        </w:tc>
        <w:tc>
          <w:tcPr>
            <w:tcW w:w="1276" w:type="dxa"/>
            <w:tcBorders>
              <w:top w:val="nil"/>
              <w:left w:val="nil"/>
              <w:bottom w:val="nil"/>
              <w:right w:val="single" w:color="auto" w:sz="4" w:space="0"/>
            </w:tcBorders>
            <w:shd w:val="clear" w:color="auto" w:fill="auto"/>
            <w:noWrap/>
            <w:vAlign w:val="bottom"/>
          </w:tcPr>
          <w:p w:rsidRPr="00CF652C" w:rsidR="00F846E1" w:rsidP="002D349D" w:rsidRDefault="00CF652C" w14:paraId="5E07E726" w14:textId="658D1DF1">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0.28</w:t>
            </w:r>
          </w:p>
        </w:tc>
      </w:tr>
      <w:tr w:rsidRPr="00CF652C" w:rsidR="00F846E1" w:rsidTr="00480191" w14:paraId="7B5BC9C2" w14:textId="77777777">
        <w:trPr>
          <w:trHeight w:val="300"/>
        </w:trPr>
        <w:tc>
          <w:tcPr>
            <w:tcW w:w="4819" w:type="dxa"/>
            <w:tcBorders>
              <w:top w:val="nil"/>
              <w:left w:val="single" w:color="auto" w:sz="4" w:space="0"/>
              <w:bottom w:val="single" w:color="auto" w:sz="4" w:space="0"/>
              <w:right w:val="nil"/>
            </w:tcBorders>
            <w:shd w:val="clear" w:color="auto" w:fill="auto"/>
            <w:noWrap/>
            <w:vAlign w:val="bottom"/>
            <w:hideMark/>
          </w:tcPr>
          <w:p w:rsidRPr="00CF652C" w:rsidR="00F846E1" w:rsidP="00F846E1" w:rsidRDefault="00F846E1" w14:paraId="38F7D36D" w14:textId="77777777">
            <w:pPr>
              <w:spacing w:after="0" w:line="240" w:lineRule="auto"/>
              <w:rPr>
                <w:rFonts w:eastAsia="Times New Roman" w:cs="Arial"/>
                <w:color w:val="000000"/>
                <w:sz w:val="20"/>
                <w:szCs w:val="20"/>
                <w:lang w:eastAsia="en-GB"/>
              </w:rPr>
            </w:pPr>
            <w:r w:rsidRPr="00CF652C">
              <w:rPr>
                <w:rFonts w:eastAsia="Times New Roman" w:cs="Arial"/>
                <w:color w:val="000000"/>
                <w:sz w:val="20"/>
                <w:szCs w:val="20"/>
                <w:lang w:eastAsia="en-GB"/>
              </w:rPr>
              <w:t>Approximate % Change in Projected Service Cost</w:t>
            </w:r>
          </w:p>
        </w:tc>
        <w:tc>
          <w:tcPr>
            <w:tcW w:w="1276" w:type="dxa"/>
            <w:tcBorders>
              <w:top w:val="nil"/>
              <w:left w:val="single" w:color="auto" w:sz="4" w:space="0"/>
              <w:bottom w:val="single" w:color="auto" w:sz="4" w:space="0"/>
              <w:right w:val="single" w:color="auto" w:sz="4" w:space="0"/>
            </w:tcBorders>
            <w:shd w:val="clear" w:color="auto" w:fill="auto"/>
            <w:noWrap/>
            <w:vAlign w:val="bottom"/>
          </w:tcPr>
          <w:p w:rsidRPr="00CF652C" w:rsidR="00F846E1" w:rsidP="00806E4A" w:rsidRDefault="00CF652C" w14:paraId="1676D5B1" w14:textId="173CCA9B">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3.6%</w:t>
            </w:r>
          </w:p>
        </w:tc>
        <w:tc>
          <w:tcPr>
            <w:tcW w:w="1134" w:type="dxa"/>
            <w:tcBorders>
              <w:top w:val="nil"/>
              <w:left w:val="nil"/>
              <w:bottom w:val="single" w:color="auto" w:sz="4" w:space="0"/>
              <w:right w:val="single" w:color="auto" w:sz="4" w:space="0"/>
            </w:tcBorders>
            <w:shd w:val="clear" w:color="auto" w:fill="auto"/>
            <w:noWrap/>
            <w:vAlign w:val="bottom"/>
          </w:tcPr>
          <w:p w:rsidRPr="00CF652C" w:rsidR="00F846E1" w:rsidP="00806E4A" w:rsidRDefault="00F846E1" w14:paraId="67F099A7" w14:textId="77777777">
            <w:pPr>
              <w:spacing w:after="0" w:line="240" w:lineRule="auto"/>
              <w:jc w:val="right"/>
              <w:rPr>
                <w:rFonts w:eastAsia="Times New Roman" w:cs="Arial"/>
                <w:color w:val="000000"/>
                <w:sz w:val="20"/>
                <w:szCs w:val="20"/>
                <w:lang w:eastAsia="en-GB"/>
              </w:rPr>
            </w:pPr>
          </w:p>
        </w:tc>
        <w:tc>
          <w:tcPr>
            <w:tcW w:w="1276" w:type="dxa"/>
            <w:tcBorders>
              <w:top w:val="nil"/>
              <w:left w:val="nil"/>
              <w:bottom w:val="single" w:color="auto" w:sz="4" w:space="0"/>
              <w:right w:val="single" w:color="auto" w:sz="4" w:space="0"/>
            </w:tcBorders>
            <w:shd w:val="clear" w:color="auto" w:fill="auto"/>
            <w:noWrap/>
            <w:vAlign w:val="bottom"/>
          </w:tcPr>
          <w:p w:rsidRPr="00CF652C" w:rsidR="00F846E1" w:rsidP="002D349D" w:rsidRDefault="00CF652C" w14:paraId="144377E8" w14:textId="0F120219">
            <w:pPr>
              <w:spacing w:after="0" w:line="240" w:lineRule="auto"/>
              <w:jc w:val="right"/>
              <w:rPr>
                <w:rFonts w:eastAsia="Times New Roman" w:cs="Arial"/>
                <w:color w:val="000000"/>
                <w:sz w:val="20"/>
                <w:szCs w:val="20"/>
                <w:lang w:eastAsia="en-GB"/>
              </w:rPr>
            </w:pPr>
            <w:r w:rsidRPr="00CF652C">
              <w:rPr>
                <w:rFonts w:eastAsia="Times New Roman" w:cs="Arial"/>
                <w:color w:val="000000"/>
                <w:sz w:val="20"/>
                <w:szCs w:val="20"/>
                <w:lang w:eastAsia="en-GB"/>
              </w:rPr>
              <w:t>(3.6)%</w:t>
            </w:r>
          </w:p>
        </w:tc>
      </w:tr>
    </w:tbl>
    <w:p w:rsidRPr="00CF652C" w:rsidR="00F846E1" w:rsidP="00803BC5" w:rsidRDefault="00F846E1" w14:paraId="0B580673" w14:textId="77777777">
      <w:pPr>
        <w:pStyle w:val="ListParagraph"/>
        <w:ind w:left="1080"/>
        <w:jc w:val="both"/>
        <w:rPr>
          <w:rFonts w:cs="Arial"/>
          <w:b/>
        </w:rPr>
      </w:pPr>
    </w:p>
    <w:p w:rsidRPr="00CF652C" w:rsidR="00F846E1" w:rsidP="00F846E1" w:rsidRDefault="00F846E1" w14:paraId="4AFC1DB4" w14:textId="77777777">
      <w:pPr>
        <w:pStyle w:val="ListParagraph"/>
        <w:numPr>
          <w:ilvl w:val="0"/>
          <w:numId w:val="1"/>
        </w:numPr>
        <w:jc w:val="both"/>
        <w:rPr>
          <w:rFonts w:cs="Arial"/>
        </w:rPr>
      </w:pPr>
      <w:r w:rsidRPr="00CF652C">
        <w:rPr>
          <w:rFonts w:cs="Arial"/>
        </w:rPr>
        <w:t>A rating of +1 year means that members are assumed to follow the mortality pattern for the base table for an individual that is 1 year older than them</w:t>
      </w:r>
      <w:r w:rsidRPr="00CF652C" w:rsidR="00522B3D">
        <w:rPr>
          <w:rFonts w:cs="Arial"/>
        </w:rPr>
        <w:t>.</w:t>
      </w:r>
    </w:p>
    <w:p w:rsidRPr="002B7A1C" w:rsidR="00522B3D" w:rsidP="00467BBE" w:rsidRDefault="00522B3D" w14:paraId="450C5782" w14:textId="77777777">
      <w:pPr>
        <w:pStyle w:val="Heading2"/>
      </w:pPr>
      <w:r w:rsidRPr="002B7A1C">
        <w:t xml:space="preserve"> </w:t>
      </w:r>
      <w:bookmarkStart w:name="_Toc485903727" w:id="46"/>
      <w:r w:rsidRPr="002B7A1C">
        <w:t>Employee Emoluments</w:t>
      </w:r>
      <w:bookmarkEnd w:id="46"/>
    </w:p>
    <w:p w:rsidRPr="002B7A1C" w:rsidR="00522B3D" w:rsidP="006B6507" w:rsidRDefault="00522B3D" w14:paraId="0585FD42" w14:textId="77777777">
      <w:pPr>
        <w:pStyle w:val="Heading3"/>
        <w:tabs>
          <w:tab w:val="left" w:pos="709"/>
        </w:tabs>
        <w:ind w:firstLine="709"/>
      </w:pPr>
      <w:r w:rsidRPr="002B7A1C">
        <w:t>Officers Remunerated in Excess of £60,000</w:t>
      </w:r>
    </w:p>
    <w:p w:rsidRPr="00A04101" w:rsidR="00A41F36" w:rsidP="00E6303C" w:rsidRDefault="00E01F13" w14:paraId="7D8F68A2" w14:textId="2D719600">
      <w:pPr>
        <w:pStyle w:val="ListParagraph"/>
        <w:ind w:left="709"/>
      </w:pPr>
      <w:r w:rsidRPr="00A04101">
        <w:t xml:space="preserve">There were no </w:t>
      </w:r>
      <w:r w:rsidRPr="00A04101" w:rsidR="00522B3D">
        <w:t xml:space="preserve">employees whose remuneration, excluding employer’s pension contributions but including redundancy costs, </w:t>
      </w:r>
      <w:r w:rsidRPr="00A04101" w:rsidR="007A7954">
        <w:t>w</w:t>
      </w:r>
      <w:r w:rsidRPr="00A04101" w:rsidR="00522B3D">
        <w:t>ere over £60,000 or more in</w:t>
      </w:r>
      <w:r w:rsidRPr="00A04101">
        <w:t xml:space="preserve"> 2021/22 and 2022/23.  The Regional Adoption Managers salary is in the £50k to £55k bracket.</w:t>
      </w:r>
    </w:p>
    <w:p w:rsidRPr="002B7A1C" w:rsidR="00901E88" w:rsidP="00E6303C" w:rsidRDefault="0087163A" w14:paraId="79BA52D8" w14:textId="75B50FA9">
      <w:pPr>
        <w:ind w:left="709"/>
      </w:pPr>
      <w:r w:rsidRPr="002B7A1C">
        <w:t xml:space="preserve">The Management Committee members of </w:t>
      </w:r>
      <w:r w:rsidRPr="006A70E1" w:rsidR="00AE1CBD">
        <w:rPr>
          <w:rFonts w:cs="Arial"/>
        </w:rPr>
        <w:t>VVC</w:t>
      </w:r>
      <w:r w:rsidR="00B0797F">
        <w:rPr>
          <w:rFonts w:cs="Arial"/>
        </w:rPr>
        <w:t xml:space="preserve"> </w:t>
      </w:r>
      <w:r w:rsidRPr="002B7A1C">
        <w:t xml:space="preserve">are employed directly by the partner </w:t>
      </w:r>
      <w:r w:rsidR="00E6303C">
        <w:t xml:space="preserve"> </w:t>
      </w:r>
      <w:r w:rsidRPr="002B7A1C">
        <w:t>authorities and their remuneration is not reflected in the accounts or the remuneration disclosures.</w:t>
      </w:r>
      <w:r w:rsidRPr="002B7A1C" w:rsidR="003B3DF5">
        <w:t xml:space="preserve">  </w:t>
      </w:r>
    </w:p>
    <w:p w:rsidRPr="002B7A1C" w:rsidR="0087163A" w:rsidP="006F77B9" w:rsidRDefault="0087163A" w14:paraId="26C7091C" w14:textId="6F54A06C">
      <w:pPr>
        <w:ind w:left="851"/>
        <w:jc w:val="both"/>
      </w:pPr>
      <w:r w:rsidRPr="002B7A1C">
        <w:lastRenderedPageBreak/>
        <w:t xml:space="preserve">The designated Section 151 Officer for the Joint Committee is the Section 151 Officer for the Vale of Glamorgan Council as host authority. No remuneration for this post has been charged to the accounts or is included in the disclosure notes. </w:t>
      </w:r>
    </w:p>
    <w:p w:rsidRPr="00614894" w:rsidR="00901E88" w:rsidP="006F77B9" w:rsidRDefault="00901E88" w14:paraId="1C9B4B9E" w14:textId="7040017A">
      <w:pPr>
        <w:ind w:left="851"/>
        <w:jc w:val="both"/>
        <w:rPr>
          <w:highlight w:val="yellow"/>
        </w:rPr>
      </w:pPr>
    </w:p>
    <w:p w:rsidRPr="002B7A1C" w:rsidR="004C543E" w:rsidP="00CE3CBF" w:rsidRDefault="004C543E" w14:paraId="3CB551C3" w14:textId="1AAE1972">
      <w:pPr>
        <w:pStyle w:val="Heading3"/>
      </w:pPr>
      <w:r w:rsidRPr="002B7A1C">
        <w:t>Exit Packages</w:t>
      </w:r>
    </w:p>
    <w:p w:rsidRPr="001B16FE" w:rsidR="005C381D" w:rsidP="008375E8" w:rsidRDefault="004C543E" w14:paraId="119654BC" w14:textId="13D15CA0">
      <w:pPr>
        <w:pStyle w:val="ListParagraph"/>
        <w:ind w:left="709"/>
        <w:jc w:val="both"/>
      </w:pPr>
      <w:r w:rsidRPr="001B16FE">
        <w:rPr>
          <w:rFonts w:cs="Arial"/>
        </w:rPr>
        <w:t>The</w:t>
      </w:r>
      <w:r w:rsidRPr="001B16FE" w:rsidR="006A328B">
        <w:rPr>
          <w:rFonts w:cs="Arial"/>
        </w:rPr>
        <w:t>re were no exit packages agreed in 2021/22 or 2022/23 by the service.</w:t>
      </w:r>
      <w:r w:rsidRPr="001B16FE" w:rsidR="005C381D">
        <w:t xml:space="preserve">            </w:t>
      </w:r>
    </w:p>
    <w:p w:rsidRPr="001B16FE" w:rsidR="004C543E" w:rsidP="00467BBE" w:rsidRDefault="004C543E" w14:paraId="4438E0B0" w14:textId="77777777">
      <w:pPr>
        <w:pStyle w:val="Heading2"/>
      </w:pPr>
      <w:r w:rsidRPr="001B16FE">
        <w:t xml:space="preserve"> </w:t>
      </w:r>
      <w:bookmarkStart w:name="_Toc485903728" w:id="47"/>
      <w:r w:rsidRPr="001B16FE">
        <w:t>Interest</w:t>
      </w:r>
      <w:bookmarkEnd w:id="47"/>
    </w:p>
    <w:p w:rsidRPr="00A04101" w:rsidR="000F06D2" w:rsidP="00B0797F" w:rsidRDefault="004C543E" w14:paraId="02F1B308" w14:textId="082DBD90">
      <w:pPr>
        <w:pStyle w:val="ListParagraph"/>
        <w:ind w:left="709"/>
        <w:jc w:val="both"/>
        <w:rPr>
          <w:rFonts w:cs="Arial"/>
        </w:rPr>
      </w:pPr>
      <w:r w:rsidRPr="00A04101">
        <w:rPr>
          <w:rFonts w:cs="Arial"/>
        </w:rPr>
        <w:t>Interest is paid based on monthly average cash balances due to/from the Vale of Glamorgan Council.</w:t>
      </w:r>
    </w:p>
    <w:p w:rsidRPr="001B16FE" w:rsidR="000F06D2" w:rsidP="00A92B9D" w:rsidRDefault="000F06D2" w14:paraId="4ED687A7" w14:textId="77777777">
      <w:pPr>
        <w:pStyle w:val="ListParagraph"/>
        <w:ind w:left="709"/>
        <w:jc w:val="both"/>
        <w:rPr>
          <w:rFonts w:cs="Arial"/>
          <w:sz w:val="24"/>
          <w:szCs w:val="24"/>
        </w:rPr>
      </w:pPr>
    </w:p>
    <w:tbl>
      <w:tblPr>
        <w:tblW w:w="8363" w:type="dxa"/>
        <w:tblInd w:w="817" w:type="dxa"/>
        <w:tblLook w:val="04A0" w:firstRow="1" w:lastRow="0" w:firstColumn="1" w:lastColumn="0" w:noHBand="0" w:noVBand="1"/>
      </w:tblPr>
      <w:tblGrid>
        <w:gridCol w:w="3686"/>
        <w:gridCol w:w="1417"/>
        <w:gridCol w:w="851"/>
        <w:gridCol w:w="1417"/>
        <w:gridCol w:w="992"/>
      </w:tblGrid>
      <w:tr w:rsidRPr="001B16FE" w:rsidR="00547137" w:rsidTr="003E34FA" w14:paraId="69AA9D41" w14:textId="77777777">
        <w:trPr>
          <w:trHeight w:val="300"/>
        </w:trPr>
        <w:tc>
          <w:tcPr>
            <w:tcW w:w="3686" w:type="dxa"/>
            <w:tcBorders>
              <w:top w:val="single" w:color="auto" w:sz="4" w:space="0"/>
              <w:left w:val="single" w:color="auto" w:sz="4" w:space="0"/>
              <w:bottom w:val="nil"/>
              <w:right w:val="nil"/>
            </w:tcBorders>
            <w:shd w:val="clear" w:color="auto" w:fill="DBE5F1" w:themeFill="accent1" w:themeFillTint="33"/>
            <w:noWrap/>
            <w:vAlign w:val="bottom"/>
            <w:hideMark/>
          </w:tcPr>
          <w:p w:rsidRPr="001B16FE" w:rsidR="00547137" w:rsidP="004C543E" w:rsidRDefault="00547137" w14:paraId="7A18EB41" w14:textId="77777777">
            <w:pPr>
              <w:spacing w:after="0" w:line="240" w:lineRule="auto"/>
              <w:rPr>
                <w:rFonts w:eastAsia="Times New Roman" w:cs="Arial"/>
                <w:b/>
                <w:bCs/>
                <w:color w:val="000000"/>
                <w:sz w:val="20"/>
                <w:szCs w:val="20"/>
                <w:lang w:eastAsia="en-GB"/>
              </w:rPr>
            </w:pPr>
            <w:r w:rsidRPr="001B16FE">
              <w:rPr>
                <w:rFonts w:eastAsia="Times New Roman" w:cs="Arial"/>
                <w:b/>
                <w:bCs/>
                <w:color w:val="000000"/>
                <w:sz w:val="20"/>
                <w:szCs w:val="20"/>
                <w:lang w:eastAsia="en-GB"/>
              </w:rPr>
              <w:t> </w:t>
            </w:r>
          </w:p>
        </w:tc>
        <w:tc>
          <w:tcPr>
            <w:tcW w:w="1417" w:type="dxa"/>
            <w:tcBorders>
              <w:top w:val="single" w:color="auto" w:sz="4" w:space="0"/>
              <w:left w:val="single" w:color="auto" w:sz="4" w:space="0"/>
              <w:bottom w:val="nil"/>
              <w:right w:val="single" w:color="auto" w:sz="4" w:space="0"/>
            </w:tcBorders>
            <w:shd w:val="clear" w:color="auto" w:fill="DBE5F1" w:themeFill="accent1" w:themeFillTint="33"/>
            <w:noWrap/>
            <w:vAlign w:val="bottom"/>
            <w:hideMark/>
          </w:tcPr>
          <w:p w:rsidRPr="001B16FE" w:rsidR="00547137" w:rsidP="00443BF3" w:rsidRDefault="00443BF3" w14:paraId="29060D88" w14:textId="1C3E388A">
            <w:pPr>
              <w:spacing w:after="0" w:line="240" w:lineRule="auto"/>
              <w:rPr>
                <w:rFonts w:eastAsia="Times New Roman" w:cs="Arial"/>
                <w:b/>
                <w:bCs/>
                <w:color w:val="000000"/>
                <w:sz w:val="20"/>
                <w:szCs w:val="20"/>
                <w:lang w:eastAsia="en-GB"/>
              </w:rPr>
            </w:pPr>
            <w:r w:rsidRPr="001B16FE">
              <w:rPr>
                <w:rFonts w:eastAsia="Times New Roman" w:cs="Arial"/>
                <w:b/>
                <w:bCs/>
                <w:color w:val="000000"/>
                <w:sz w:val="20"/>
                <w:szCs w:val="20"/>
                <w:lang w:eastAsia="en-GB"/>
              </w:rPr>
              <w:t xml:space="preserve">   </w:t>
            </w:r>
            <w:r w:rsidRPr="001B16FE" w:rsidR="00E01B8C">
              <w:rPr>
                <w:rFonts w:eastAsia="Times New Roman" w:cs="Arial"/>
                <w:b/>
                <w:bCs/>
                <w:color w:val="000000"/>
                <w:sz w:val="20"/>
                <w:szCs w:val="20"/>
                <w:lang w:eastAsia="en-GB"/>
              </w:rPr>
              <w:t>202</w:t>
            </w:r>
            <w:r w:rsidRPr="001B16FE" w:rsidR="00420290">
              <w:rPr>
                <w:rFonts w:eastAsia="Times New Roman" w:cs="Arial"/>
                <w:b/>
                <w:bCs/>
                <w:color w:val="000000"/>
                <w:sz w:val="20"/>
                <w:szCs w:val="20"/>
                <w:lang w:eastAsia="en-GB"/>
              </w:rPr>
              <w:t>2</w:t>
            </w:r>
            <w:r w:rsidRPr="001B16FE" w:rsidR="008C71E3">
              <w:rPr>
                <w:rFonts w:eastAsia="Times New Roman" w:cs="Arial"/>
                <w:b/>
                <w:bCs/>
                <w:color w:val="000000"/>
                <w:sz w:val="20"/>
                <w:szCs w:val="20"/>
                <w:lang w:eastAsia="en-GB"/>
              </w:rPr>
              <w:t>/</w:t>
            </w:r>
            <w:r w:rsidRPr="001B16FE" w:rsidR="00E01B8C">
              <w:rPr>
                <w:rFonts w:eastAsia="Times New Roman" w:cs="Arial"/>
                <w:b/>
                <w:bCs/>
                <w:color w:val="000000"/>
                <w:sz w:val="20"/>
                <w:szCs w:val="20"/>
                <w:lang w:eastAsia="en-GB"/>
              </w:rPr>
              <w:t>2</w:t>
            </w:r>
            <w:r w:rsidRPr="001B16FE" w:rsidR="00420290">
              <w:rPr>
                <w:rFonts w:eastAsia="Times New Roman" w:cs="Arial"/>
                <w:b/>
                <w:bCs/>
                <w:color w:val="000000"/>
                <w:sz w:val="20"/>
                <w:szCs w:val="20"/>
                <w:lang w:eastAsia="en-GB"/>
              </w:rPr>
              <w:t>3</w:t>
            </w:r>
          </w:p>
        </w:tc>
        <w:tc>
          <w:tcPr>
            <w:tcW w:w="851" w:type="dxa"/>
            <w:tcBorders>
              <w:top w:val="single" w:color="auto" w:sz="4" w:space="0"/>
              <w:left w:val="nil"/>
              <w:bottom w:val="nil"/>
              <w:right w:val="single" w:color="auto" w:sz="4" w:space="0"/>
            </w:tcBorders>
            <w:shd w:val="clear" w:color="auto" w:fill="DBE5F1" w:themeFill="accent1" w:themeFillTint="33"/>
            <w:noWrap/>
            <w:vAlign w:val="bottom"/>
            <w:hideMark/>
          </w:tcPr>
          <w:p w:rsidRPr="001B16FE" w:rsidR="00547137" w:rsidP="00443BF3" w:rsidRDefault="00547137" w14:paraId="6841EA0E" w14:textId="77777777">
            <w:pPr>
              <w:spacing w:after="0" w:line="240" w:lineRule="auto"/>
              <w:jc w:val="center"/>
              <w:rPr>
                <w:rFonts w:eastAsia="Times New Roman" w:cs="Arial"/>
                <w:b/>
                <w:bCs/>
                <w:color w:val="000000"/>
                <w:sz w:val="20"/>
                <w:szCs w:val="20"/>
                <w:lang w:eastAsia="en-GB"/>
              </w:rPr>
            </w:pPr>
          </w:p>
        </w:tc>
        <w:tc>
          <w:tcPr>
            <w:tcW w:w="1417" w:type="dxa"/>
            <w:tcBorders>
              <w:top w:val="single" w:color="auto" w:sz="4" w:space="0"/>
              <w:left w:val="nil"/>
              <w:bottom w:val="nil"/>
              <w:right w:val="single" w:color="auto" w:sz="4" w:space="0"/>
            </w:tcBorders>
            <w:shd w:val="clear" w:color="auto" w:fill="DBE5F1" w:themeFill="accent1" w:themeFillTint="33"/>
            <w:vAlign w:val="bottom"/>
          </w:tcPr>
          <w:p w:rsidRPr="001B16FE" w:rsidR="00547137" w:rsidP="00443BF3" w:rsidRDefault="00E01B8C" w14:paraId="43BCF826" w14:textId="04701EF1">
            <w:pPr>
              <w:spacing w:after="0" w:line="240" w:lineRule="auto"/>
              <w:jc w:val="center"/>
              <w:rPr>
                <w:rFonts w:eastAsia="Times New Roman" w:cs="Arial"/>
                <w:b/>
                <w:bCs/>
                <w:color w:val="000000"/>
                <w:sz w:val="20"/>
                <w:szCs w:val="20"/>
                <w:lang w:eastAsia="en-GB"/>
              </w:rPr>
            </w:pPr>
            <w:r w:rsidRPr="001B16FE">
              <w:rPr>
                <w:rFonts w:eastAsia="Times New Roman" w:cs="Arial"/>
                <w:b/>
                <w:bCs/>
                <w:color w:val="000000"/>
                <w:sz w:val="20"/>
                <w:szCs w:val="20"/>
                <w:lang w:eastAsia="en-GB"/>
              </w:rPr>
              <w:t>202</w:t>
            </w:r>
            <w:r w:rsidRPr="001B16FE" w:rsidR="00420290">
              <w:rPr>
                <w:rFonts w:eastAsia="Times New Roman" w:cs="Arial"/>
                <w:b/>
                <w:bCs/>
                <w:color w:val="000000"/>
                <w:sz w:val="20"/>
                <w:szCs w:val="20"/>
                <w:lang w:eastAsia="en-GB"/>
              </w:rPr>
              <w:t>1</w:t>
            </w:r>
            <w:r w:rsidRPr="001B16FE" w:rsidR="008C71E3">
              <w:rPr>
                <w:rFonts w:eastAsia="Times New Roman" w:cs="Arial"/>
                <w:b/>
                <w:bCs/>
                <w:color w:val="000000"/>
                <w:sz w:val="20"/>
                <w:szCs w:val="20"/>
                <w:lang w:eastAsia="en-GB"/>
              </w:rPr>
              <w:t>/</w:t>
            </w:r>
            <w:r w:rsidRPr="001B16FE">
              <w:rPr>
                <w:rFonts w:eastAsia="Times New Roman" w:cs="Arial"/>
                <w:b/>
                <w:bCs/>
                <w:color w:val="000000"/>
                <w:sz w:val="20"/>
                <w:szCs w:val="20"/>
                <w:lang w:eastAsia="en-GB"/>
              </w:rPr>
              <w:t>2</w:t>
            </w:r>
            <w:r w:rsidRPr="001B16FE" w:rsidR="00420290">
              <w:rPr>
                <w:rFonts w:eastAsia="Times New Roman" w:cs="Arial"/>
                <w:b/>
                <w:bCs/>
                <w:color w:val="000000"/>
                <w:sz w:val="20"/>
                <w:szCs w:val="20"/>
                <w:lang w:eastAsia="en-GB"/>
              </w:rPr>
              <w:t>2</w:t>
            </w:r>
          </w:p>
        </w:tc>
        <w:tc>
          <w:tcPr>
            <w:tcW w:w="992" w:type="dxa"/>
            <w:tcBorders>
              <w:top w:val="single" w:color="auto" w:sz="4" w:space="0"/>
              <w:left w:val="nil"/>
              <w:bottom w:val="nil"/>
              <w:right w:val="single" w:color="auto" w:sz="4" w:space="0"/>
            </w:tcBorders>
            <w:shd w:val="clear" w:color="auto" w:fill="DBE5F1" w:themeFill="accent1" w:themeFillTint="33"/>
            <w:vAlign w:val="bottom"/>
          </w:tcPr>
          <w:p w:rsidRPr="001B16FE" w:rsidR="00547137" w:rsidP="00443BF3" w:rsidRDefault="00547137" w14:paraId="43889435" w14:textId="77777777">
            <w:pPr>
              <w:spacing w:after="0" w:line="240" w:lineRule="auto"/>
              <w:jc w:val="center"/>
              <w:rPr>
                <w:rFonts w:eastAsia="Times New Roman" w:cs="Arial"/>
                <w:b/>
                <w:bCs/>
                <w:color w:val="000000"/>
                <w:sz w:val="20"/>
                <w:szCs w:val="20"/>
                <w:lang w:eastAsia="en-GB"/>
              </w:rPr>
            </w:pPr>
          </w:p>
        </w:tc>
      </w:tr>
      <w:tr w:rsidRPr="00614894" w:rsidR="00547137" w:rsidTr="003E34FA" w14:paraId="67885EC8" w14:textId="77777777">
        <w:trPr>
          <w:trHeight w:val="300"/>
        </w:trPr>
        <w:tc>
          <w:tcPr>
            <w:tcW w:w="3686" w:type="dxa"/>
            <w:tcBorders>
              <w:top w:val="nil"/>
              <w:left w:val="single" w:color="auto" w:sz="4" w:space="0"/>
              <w:bottom w:val="single" w:color="auto" w:sz="4" w:space="0"/>
              <w:right w:val="nil"/>
            </w:tcBorders>
            <w:shd w:val="clear" w:color="auto" w:fill="DBE5F1" w:themeFill="accent1" w:themeFillTint="33"/>
            <w:noWrap/>
            <w:vAlign w:val="bottom"/>
            <w:hideMark/>
          </w:tcPr>
          <w:p w:rsidRPr="001B16FE" w:rsidR="00547137" w:rsidP="004C543E" w:rsidRDefault="00547137" w14:paraId="515FA4F3" w14:textId="77777777">
            <w:pPr>
              <w:spacing w:after="0" w:line="240" w:lineRule="auto"/>
              <w:rPr>
                <w:rFonts w:eastAsia="Times New Roman" w:cs="Arial"/>
                <w:b/>
                <w:bCs/>
                <w:color w:val="000000"/>
                <w:sz w:val="20"/>
                <w:szCs w:val="20"/>
                <w:lang w:eastAsia="en-GB"/>
              </w:rPr>
            </w:pPr>
            <w:r w:rsidRPr="001B16FE">
              <w:rPr>
                <w:rFonts w:eastAsia="Times New Roman" w:cs="Arial"/>
                <w:b/>
                <w:bCs/>
                <w:color w:val="000000"/>
                <w:sz w:val="20"/>
                <w:szCs w:val="20"/>
                <w:lang w:eastAsia="en-GB"/>
              </w:rPr>
              <w:t> </w:t>
            </w:r>
          </w:p>
        </w:tc>
        <w:tc>
          <w:tcPr>
            <w:tcW w:w="1417" w:type="dxa"/>
            <w:tcBorders>
              <w:top w:val="nil"/>
              <w:left w:val="single" w:color="auto" w:sz="4" w:space="0"/>
              <w:bottom w:val="single" w:color="auto" w:sz="4" w:space="0"/>
              <w:right w:val="single" w:color="auto" w:sz="4" w:space="0"/>
            </w:tcBorders>
            <w:shd w:val="clear" w:color="auto" w:fill="DBE5F1" w:themeFill="accent1" w:themeFillTint="33"/>
            <w:noWrap/>
            <w:vAlign w:val="bottom"/>
            <w:hideMark/>
          </w:tcPr>
          <w:p w:rsidRPr="001B16FE" w:rsidR="00547137" w:rsidP="00443BF3" w:rsidRDefault="00443BF3" w14:paraId="5D47CC0D" w14:textId="77777777">
            <w:pPr>
              <w:spacing w:after="0" w:line="240" w:lineRule="auto"/>
              <w:rPr>
                <w:rFonts w:eastAsia="Times New Roman" w:cs="Arial"/>
                <w:b/>
                <w:bCs/>
                <w:color w:val="000000"/>
                <w:sz w:val="20"/>
                <w:szCs w:val="20"/>
                <w:lang w:eastAsia="en-GB"/>
              </w:rPr>
            </w:pPr>
            <w:r w:rsidRPr="001B16FE">
              <w:rPr>
                <w:rFonts w:eastAsia="Times New Roman" w:cs="Arial"/>
                <w:b/>
                <w:bCs/>
                <w:color w:val="000000"/>
                <w:sz w:val="20"/>
                <w:szCs w:val="20"/>
                <w:lang w:eastAsia="en-GB"/>
              </w:rPr>
              <w:t xml:space="preserve">          </w:t>
            </w:r>
            <w:r w:rsidRPr="001B16FE" w:rsidR="00547137">
              <w:rPr>
                <w:rFonts w:eastAsia="Times New Roman" w:cs="Arial"/>
                <w:b/>
                <w:bCs/>
                <w:color w:val="000000"/>
                <w:sz w:val="20"/>
                <w:szCs w:val="20"/>
                <w:lang w:eastAsia="en-GB"/>
              </w:rPr>
              <w:t>£</w:t>
            </w:r>
          </w:p>
        </w:tc>
        <w:tc>
          <w:tcPr>
            <w:tcW w:w="851" w:type="dxa"/>
            <w:tcBorders>
              <w:top w:val="nil"/>
              <w:left w:val="nil"/>
              <w:bottom w:val="single" w:color="auto" w:sz="4" w:space="0"/>
              <w:right w:val="single" w:color="auto" w:sz="4" w:space="0"/>
            </w:tcBorders>
            <w:shd w:val="clear" w:color="auto" w:fill="DBE5F1" w:themeFill="accent1" w:themeFillTint="33"/>
            <w:noWrap/>
            <w:vAlign w:val="bottom"/>
            <w:hideMark/>
          </w:tcPr>
          <w:p w:rsidRPr="001B16FE" w:rsidR="00547137" w:rsidP="007D2E65" w:rsidRDefault="007D2E65" w14:paraId="266BFD65" w14:textId="77777777">
            <w:pPr>
              <w:spacing w:after="0" w:line="240" w:lineRule="auto"/>
              <w:jc w:val="center"/>
              <w:rPr>
                <w:rFonts w:eastAsia="Times New Roman" w:cs="Arial"/>
                <w:b/>
                <w:bCs/>
                <w:color w:val="000000"/>
                <w:sz w:val="20"/>
                <w:szCs w:val="20"/>
                <w:lang w:eastAsia="en-GB"/>
              </w:rPr>
            </w:pPr>
            <w:r w:rsidRPr="001B16FE">
              <w:rPr>
                <w:rFonts w:eastAsia="Times New Roman" w:cs="Arial"/>
                <w:b/>
                <w:bCs/>
                <w:color w:val="000000"/>
                <w:sz w:val="20"/>
                <w:szCs w:val="20"/>
                <w:lang w:eastAsia="en-GB"/>
              </w:rPr>
              <w:t>%</w:t>
            </w:r>
            <w:r w:rsidRPr="001B16FE" w:rsidR="00547137">
              <w:rPr>
                <w:rFonts w:eastAsia="Times New Roman" w:cs="Arial"/>
                <w:b/>
                <w:bCs/>
                <w:color w:val="000000"/>
                <w:sz w:val="20"/>
                <w:szCs w:val="20"/>
                <w:lang w:eastAsia="en-GB"/>
              </w:rPr>
              <w:t> </w:t>
            </w:r>
          </w:p>
        </w:tc>
        <w:tc>
          <w:tcPr>
            <w:tcW w:w="1417" w:type="dxa"/>
            <w:tcBorders>
              <w:top w:val="nil"/>
              <w:left w:val="nil"/>
              <w:bottom w:val="single" w:color="auto" w:sz="4" w:space="0"/>
              <w:right w:val="single" w:color="auto" w:sz="4" w:space="0"/>
            </w:tcBorders>
            <w:shd w:val="clear" w:color="auto" w:fill="DBE5F1" w:themeFill="accent1" w:themeFillTint="33"/>
            <w:vAlign w:val="bottom"/>
          </w:tcPr>
          <w:p w:rsidRPr="001B16FE" w:rsidR="00547137" w:rsidP="00443BF3" w:rsidRDefault="00547137" w14:paraId="17E4CA09" w14:textId="77777777">
            <w:pPr>
              <w:spacing w:after="0" w:line="240" w:lineRule="auto"/>
              <w:jc w:val="center"/>
              <w:rPr>
                <w:rFonts w:eastAsia="Times New Roman" w:cs="Arial"/>
                <w:b/>
                <w:bCs/>
                <w:color w:val="000000"/>
                <w:sz w:val="20"/>
                <w:szCs w:val="20"/>
                <w:lang w:eastAsia="en-GB"/>
              </w:rPr>
            </w:pPr>
            <w:r w:rsidRPr="001B16FE">
              <w:rPr>
                <w:rFonts w:eastAsia="Times New Roman" w:cs="Arial"/>
                <w:b/>
                <w:bCs/>
                <w:color w:val="000000"/>
                <w:sz w:val="20"/>
                <w:szCs w:val="20"/>
                <w:lang w:eastAsia="en-GB"/>
              </w:rPr>
              <w:t>£</w:t>
            </w:r>
          </w:p>
        </w:tc>
        <w:tc>
          <w:tcPr>
            <w:tcW w:w="992" w:type="dxa"/>
            <w:tcBorders>
              <w:top w:val="nil"/>
              <w:left w:val="nil"/>
              <w:bottom w:val="single" w:color="auto" w:sz="4" w:space="0"/>
              <w:right w:val="single" w:color="auto" w:sz="4" w:space="0"/>
            </w:tcBorders>
            <w:shd w:val="clear" w:color="auto" w:fill="DBE5F1" w:themeFill="accent1" w:themeFillTint="33"/>
            <w:vAlign w:val="bottom"/>
          </w:tcPr>
          <w:p w:rsidRPr="001B16FE" w:rsidR="00547137" w:rsidP="007D2E65" w:rsidRDefault="007D2E65" w14:paraId="3F27738B" w14:textId="77777777">
            <w:pPr>
              <w:spacing w:after="0" w:line="240" w:lineRule="auto"/>
              <w:jc w:val="center"/>
              <w:rPr>
                <w:rFonts w:eastAsia="Times New Roman" w:cs="Arial"/>
                <w:b/>
                <w:bCs/>
                <w:color w:val="000000"/>
                <w:sz w:val="20"/>
                <w:szCs w:val="20"/>
                <w:lang w:eastAsia="en-GB"/>
              </w:rPr>
            </w:pPr>
            <w:r w:rsidRPr="001B16FE">
              <w:rPr>
                <w:rFonts w:eastAsia="Times New Roman" w:cs="Arial"/>
                <w:b/>
                <w:bCs/>
                <w:color w:val="000000"/>
                <w:sz w:val="20"/>
                <w:szCs w:val="20"/>
                <w:lang w:eastAsia="en-GB"/>
              </w:rPr>
              <w:t>%</w:t>
            </w:r>
          </w:p>
        </w:tc>
      </w:tr>
      <w:tr w:rsidRPr="00614894" w:rsidR="00547137" w:rsidTr="007D2E65" w14:paraId="5C0AD90B" w14:textId="77777777">
        <w:trPr>
          <w:trHeight w:val="613"/>
        </w:trPr>
        <w:tc>
          <w:tcPr>
            <w:tcW w:w="3686" w:type="dxa"/>
            <w:tcBorders>
              <w:top w:val="nil"/>
              <w:left w:val="single" w:color="auto" w:sz="4" w:space="0"/>
              <w:bottom w:val="single" w:color="auto" w:sz="4" w:space="0"/>
              <w:right w:val="nil"/>
            </w:tcBorders>
            <w:shd w:val="clear" w:color="auto" w:fill="auto"/>
            <w:noWrap/>
            <w:vAlign w:val="bottom"/>
            <w:hideMark/>
          </w:tcPr>
          <w:p w:rsidRPr="001B16FE" w:rsidR="00547137" w:rsidP="004C543E" w:rsidRDefault="00547137" w14:paraId="75A8FCD7" w14:textId="10039322">
            <w:pPr>
              <w:spacing w:after="0" w:line="240" w:lineRule="auto"/>
              <w:rPr>
                <w:rFonts w:eastAsia="Times New Roman" w:cs="Arial"/>
                <w:color w:val="000000"/>
                <w:sz w:val="20"/>
                <w:szCs w:val="20"/>
                <w:lang w:eastAsia="en-GB"/>
              </w:rPr>
            </w:pPr>
            <w:r w:rsidRPr="00AE1CBD">
              <w:rPr>
                <w:rFonts w:cs="Arial"/>
              </w:rPr>
              <w:t xml:space="preserve">Interest </w:t>
            </w:r>
            <w:r w:rsidRPr="00AE1CBD" w:rsidR="007B1E4A">
              <w:rPr>
                <w:rFonts w:cs="Arial"/>
              </w:rPr>
              <w:t>(C</w:t>
            </w:r>
            <w:r w:rsidRPr="00AE1CBD">
              <w:rPr>
                <w:rFonts w:cs="Arial"/>
              </w:rPr>
              <w:t>harged</w:t>
            </w:r>
            <w:r w:rsidRPr="00AE1CBD" w:rsidR="007B1E4A">
              <w:rPr>
                <w:rFonts w:cs="Arial"/>
              </w:rPr>
              <w:t>)/Received</w:t>
            </w:r>
            <w:r w:rsidRPr="00AE1CBD">
              <w:rPr>
                <w:rFonts w:cs="Arial"/>
              </w:rPr>
              <w:t xml:space="preserve"> on</w:t>
            </w:r>
            <w:r w:rsidRPr="00AE1CBD" w:rsidR="007B1E4A">
              <w:rPr>
                <w:rFonts w:cs="Arial"/>
              </w:rPr>
              <w:t xml:space="preserve"> the</w:t>
            </w:r>
            <w:r w:rsidRPr="001B16FE" w:rsidR="007B1E4A">
              <w:rPr>
                <w:rFonts w:eastAsia="Times New Roman" w:cs="Arial"/>
                <w:color w:val="000000"/>
                <w:sz w:val="20"/>
                <w:szCs w:val="20"/>
                <w:lang w:eastAsia="en-GB"/>
              </w:rPr>
              <w:t xml:space="preserve"> </w:t>
            </w:r>
            <w:r w:rsidRPr="001B16FE">
              <w:rPr>
                <w:rFonts w:eastAsia="Times New Roman" w:cs="Arial"/>
                <w:color w:val="000000"/>
                <w:sz w:val="20"/>
                <w:szCs w:val="20"/>
                <w:lang w:eastAsia="en-GB"/>
              </w:rPr>
              <w:t xml:space="preserve"> </w:t>
            </w:r>
            <w:r w:rsidRPr="006A70E1" w:rsidR="00AE1CBD">
              <w:rPr>
                <w:rFonts w:cs="Arial"/>
              </w:rPr>
              <w:t xml:space="preserve">VVC </w:t>
            </w:r>
            <w:r w:rsidRPr="004C5D94">
              <w:rPr>
                <w:rFonts w:cs="Arial"/>
              </w:rPr>
              <w:t>Account Balance</w:t>
            </w:r>
            <w:r w:rsidRPr="004C5D94" w:rsidR="007949B2">
              <w:rPr>
                <w:rFonts w:cs="Arial"/>
              </w:rPr>
              <w:t>s</w:t>
            </w:r>
          </w:p>
        </w:tc>
        <w:tc>
          <w:tcPr>
            <w:tcW w:w="1417" w:type="dxa"/>
            <w:tcBorders>
              <w:top w:val="nil"/>
              <w:left w:val="single" w:color="auto" w:sz="4" w:space="0"/>
              <w:bottom w:val="single" w:color="auto" w:sz="4" w:space="0"/>
              <w:right w:val="single" w:color="auto" w:sz="4" w:space="0"/>
            </w:tcBorders>
            <w:shd w:val="clear" w:color="auto" w:fill="auto"/>
            <w:noWrap/>
            <w:vAlign w:val="bottom"/>
            <w:hideMark/>
          </w:tcPr>
          <w:p w:rsidRPr="001B16FE" w:rsidR="00547137" w:rsidP="00547137" w:rsidRDefault="00A0749F" w14:paraId="6EF8AA4E" w14:textId="3D3C3BCE">
            <w:pPr>
              <w:spacing w:after="0" w:line="240" w:lineRule="auto"/>
              <w:jc w:val="right"/>
              <w:rPr>
                <w:rFonts w:eastAsia="Times New Roman" w:cs="Arial"/>
                <w:color w:val="000000"/>
                <w:sz w:val="20"/>
                <w:szCs w:val="20"/>
                <w:lang w:eastAsia="en-GB"/>
              </w:rPr>
            </w:pPr>
            <w:r w:rsidRPr="001B16FE">
              <w:rPr>
                <w:rFonts w:eastAsia="Times New Roman" w:cs="Arial"/>
                <w:color w:val="000000"/>
                <w:sz w:val="20"/>
                <w:szCs w:val="20"/>
                <w:lang w:eastAsia="en-GB"/>
              </w:rPr>
              <w:t> </w:t>
            </w:r>
            <w:r w:rsidRPr="001B16FE" w:rsidR="001B16FE">
              <w:rPr>
                <w:rFonts w:eastAsia="Times New Roman" w:cs="Arial"/>
                <w:color w:val="000000"/>
                <w:sz w:val="20"/>
                <w:szCs w:val="20"/>
                <w:lang w:eastAsia="en-GB"/>
              </w:rPr>
              <w:t>0.0</w:t>
            </w:r>
          </w:p>
        </w:tc>
        <w:tc>
          <w:tcPr>
            <w:tcW w:w="851" w:type="dxa"/>
            <w:tcBorders>
              <w:top w:val="nil"/>
              <w:left w:val="nil"/>
              <w:bottom w:val="single" w:color="auto" w:sz="4" w:space="0"/>
              <w:right w:val="single" w:color="auto" w:sz="4" w:space="0"/>
            </w:tcBorders>
            <w:shd w:val="clear" w:color="auto" w:fill="auto"/>
            <w:noWrap/>
            <w:vAlign w:val="bottom"/>
            <w:hideMark/>
          </w:tcPr>
          <w:p w:rsidRPr="001B16FE" w:rsidR="00547137" w:rsidP="00547137" w:rsidRDefault="00E01B8C" w14:paraId="54AA693F" w14:textId="5902C398">
            <w:pPr>
              <w:spacing w:after="0" w:line="240" w:lineRule="auto"/>
              <w:jc w:val="right"/>
              <w:rPr>
                <w:rFonts w:eastAsia="Times New Roman" w:cs="Arial"/>
                <w:color w:val="000000"/>
                <w:sz w:val="20"/>
                <w:szCs w:val="20"/>
                <w:lang w:eastAsia="en-GB"/>
              </w:rPr>
            </w:pPr>
            <w:r w:rsidRPr="001B16FE">
              <w:rPr>
                <w:rFonts w:eastAsia="Times New Roman" w:cs="Arial"/>
                <w:color w:val="000000"/>
                <w:sz w:val="20"/>
                <w:szCs w:val="20"/>
                <w:lang w:eastAsia="en-GB"/>
              </w:rPr>
              <w:t> </w:t>
            </w:r>
            <w:r w:rsidRPr="001B16FE" w:rsidR="001B16FE">
              <w:rPr>
                <w:rFonts w:eastAsia="Times New Roman" w:cs="Arial"/>
                <w:color w:val="000000"/>
                <w:sz w:val="20"/>
                <w:szCs w:val="20"/>
                <w:lang w:eastAsia="en-GB"/>
              </w:rPr>
              <w:t>n/a</w:t>
            </w:r>
          </w:p>
        </w:tc>
        <w:tc>
          <w:tcPr>
            <w:tcW w:w="1417" w:type="dxa"/>
            <w:tcBorders>
              <w:top w:val="nil"/>
              <w:left w:val="nil"/>
              <w:bottom w:val="single" w:color="auto" w:sz="4" w:space="0"/>
              <w:right w:val="single" w:color="auto" w:sz="4" w:space="0"/>
            </w:tcBorders>
            <w:vAlign w:val="bottom"/>
          </w:tcPr>
          <w:p w:rsidRPr="001B16FE" w:rsidR="007B1E4A" w:rsidP="00547137" w:rsidRDefault="00E01B8C" w14:paraId="289479EB" w14:textId="03A82041">
            <w:pPr>
              <w:spacing w:after="0" w:line="240" w:lineRule="auto"/>
              <w:jc w:val="right"/>
              <w:rPr>
                <w:rFonts w:eastAsia="Times New Roman" w:cs="Arial"/>
                <w:color w:val="000000"/>
                <w:sz w:val="20"/>
                <w:szCs w:val="20"/>
                <w:lang w:eastAsia="en-GB"/>
              </w:rPr>
            </w:pPr>
            <w:r w:rsidRPr="001B16FE">
              <w:rPr>
                <w:rFonts w:eastAsia="Times New Roman" w:cs="Arial"/>
                <w:color w:val="000000"/>
                <w:sz w:val="20"/>
                <w:szCs w:val="20"/>
                <w:lang w:eastAsia="en-GB"/>
              </w:rPr>
              <w:t>£</w:t>
            </w:r>
            <w:r w:rsidRPr="001B16FE" w:rsidR="001B16FE">
              <w:rPr>
                <w:rFonts w:eastAsia="Times New Roman" w:cs="Arial"/>
                <w:color w:val="000000"/>
                <w:sz w:val="20"/>
                <w:szCs w:val="20"/>
                <w:lang w:eastAsia="en-GB"/>
              </w:rPr>
              <w:t>232</w:t>
            </w:r>
          </w:p>
        </w:tc>
        <w:tc>
          <w:tcPr>
            <w:tcW w:w="992" w:type="dxa"/>
            <w:tcBorders>
              <w:top w:val="nil"/>
              <w:left w:val="nil"/>
              <w:bottom w:val="single" w:color="auto" w:sz="4" w:space="0"/>
              <w:right w:val="single" w:color="auto" w:sz="4" w:space="0"/>
            </w:tcBorders>
            <w:vAlign w:val="bottom"/>
          </w:tcPr>
          <w:p w:rsidRPr="00614894" w:rsidR="00547137" w:rsidP="00547137" w:rsidRDefault="00E01B8C" w14:paraId="6315F2A7" w14:textId="75AFE99E">
            <w:pPr>
              <w:spacing w:after="0" w:line="240" w:lineRule="auto"/>
              <w:jc w:val="right"/>
              <w:rPr>
                <w:rFonts w:eastAsia="Times New Roman" w:cs="Arial"/>
                <w:color w:val="000000"/>
                <w:sz w:val="20"/>
                <w:szCs w:val="20"/>
                <w:highlight w:val="yellow"/>
                <w:lang w:eastAsia="en-GB"/>
              </w:rPr>
            </w:pPr>
            <w:r w:rsidRPr="001B16FE">
              <w:rPr>
                <w:rFonts w:eastAsia="Times New Roman" w:cs="Arial"/>
                <w:color w:val="000000"/>
                <w:sz w:val="20"/>
                <w:szCs w:val="20"/>
                <w:lang w:eastAsia="en-GB"/>
              </w:rPr>
              <w:t>0.</w:t>
            </w:r>
            <w:r w:rsidRPr="001B16FE" w:rsidR="001B16FE">
              <w:rPr>
                <w:rFonts w:eastAsia="Times New Roman" w:cs="Arial"/>
                <w:color w:val="000000"/>
                <w:sz w:val="20"/>
                <w:szCs w:val="20"/>
                <w:lang w:eastAsia="en-GB"/>
              </w:rPr>
              <w:t>48</w:t>
            </w:r>
            <w:r w:rsidRPr="001B16FE" w:rsidR="00DE685B">
              <w:rPr>
                <w:rFonts w:eastAsia="Times New Roman" w:cs="Arial"/>
                <w:color w:val="000000"/>
                <w:sz w:val="20"/>
                <w:szCs w:val="20"/>
                <w:lang w:eastAsia="en-GB"/>
              </w:rPr>
              <w:t>%</w:t>
            </w:r>
          </w:p>
        </w:tc>
      </w:tr>
    </w:tbl>
    <w:p w:rsidRPr="00614894" w:rsidR="004A7FF7" w:rsidP="00CB106B" w:rsidRDefault="004A7FF7" w14:paraId="2E3B3191" w14:textId="77777777">
      <w:pPr>
        <w:rPr>
          <w:highlight w:val="yellow"/>
        </w:rPr>
      </w:pPr>
    </w:p>
    <w:p w:rsidR="00A2163C" w:rsidP="00467BBE" w:rsidRDefault="00A2163C" w14:paraId="451CC42C" w14:textId="77777777">
      <w:pPr>
        <w:pStyle w:val="Heading2"/>
        <w:numPr>
          <w:ilvl w:val="0"/>
          <w:numId w:val="0"/>
        </w:numPr>
      </w:pPr>
    </w:p>
    <w:p w:rsidR="00A2163C" w:rsidP="00467BBE" w:rsidRDefault="00A2163C" w14:paraId="123DAAF4" w14:textId="77777777">
      <w:pPr>
        <w:pStyle w:val="Heading2"/>
        <w:numPr>
          <w:ilvl w:val="0"/>
          <w:numId w:val="0"/>
        </w:numPr>
      </w:pPr>
    </w:p>
    <w:p w:rsidR="00A2163C" w:rsidP="00467BBE" w:rsidRDefault="00A2163C" w14:paraId="7D5163AB" w14:textId="77777777">
      <w:pPr>
        <w:pStyle w:val="Heading2"/>
        <w:numPr>
          <w:ilvl w:val="0"/>
          <w:numId w:val="0"/>
        </w:numPr>
      </w:pPr>
    </w:p>
    <w:p w:rsidR="00A2163C" w:rsidP="00467BBE" w:rsidRDefault="00A2163C" w14:paraId="09D3F471" w14:textId="77777777">
      <w:pPr>
        <w:pStyle w:val="Heading2"/>
        <w:numPr>
          <w:ilvl w:val="0"/>
          <w:numId w:val="0"/>
        </w:numPr>
      </w:pPr>
    </w:p>
    <w:p w:rsidR="00A2163C" w:rsidP="00467BBE" w:rsidRDefault="00A2163C" w14:paraId="17E46D36" w14:textId="77777777">
      <w:pPr>
        <w:pStyle w:val="Heading2"/>
        <w:numPr>
          <w:ilvl w:val="0"/>
          <w:numId w:val="0"/>
        </w:numPr>
      </w:pPr>
    </w:p>
    <w:p w:rsidR="00A2163C" w:rsidP="00467BBE" w:rsidRDefault="00A2163C" w14:paraId="4395473E" w14:textId="77777777">
      <w:pPr>
        <w:pStyle w:val="Heading2"/>
        <w:numPr>
          <w:ilvl w:val="0"/>
          <w:numId w:val="0"/>
        </w:numPr>
      </w:pPr>
    </w:p>
    <w:p w:rsidR="00A2163C" w:rsidP="00467BBE" w:rsidRDefault="00A2163C" w14:paraId="78BC045C" w14:textId="77777777">
      <w:pPr>
        <w:pStyle w:val="Heading2"/>
        <w:numPr>
          <w:ilvl w:val="0"/>
          <w:numId w:val="0"/>
        </w:numPr>
      </w:pPr>
    </w:p>
    <w:p w:rsidR="00A2163C" w:rsidP="00467BBE" w:rsidRDefault="00A2163C" w14:paraId="057107A1" w14:textId="77777777">
      <w:pPr>
        <w:pStyle w:val="Heading2"/>
        <w:numPr>
          <w:ilvl w:val="0"/>
          <w:numId w:val="0"/>
        </w:numPr>
      </w:pPr>
    </w:p>
    <w:p w:rsidR="00A2163C" w:rsidP="00467BBE" w:rsidRDefault="00A2163C" w14:paraId="61748864" w14:textId="77777777">
      <w:pPr>
        <w:pStyle w:val="Heading2"/>
        <w:numPr>
          <w:ilvl w:val="0"/>
          <w:numId w:val="0"/>
        </w:numPr>
      </w:pPr>
    </w:p>
    <w:p w:rsidR="00A2163C" w:rsidP="00467BBE" w:rsidRDefault="00A2163C" w14:paraId="1BFD1C3C" w14:textId="77777777">
      <w:pPr>
        <w:pStyle w:val="Heading2"/>
        <w:numPr>
          <w:ilvl w:val="0"/>
          <w:numId w:val="0"/>
        </w:numPr>
      </w:pPr>
    </w:p>
    <w:p w:rsidR="00A2163C" w:rsidP="00467BBE" w:rsidRDefault="00A2163C" w14:paraId="6671AEEB" w14:textId="77777777">
      <w:pPr>
        <w:pStyle w:val="Heading2"/>
        <w:numPr>
          <w:ilvl w:val="0"/>
          <w:numId w:val="0"/>
        </w:numPr>
      </w:pPr>
    </w:p>
    <w:p w:rsidR="00A2163C" w:rsidP="00467BBE" w:rsidRDefault="00A2163C" w14:paraId="4EDC7C5D" w14:textId="77777777">
      <w:pPr>
        <w:pStyle w:val="Heading2"/>
        <w:numPr>
          <w:ilvl w:val="0"/>
          <w:numId w:val="0"/>
        </w:numPr>
      </w:pPr>
    </w:p>
    <w:p w:rsidR="00A2163C" w:rsidP="00467BBE" w:rsidRDefault="00A2163C" w14:paraId="2508C52B" w14:textId="77777777">
      <w:pPr>
        <w:pStyle w:val="Heading2"/>
        <w:numPr>
          <w:ilvl w:val="0"/>
          <w:numId w:val="0"/>
        </w:numPr>
      </w:pPr>
    </w:p>
    <w:p w:rsidR="00A2163C" w:rsidP="00467BBE" w:rsidRDefault="00A2163C" w14:paraId="5496C38F" w14:textId="77777777">
      <w:pPr>
        <w:pStyle w:val="Heading2"/>
        <w:numPr>
          <w:ilvl w:val="0"/>
          <w:numId w:val="0"/>
        </w:numPr>
      </w:pPr>
    </w:p>
    <w:p w:rsidR="00A2163C" w:rsidP="00467BBE" w:rsidRDefault="00A2163C" w14:paraId="431FF5D0" w14:textId="77777777">
      <w:pPr>
        <w:pStyle w:val="Heading2"/>
        <w:numPr>
          <w:ilvl w:val="0"/>
          <w:numId w:val="0"/>
        </w:numPr>
      </w:pPr>
    </w:p>
    <w:p w:rsidR="00A2163C" w:rsidP="00467BBE" w:rsidRDefault="00A2163C" w14:paraId="19A830E7" w14:textId="77777777">
      <w:pPr>
        <w:pStyle w:val="Heading2"/>
        <w:numPr>
          <w:ilvl w:val="0"/>
          <w:numId w:val="0"/>
        </w:numPr>
      </w:pPr>
    </w:p>
    <w:p w:rsidR="00A2163C" w:rsidP="00467BBE" w:rsidRDefault="00A2163C" w14:paraId="24A470C6" w14:textId="77777777">
      <w:pPr>
        <w:pStyle w:val="Heading2"/>
        <w:numPr>
          <w:ilvl w:val="0"/>
          <w:numId w:val="0"/>
        </w:numPr>
      </w:pPr>
    </w:p>
    <w:p w:rsidR="00A2163C" w:rsidP="00467BBE" w:rsidRDefault="00A2163C" w14:paraId="04ADDDAD" w14:textId="77777777">
      <w:pPr>
        <w:pStyle w:val="Heading2"/>
        <w:numPr>
          <w:ilvl w:val="0"/>
          <w:numId w:val="0"/>
        </w:numPr>
      </w:pPr>
    </w:p>
    <w:p w:rsidR="00A2163C" w:rsidP="00467BBE" w:rsidRDefault="00A2163C" w14:paraId="1CAD07EF" w14:textId="77777777">
      <w:pPr>
        <w:pStyle w:val="Heading2"/>
        <w:numPr>
          <w:ilvl w:val="0"/>
          <w:numId w:val="0"/>
        </w:numPr>
      </w:pPr>
    </w:p>
    <w:p w:rsidR="00A2163C" w:rsidP="00467BBE" w:rsidRDefault="00A2163C" w14:paraId="2D246E51" w14:textId="77777777">
      <w:pPr>
        <w:pStyle w:val="Heading2"/>
        <w:numPr>
          <w:ilvl w:val="0"/>
          <w:numId w:val="0"/>
        </w:numPr>
      </w:pPr>
    </w:p>
    <w:p w:rsidR="00A2163C" w:rsidP="00467BBE" w:rsidRDefault="00A2163C" w14:paraId="0C8D02CD" w14:textId="77777777">
      <w:pPr>
        <w:pStyle w:val="Heading2"/>
        <w:numPr>
          <w:ilvl w:val="0"/>
          <w:numId w:val="0"/>
        </w:numPr>
      </w:pPr>
    </w:p>
    <w:p w:rsidR="00A2163C" w:rsidP="00467BBE" w:rsidRDefault="00A2163C" w14:paraId="5D3801E6" w14:textId="77777777">
      <w:pPr>
        <w:pStyle w:val="Heading2"/>
        <w:numPr>
          <w:ilvl w:val="0"/>
          <w:numId w:val="0"/>
        </w:numPr>
      </w:pPr>
    </w:p>
    <w:p w:rsidR="00A2163C" w:rsidP="00467BBE" w:rsidRDefault="00A2163C" w14:paraId="4C47107F" w14:textId="77777777">
      <w:pPr>
        <w:pStyle w:val="Heading2"/>
        <w:numPr>
          <w:ilvl w:val="0"/>
          <w:numId w:val="0"/>
        </w:numPr>
      </w:pPr>
    </w:p>
    <w:p w:rsidR="00A2163C" w:rsidP="00467BBE" w:rsidRDefault="00A2163C" w14:paraId="7EAE341F" w14:textId="49AC842A">
      <w:pPr>
        <w:pStyle w:val="Heading2"/>
        <w:numPr>
          <w:ilvl w:val="0"/>
          <w:numId w:val="0"/>
        </w:numPr>
      </w:pPr>
    </w:p>
    <w:p w:rsidRPr="006B4F79" w:rsidR="006B4F79" w:rsidP="006B4F79" w:rsidRDefault="006B4F79" w14:paraId="7A5708D6" w14:textId="77777777"/>
    <w:p w:rsidR="00A2163C" w:rsidP="00467BBE" w:rsidRDefault="00A2163C" w14:paraId="6FC2D9DE" w14:textId="77777777">
      <w:pPr>
        <w:pStyle w:val="Heading2"/>
        <w:numPr>
          <w:ilvl w:val="0"/>
          <w:numId w:val="0"/>
        </w:numPr>
      </w:pPr>
    </w:p>
    <w:p w:rsidRPr="002B7A1C" w:rsidR="00505AAE" w:rsidP="00467BBE" w:rsidRDefault="009F3AAE" w14:paraId="46C72C80" w14:textId="7C1293F3">
      <w:pPr>
        <w:pStyle w:val="Heading2"/>
        <w:numPr>
          <w:ilvl w:val="0"/>
          <w:numId w:val="0"/>
        </w:numPr>
      </w:pPr>
      <w:r w:rsidRPr="002B7A1C">
        <w:t xml:space="preserve">Comprehensive </w:t>
      </w:r>
      <w:r w:rsidRPr="002B7A1C" w:rsidR="00505AAE">
        <w:t>Glossary</w:t>
      </w:r>
    </w:p>
    <w:p w:rsidRPr="002B7A1C" w:rsidR="00505AAE" w:rsidRDefault="00505AAE" w14:paraId="620306A9" w14:textId="77777777">
      <w:pPr>
        <w:rPr>
          <w:b/>
        </w:rPr>
      </w:pPr>
      <w:r w:rsidRPr="002B7A1C">
        <w:rPr>
          <w:b/>
        </w:rPr>
        <w:t>Accounting Period</w:t>
      </w:r>
    </w:p>
    <w:p w:rsidRPr="002B7A1C" w:rsidR="00505AAE" w:rsidP="0014104A" w:rsidRDefault="00505AAE" w14:paraId="29236B45" w14:textId="77777777">
      <w:pPr>
        <w:jc w:val="both"/>
      </w:pPr>
      <w:r w:rsidRPr="002B7A1C">
        <w:t>The period of time covered by the accounts, typically a period of 12 months commencing on 1</w:t>
      </w:r>
      <w:r w:rsidRPr="002B7A1C">
        <w:rPr>
          <w:vertAlign w:val="superscript"/>
        </w:rPr>
        <w:t>st</w:t>
      </w:r>
      <w:r w:rsidRPr="002B7A1C">
        <w:t xml:space="preserve"> April.  The end of the accounting period is the balance sheet date.</w:t>
      </w:r>
    </w:p>
    <w:p w:rsidRPr="002B7A1C" w:rsidR="00505AAE" w:rsidP="0014104A" w:rsidRDefault="00505AAE" w14:paraId="4ED702CB" w14:textId="77777777">
      <w:pPr>
        <w:jc w:val="both"/>
        <w:rPr>
          <w:b/>
        </w:rPr>
      </w:pPr>
      <w:r w:rsidRPr="002B7A1C">
        <w:rPr>
          <w:b/>
        </w:rPr>
        <w:t>Accounting Policies</w:t>
      </w:r>
    </w:p>
    <w:p w:rsidRPr="002B7A1C" w:rsidR="00505AAE" w:rsidP="0014104A" w:rsidRDefault="00505AAE" w14:paraId="2992FF96" w14:textId="6C61FE28">
      <w:pPr>
        <w:jc w:val="both"/>
      </w:pPr>
      <w:r w:rsidRPr="002B7A1C">
        <w:t>The specific principles, bases, conventions, rules and practices applied by the Council</w:t>
      </w:r>
      <w:r w:rsidRPr="002B7A1C" w:rsidR="00FD0433">
        <w:t xml:space="preserve"> on behalf o</w:t>
      </w:r>
      <w:r w:rsidR="00E6303C">
        <w:t>f</w:t>
      </w:r>
      <w:r w:rsidRPr="002B7A1C" w:rsidR="00FD0433">
        <w:t xml:space="preserve"> the Joint Committee</w:t>
      </w:r>
      <w:r w:rsidRPr="002B7A1C">
        <w:t xml:space="preserve"> in preparing and presenting its financial statements.</w:t>
      </w:r>
    </w:p>
    <w:p w:rsidRPr="002B7A1C" w:rsidR="00505AAE" w:rsidP="0014104A" w:rsidRDefault="00505AAE" w14:paraId="0763EF2B" w14:textId="77777777">
      <w:pPr>
        <w:jc w:val="both"/>
        <w:rPr>
          <w:b/>
        </w:rPr>
      </w:pPr>
      <w:r w:rsidRPr="002B7A1C">
        <w:rPr>
          <w:b/>
        </w:rPr>
        <w:t>Accruals</w:t>
      </w:r>
    </w:p>
    <w:p w:rsidRPr="002B7A1C" w:rsidR="00505AAE" w:rsidP="0014104A" w:rsidRDefault="00505AAE" w14:paraId="1FDAF7A6" w14:textId="77777777">
      <w:pPr>
        <w:jc w:val="both"/>
      </w:pPr>
      <w:r w:rsidRPr="002B7A1C">
        <w:t>Amounts included in the final accounts to recognise revenue and capital income and expenditures earned of incurred in the financial year, but for which actual payment had</w:t>
      </w:r>
      <w:r w:rsidRPr="002B7A1C" w:rsidR="009421D4">
        <w:t xml:space="preserve"> not been received or made as </w:t>
      </w:r>
      <w:proofErr w:type="gramStart"/>
      <w:r w:rsidRPr="002B7A1C" w:rsidR="009421D4">
        <w:t>a</w:t>
      </w:r>
      <w:r w:rsidRPr="002B7A1C">
        <w:t>t</w:t>
      </w:r>
      <w:proofErr w:type="gramEnd"/>
      <w:r w:rsidRPr="002B7A1C">
        <w:t xml:space="preserve"> 31</w:t>
      </w:r>
      <w:r w:rsidRPr="002B7A1C">
        <w:rPr>
          <w:vertAlign w:val="superscript"/>
        </w:rPr>
        <w:t>st</w:t>
      </w:r>
      <w:r w:rsidRPr="002B7A1C">
        <w:t xml:space="preserve"> March.</w:t>
      </w:r>
    </w:p>
    <w:p w:rsidRPr="002B7A1C" w:rsidR="00505AAE" w:rsidP="0014104A" w:rsidRDefault="00505AAE" w14:paraId="2E5B6988" w14:textId="77777777">
      <w:pPr>
        <w:jc w:val="both"/>
        <w:rPr>
          <w:b/>
        </w:rPr>
      </w:pPr>
      <w:r w:rsidRPr="002B7A1C">
        <w:rPr>
          <w:b/>
        </w:rPr>
        <w:t>Actuarial Gains and Losses</w:t>
      </w:r>
    </w:p>
    <w:p w:rsidRPr="002B7A1C" w:rsidR="00505AAE" w:rsidP="0014104A" w:rsidRDefault="00505AAE" w14:paraId="03EC522A" w14:textId="77777777">
      <w:pPr>
        <w:jc w:val="both"/>
      </w:pPr>
      <w:r w:rsidRPr="002B7A1C">
        <w:t>For a defined benefit pension scheme, the changes in actuarial surpluses or deficits that arise because of events have not coincided with the actuarial assumptions made for the last valuation (experience gains or losses); or the actuarial assumptions have varied.</w:t>
      </w:r>
    </w:p>
    <w:p w:rsidRPr="002B7A1C" w:rsidR="00505AAE" w:rsidP="0014104A" w:rsidRDefault="00505AAE" w14:paraId="1C18BAE0" w14:textId="77777777">
      <w:pPr>
        <w:jc w:val="both"/>
        <w:rPr>
          <w:b/>
        </w:rPr>
      </w:pPr>
      <w:r w:rsidRPr="002B7A1C">
        <w:rPr>
          <w:b/>
        </w:rPr>
        <w:t>Amortisation</w:t>
      </w:r>
    </w:p>
    <w:p w:rsidRPr="002B7A1C" w:rsidR="00505AAE" w:rsidP="0014104A" w:rsidRDefault="00505AAE" w14:paraId="7BC5DDE4" w14:textId="77777777">
      <w:pPr>
        <w:jc w:val="both"/>
      </w:pPr>
      <w:r w:rsidRPr="002B7A1C">
        <w:t>The gradual elimination of a liability, such as a loan,</w:t>
      </w:r>
      <w:r w:rsidRPr="002B7A1C" w:rsidR="00C35937">
        <w:t xml:space="preserve"> funded in</w:t>
      </w:r>
      <w:r w:rsidRPr="002B7A1C">
        <w:t xml:space="preserve"> regular payments over a specified period of time. Such payments must be sufficient to cover both principal and interest.</w:t>
      </w:r>
    </w:p>
    <w:p w:rsidRPr="002B7A1C" w:rsidR="00505AAE" w:rsidP="0014104A" w:rsidRDefault="00505AAE" w14:paraId="70DE6EB5" w14:textId="77777777">
      <w:pPr>
        <w:jc w:val="both"/>
        <w:rPr>
          <w:b/>
        </w:rPr>
      </w:pPr>
      <w:r w:rsidRPr="002B7A1C">
        <w:rPr>
          <w:b/>
        </w:rPr>
        <w:t>Asset</w:t>
      </w:r>
    </w:p>
    <w:p w:rsidRPr="002B7A1C" w:rsidR="00505AAE" w:rsidP="0014104A" w:rsidRDefault="00505AAE" w14:paraId="204A11C3" w14:textId="0646FD65">
      <w:pPr>
        <w:jc w:val="both"/>
      </w:pPr>
      <w:r w:rsidRPr="002B7A1C">
        <w:t xml:space="preserve">An item having value to the authority in monetary terms. Assets </w:t>
      </w:r>
      <w:r w:rsidRPr="002B7A1C" w:rsidR="00301661">
        <w:t>are classed as either current or</w:t>
      </w:r>
      <w:r w:rsidRPr="002B7A1C">
        <w:t xml:space="preserve"> </w:t>
      </w:r>
      <w:r w:rsidRPr="002B7A1C" w:rsidR="00C35937">
        <w:t>non-</w:t>
      </w:r>
      <w:proofErr w:type="gramStart"/>
      <w:r w:rsidRPr="002B7A1C" w:rsidR="00C35937">
        <w:t>current</w:t>
      </w:r>
      <w:r w:rsidRPr="002B7A1C">
        <w:t>;</w:t>
      </w:r>
      <w:proofErr w:type="gramEnd"/>
    </w:p>
    <w:p w:rsidRPr="002B7A1C" w:rsidR="00505AAE" w:rsidP="0014104A" w:rsidRDefault="00505AAE" w14:paraId="549830FE" w14:textId="4C4B921E">
      <w:pPr>
        <w:pStyle w:val="ListParagraph"/>
        <w:numPr>
          <w:ilvl w:val="0"/>
          <w:numId w:val="1"/>
        </w:numPr>
        <w:jc w:val="both"/>
      </w:pPr>
      <w:r w:rsidRPr="002B7A1C">
        <w:t>A current asset will be consumed or cease to have material value within the next financial year (e.g. cash and stock)</w:t>
      </w:r>
      <w:r w:rsidRPr="002B7A1C" w:rsidR="00301661">
        <w:t>.</w:t>
      </w:r>
    </w:p>
    <w:p w:rsidRPr="002B7A1C" w:rsidR="00505AAE" w:rsidP="0014104A" w:rsidRDefault="00505AAE" w14:paraId="6D9C613A" w14:textId="22ACBE88">
      <w:pPr>
        <w:pStyle w:val="ListParagraph"/>
        <w:numPr>
          <w:ilvl w:val="0"/>
          <w:numId w:val="1"/>
        </w:numPr>
        <w:jc w:val="both"/>
      </w:pPr>
      <w:r w:rsidRPr="002B7A1C">
        <w:t xml:space="preserve">A </w:t>
      </w:r>
      <w:r w:rsidRPr="002B7A1C" w:rsidR="00C35937">
        <w:t>non-current</w:t>
      </w:r>
      <w:r w:rsidRPr="002B7A1C">
        <w:t xml:space="preserve"> asset provides benefits to the Authority and to the services it provides for a period of more than one year and may be tangible e.g. </w:t>
      </w:r>
      <w:r w:rsidRPr="002B7A1C" w:rsidR="00301661">
        <w:t>a building or vehicle, or</w:t>
      </w:r>
      <w:r w:rsidRPr="002B7A1C" w:rsidR="00C35937">
        <w:t xml:space="preserve"> intangible e.g. computer software licenses.</w:t>
      </w:r>
    </w:p>
    <w:p w:rsidRPr="002B7A1C" w:rsidR="00C35937" w:rsidP="0014104A" w:rsidRDefault="00C35937" w14:paraId="234AEFEC" w14:textId="77777777">
      <w:pPr>
        <w:jc w:val="both"/>
        <w:rPr>
          <w:b/>
        </w:rPr>
      </w:pPr>
      <w:r w:rsidRPr="002B7A1C">
        <w:rPr>
          <w:b/>
        </w:rPr>
        <w:t>Balance Sheet</w:t>
      </w:r>
    </w:p>
    <w:p w:rsidRPr="002B7A1C" w:rsidR="00894342" w:rsidP="0014104A" w:rsidRDefault="00C35937" w14:paraId="0CE30256" w14:textId="77777777">
      <w:pPr>
        <w:jc w:val="both"/>
      </w:pPr>
      <w:r w:rsidRPr="002B7A1C">
        <w:t>A statement in the recorded assets, liabilities and reserves at the end of the accounting period.</w:t>
      </w:r>
    </w:p>
    <w:p w:rsidRPr="002B7A1C" w:rsidR="00C35937" w:rsidP="0014104A" w:rsidRDefault="00C35937" w14:paraId="7BDD494C" w14:textId="77777777">
      <w:pPr>
        <w:jc w:val="both"/>
        <w:rPr>
          <w:b/>
        </w:rPr>
      </w:pPr>
      <w:r w:rsidRPr="002B7A1C">
        <w:rPr>
          <w:b/>
        </w:rPr>
        <w:t>Capital Financing</w:t>
      </w:r>
    </w:p>
    <w:p w:rsidRPr="002B7A1C" w:rsidR="00C35937" w:rsidP="0014104A" w:rsidRDefault="00C35937" w14:paraId="7351E151" w14:textId="77777777">
      <w:pPr>
        <w:jc w:val="both"/>
      </w:pPr>
      <w:r w:rsidRPr="002B7A1C">
        <w:t>Funds obtained to pay for capital expenditure.  There are various methods of financing capital expenditure including borrowing, direct revenue financing, usable capital receipts, capital grants, capital contributions, revenue reserves and earmarked reserves.</w:t>
      </w:r>
    </w:p>
    <w:p w:rsidRPr="00614894" w:rsidR="00551B0C" w:rsidP="0014104A" w:rsidRDefault="00551B0C" w14:paraId="273DD23E" w14:textId="77777777">
      <w:pPr>
        <w:jc w:val="both"/>
        <w:rPr>
          <w:highlight w:val="yellow"/>
        </w:rPr>
      </w:pPr>
    </w:p>
    <w:p w:rsidRPr="00614894" w:rsidR="00296A77" w:rsidP="0014104A" w:rsidRDefault="00296A77" w14:paraId="09B76B12" w14:textId="77777777">
      <w:pPr>
        <w:jc w:val="both"/>
        <w:rPr>
          <w:highlight w:val="yellow"/>
        </w:rPr>
      </w:pPr>
    </w:p>
    <w:p w:rsidRPr="002B7A1C" w:rsidR="00C35937" w:rsidP="0014104A" w:rsidRDefault="00C35937" w14:paraId="5C933D25" w14:textId="77777777">
      <w:pPr>
        <w:jc w:val="both"/>
        <w:rPr>
          <w:b/>
        </w:rPr>
      </w:pPr>
      <w:r w:rsidRPr="002B7A1C">
        <w:rPr>
          <w:b/>
        </w:rPr>
        <w:lastRenderedPageBreak/>
        <w:t>Cash Equivalents</w:t>
      </w:r>
    </w:p>
    <w:p w:rsidRPr="002B7A1C" w:rsidR="00C35937" w:rsidP="0014104A" w:rsidRDefault="00C069A1" w14:paraId="179DA9B5" w14:textId="77777777">
      <w:pPr>
        <w:jc w:val="both"/>
      </w:pPr>
      <w:r w:rsidRPr="002B7A1C">
        <w:t>Short-</w:t>
      </w:r>
      <w:r w:rsidRPr="002B7A1C" w:rsidR="00C35937">
        <w:t>ter</w:t>
      </w:r>
      <w:r w:rsidRPr="002B7A1C">
        <w:t>m</w:t>
      </w:r>
      <w:r w:rsidRPr="002B7A1C" w:rsidR="00C35937">
        <w:t>, highly liquid investments that are readily convertible to known amounts of cash and which are su</w:t>
      </w:r>
      <w:r w:rsidRPr="002B7A1C">
        <w:t xml:space="preserve">bject to an insignificant risk </w:t>
      </w:r>
      <w:r w:rsidRPr="002B7A1C" w:rsidR="00C35937">
        <w:t>o</w:t>
      </w:r>
      <w:r w:rsidRPr="002B7A1C">
        <w:t>f</w:t>
      </w:r>
      <w:r w:rsidRPr="002B7A1C" w:rsidR="00C35937">
        <w:t xml:space="preserve"> change in value.</w:t>
      </w:r>
    </w:p>
    <w:p w:rsidRPr="002B7A1C" w:rsidR="00C35937" w:rsidP="0014104A" w:rsidRDefault="00C35937" w14:paraId="1684427F" w14:textId="77777777">
      <w:pPr>
        <w:jc w:val="both"/>
        <w:rPr>
          <w:b/>
        </w:rPr>
      </w:pPr>
      <w:r w:rsidRPr="002B7A1C">
        <w:rPr>
          <w:b/>
        </w:rPr>
        <w:t>Comprehensive Income and Expenditure Account</w:t>
      </w:r>
    </w:p>
    <w:p w:rsidRPr="002B7A1C" w:rsidR="00C35937" w:rsidP="00E6303C" w:rsidRDefault="00C35937" w14:paraId="6AF7CF63" w14:textId="06603EF8">
      <w:r w:rsidRPr="002B7A1C">
        <w:t xml:space="preserve">The revenue account of </w:t>
      </w:r>
      <w:r w:rsidRPr="006A70E1" w:rsidR="00AE1CBD">
        <w:rPr>
          <w:rFonts w:cs="Arial"/>
        </w:rPr>
        <w:t xml:space="preserve">VVC </w:t>
      </w:r>
      <w:r w:rsidRPr="002B7A1C" w:rsidR="00C069A1">
        <w:t xml:space="preserve">that reports the net cost for the year of the functions for which it is </w:t>
      </w:r>
      <w:proofErr w:type="gramStart"/>
      <w:r w:rsidRPr="002B7A1C" w:rsidR="00C069A1">
        <w:t>responsible,</w:t>
      </w:r>
      <w:r w:rsidR="00E6303C">
        <w:t xml:space="preserve"> </w:t>
      </w:r>
      <w:r w:rsidRPr="002B7A1C" w:rsidR="00C069A1">
        <w:t>and</w:t>
      </w:r>
      <w:proofErr w:type="gramEnd"/>
      <w:r w:rsidRPr="002B7A1C" w:rsidR="00C069A1">
        <w:t xml:space="preserve"> demonstrates how that cost has been financed from budgeted contributions, grants and other income.</w:t>
      </w:r>
    </w:p>
    <w:p w:rsidRPr="0025175E" w:rsidR="00C069A1" w:rsidP="0014104A" w:rsidRDefault="00C069A1" w14:paraId="3FDBED38" w14:textId="77777777">
      <w:pPr>
        <w:jc w:val="both"/>
        <w:rPr>
          <w:b/>
        </w:rPr>
      </w:pPr>
      <w:r w:rsidRPr="0025175E">
        <w:rPr>
          <w:b/>
        </w:rPr>
        <w:t>Creditor</w:t>
      </w:r>
    </w:p>
    <w:p w:rsidRPr="0025175E" w:rsidR="00C069A1" w:rsidP="0014104A" w:rsidRDefault="00C069A1" w14:paraId="732858AE" w14:textId="64E7DD66">
      <w:pPr>
        <w:jc w:val="both"/>
      </w:pPr>
      <w:r w:rsidRPr="0025175E">
        <w:t xml:space="preserve">Amount owed by </w:t>
      </w:r>
      <w:r w:rsidRPr="006A70E1" w:rsidR="00AE1CBD">
        <w:rPr>
          <w:rFonts w:cs="Arial"/>
        </w:rPr>
        <w:t xml:space="preserve">VVC </w:t>
      </w:r>
      <w:r w:rsidRPr="0025175E">
        <w:t xml:space="preserve">for works done, goods </w:t>
      </w:r>
      <w:proofErr w:type="gramStart"/>
      <w:r w:rsidRPr="0025175E">
        <w:t>received</w:t>
      </w:r>
      <w:proofErr w:type="gramEnd"/>
      <w:r w:rsidRPr="0025175E">
        <w:t xml:space="preserve"> or services rendered within the accounting period, but for which payment has not been made by the end of that accounting period.</w:t>
      </w:r>
    </w:p>
    <w:p w:rsidRPr="0025175E" w:rsidR="00C069A1" w:rsidP="0014104A" w:rsidRDefault="00C069A1" w14:paraId="6DDEF528" w14:textId="77777777">
      <w:pPr>
        <w:jc w:val="both"/>
        <w:rPr>
          <w:b/>
        </w:rPr>
      </w:pPr>
      <w:r w:rsidRPr="0025175E">
        <w:rPr>
          <w:b/>
        </w:rPr>
        <w:t>Current Service Cost (Pensions)</w:t>
      </w:r>
    </w:p>
    <w:p w:rsidRPr="0025175E" w:rsidR="00C069A1" w:rsidP="0014104A" w:rsidRDefault="00C069A1" w14:paraId="1D6FF9BE" w14:textId="6E852B51">
      <w:pPr>
        <w:jc w:val="both"/>
      </w:pPr>
      <w:r w:rsidRPr="0025175E">
        <w:t>The increase in the present value of a defined benefit pension scheme’s li</w:t>
      </w:r>
      <w:r w:rsidRPr="0025175E" w:rsidR="008F5E0C">
        <w:t>abilities, expected to arise fro</w:t>
      </w:r>
      <w:r w:rsidRPr="0025175E">
        <w:t>m employee service in the current period.</w:t>
      </w:r>
    </w:p>
    <w:p w:rsidRPr="0025175E" w:rsidR="00C069A1" w:rsidP="0014104A" w:rsidRDefault="00C069A1" w14:paraId="6BCCAB63" w14:textId="77777777">
      <w:pPr>
        <w:jc w:val="both"/>
        <w:rPr>
          <w:b/>
        </w:rPr>
      </w:pPr>
      <w:r w:rsidRPr="0025175E">
        <w:rPr>
          <w:b/>
        </w:rPr>
        <w:t>Debtor</w:t>
      </w:r>
    </w:p>
    <w:p w:rsidRPr="0025175E" w:rsidR="00C069A1" w:rsidP="0014104A" w:rsidRDefault="00C069A1" w14:paraId="25D7EC1A" w14:textId="2E257842">
      <w:pPr>
        <w:jc w:val="both"/>
      </w:pPr>
      <w:r w:rsidRPr="0025175E">
        <w:t xml:space="preserve">Amount owed to </w:t>
      </w:r>
      <w:r w:rsidRPr="006A70E1" w:rsidR="00AE1CBD">
        <w:rPr>
          <w:rFonts w:cs="Arial"/>
        </w:rPr>
        <w:t xml:space="preserve">VVC </w:t>
      </w:r>
      <w:r w:rsidRPr="0025175E">
        <w:t xml:space="preserve">for works done, goods </w:t>
      </w:r>
      <w:r w:rsidRPr="0025175E" w:rsidR="00252911">
        <w:t>received,</w:t>
      </w:r>
      <w:r w:rsidRPr="0025175E">
        <w:t xml:space="preserve"> or services rendered within the accounting period, but for which payment has not been received by the end of that accounting period.</w:t>
      </w:r>
    </w:p>
    <w:p w:rsidRPr="0025175E" w:rsidR="00C069A1" w:rsidP="0014104A" w:rsidRDefault="00C069A1" w14:paraId="67897417" w14:textId="77777777">
      <w:pPr>
        <w:jc w:val="both"/>
        <w:rPr>
          <w:b/>
        </w:rPr>
      </w:pPr>
      <w:r w:rsidRPr="0025175E">
        <w:rPr>
          <w:b/>
        </w:rPr>
        <w:t>Defined Benefit Pension Scheme</w:t>
      </w:r>
    </w:p>
    <w:p w:rsidRPr="0025175E" w:rsidR="00C069A1" w:rsidP="0014104A" w:rsidRDefault="00C069A1" w14:paraId="1F377D9C" w14:textId="77777777">
      <w:pPr>
        <w:jc w:val="both"/>
      </w:pPr>
      <w:r w:rsidRPr="0025175E">
        <w:t>Pension schemes in which the benefits received by the participants are independent of the contributions paid and are not directly related to the investments of the scheme.</w:t>
      </w:r>
    </w:p>
    <w:p w:rsidRPr="0025175E" w:rsidR="00C069A1" w:rsidP="0014104A" w:rsidRDefault="00C069A1" w14:paraId="2EDA88B0" w14:textId="77777777">
      <w:pPr>
        <w:jc w:val="both"/>
        <w:rPr>
          <w:b/>
        </w:rPr>
      </w:pPr>
      <w:r w:rsidRPr="0025175E">
        <w:rPr>
          <w:b/>
        </w:rPr>
        <w:t>Depreciation</w:t>
      </w:r>
    </w:p>
    <w:p w:rsidRPr="0025175E" w:rsidR="00C069A1" w:rsidP="0014104A" w:rsidRDefault="00C069A1" w14:paraId="10BA9890" w14:textId="6E834C86">
      <w:pPr>
        <w:jc w:val="both"/>
      </w:pPr>
      <w:r w:rsidRPr="0025175E">
        <w:t xml:space="preserve">The measure of the cost of the wearing out, consumption or other reduction in the useful economic life of </w:t>
      </w:r>
      <w:r w:rsidRPr="006A70E1" w:rsidR="00AE1CBD">
        <w:rPr>
          <w:rFonts w:cs="Arial"/>
        </w:rPr>
        <w:t>VV</w:t>
      </w:r>
      <w:r w:rsidR="004C5D94">
        <w:rPr>
          <w:rFonts w:cs="Arial"/>
        </w:rPr>
        <w:t>C’s</w:t>
      </w:r>
      <w:r w:rsidRPr="0025175E">
        <w:t xml:space="preserve"> non-current assets during the accounting period, whether from use, the passage of time, or obsolescence through technological or other changes.</w:t>
      </w:r>
    </w:p>
    <w:p w:rsidRPr="0025175E" w:rsidR="00C069A1" w:rsidP="0014104A" w:rsidRDefault="00882B62" w14:paraId="617B90DF" w14:textId="77777777">
      <w:pPr>
        <w:jc w:val="both"/>
        <w:rPr>
          <w:b/>
        </w:rPr>
      </w:pPr>
      <w:r w:rsidRPr="0025175E">
        <w:rPr>
          <w:b/>
        </w:rPr>
        <w:t>Discretionary B</w:t>
      </w:r>
      <w:r w:rsidRPr="0025175E" w:rsidR="00C069A1">
        <w:rPr>
          <w:b/>
        </w:rPr>
        <w:t>enefits (Pensions)</w:t>
      </w:r>
    </w:p>
    <w:p w:rsidRPr="0025175E" w:rsidR="00C069A1" w:rsidP="0014104A" w:rsidRDefault="00C069A1" w14:paraId="5C719C91" w14:textId="1CDA4E80">
      <w:pPr>
        <w:jc w:val="both"/>
      </w:pPr>
      <w:r w:rsidRPr="0025175E">
        <w:t>Retirement benefits which the employer has no le</w:t>
      </w:r>
      <w:r w:rsidRPr="0025175E" w:rsidR="00882B62">
        <w:t>gal, contractual or c</w:t>
      </w:r>
      <w:r w:rsidRPr="0025175E" w:rsidR="009776D5">
        <w:t>onstructive obligation to award</w:t>
      </w:r>
      <w:r w:rsidRPr="0025175E" w:rsidR="00882B62">
        <w:t xml:space="preserve"> and are awarded under the Authority’s (Vale of Glamorgan Council as Host) discretionary powers such as the Local Government Pension Scheme (Benefits, Membership and Contributions) Regulations 2007.</w:t>
      </w:r>
    </w:p>
    <w:p w:rsidRPr="0025175E" w:rsidR="00882B62" w:rsidP="0014104A" w:rsidRDefault="00882B62" w14:paraId="0D90538D" w14:textId="77777777">
      <w:pPr>
        <w:jc w:val="both"/>
        <w:rPr>
          <w:b/>
        </w:rPr>
      </w:pPr>
      <w:r w:rsidRPr="0025175E">
        <w:rPr>
          <w:b/>
        </w:rPr>
        <w:t>Effective Interest Rate</w:t>
      </w:r>
    </w:p>
    <w:p w:rsidRPr="0025175E" w:rsidR="00882B62" w:rsidP="0014104A" w:rsidRDefault="00882B62" w14:paraId="74E1F8C6" w14:textId="77777777">
      <w:pPr>
        <w:jc w:val="both"/>
      </w:pPr>
      <w:r w:rsidRPr="0025175E">
        <w:t>This is the rate of interest needed to discount the estimated stream of principal and interest cash flows through the expected life of a financial instrument to equal the amount at initial recognition.</w:t>
      </w:r>
    </w:p>
    <w:p w:rsidRPr="00614894" w:rsidR="00551B0C" w:rsidP="0014104A" w:rsidRDefault="00551B0C" w14:paraId="1C11B8BF" w14:textId="77777777">
      <w:pPr>
        <w:jc w:val="both"/>
        <w:rPr>
          <w:highlight w:val="yellow"/>
        </w:rPr>
      </w:pPr>
    </w:p>
    <w:p w:rsidRPr="0025175E" w:rsidR="00882B62" w:rsidP="0014104A" w:rsidRDefault="00882B62" w14:paraId="6EE931C1" w14:textId="77777777">
      <w:pPr>
        <w:jc w:val="both"/>
        <w:rPr>
          <w:b/>
        </w:rPr>
      </w:pPr>
      <w:r w:rsidRPr="0025175E">
        <w:rPr>
          <w:b/>
        </w:rPr>
        <w:t>Employee Benefits</w:t>
      </w:r>
    </w:p>
    <w:p w:rsidRPr="0025175E" w:rsidR="00882B62" w:rsidP="0014104A" w:rsidRDefault="00882B62" w14:paraId="0326A610" w14:textId="3E1B94A2">
      <w:pPr>
        <w:jc w:val="both"/>
      </w:pPr>
      <w:r w:rsidRPr="0025175E">
        <w:t xml:space="preserve">All forms of consideration given by </w:t>
      </w:r>
      <w:r w:rsidRPr="006A70E1" w:rsidR="00AE1CBD">
        <w:rPr>
          <w:rFonts w:cs="Arial"/>
        </w:rPr>
        <w:t>VVC</w:t>
      </w:r>
      <w:r w:rsidR="00B0797F">
        <w:rPr>
          <w:rFonts w:cs="Arial"/>
        </w:rPr>
        <w:t xml:space="preserve"> </w:t>
      </w:r>
      <w:r w:rsidRPr="0025175E">
        <w:t>in exchange for services rendered by its employees.</w:t>
      </w:r>
    </w:p>
    <w:p w:rsidRPr="0025175E" w:rsidR="00882B62" w:rsidP="0014104A" w:rsidRDefault="00882B62" w14:paraId="7CBD6B7B" w14:textId="77777777">
      <w:pPr>
        <w:jc w:val="both"/>
        <w:rPr>
          <w:b/>
        </w:rPr>
      </w:pPr>
      <w:r w:rsidRPr="0025175E">
        <w:rPr>
          <w:b/>
        </w:rPr>
        <w:lastRenderedPageBreak/>
        <w:t xml:space="preserve">Events After </w:t>
      </w:r>
      <w:r w:rsidRPr="0025175E" w:rsidR="00FF303D">
        <w:rPr>
          <w:b/>
        </w:rPr>
        <w:t>the</w:t>
      </w:r>
      <w:r w:rsidRPr="0025175E">
        <w:rPr>
          <w:b/>
        </w:rPr>
        <w:t xml:space="preserve"> Balance Sheet</w:t>
      </w:r>
      <w:r w:rsidRPr="0025175E" w:rsidR="00FF303D">
        <w:rPr>
          <w:b/>
        </w:rPr>
        <w:t xml:space="preserve"> Date</w:t>
      </w:r>
    </w:p>
    <w:p w:rsidRPr="0025175E" w:rsidR="00882B62" w:rsidP="0014104A" w:rsidRDefault="00882B62" w14:paraId="09D14C52" w14:textId="77777777">
      <w:pPr>
        <w:jc w:val="both"/>
      </w:pPr>
      <w:r w:rsidRPr="0025175E">
        <w:t>Events after the balance sheet date are those events, favourable or unfavourable, that arise between the balance sheet and the date when the Statement of Accounts is authorised for issue.</w:t>
      </w:r>
    </w:p>
    <w:p w:rsidRPr="0025175E" w:rsidR="00882B62" w:rsidP="0014104A" w:rsidRDefault="00882B62" w14:paraId="3D6988EE" w14:textId="77777777">
      <w:pPr>
        <w:jc w:val="both"/>
        <w:rPr>
          <w:b/>
        </w:rPr>
      </w:pPr>
      <w:r w:rsidRPr="0025175E">
        <w:rPr>
          <w:b/>
        </w:rPr>
        <w:t>Exceptional Items</w:t>
      </w:r>
    </w:p>
    <w:p w:rsidRPr="0025175E" w:rsidR="00882B62" w:rsidP="0014104A" w:rsidRDefault="00882B62" w14:paraId="14B6F392" w14:textId="4321F0AE">
      <w:pPr>
        <w:jc w:val="both"/>
      </w:pPr>
      <w:r w:rsidRPr="0025175E">
        <w:t xml:space="preserve">Material items which derive from affairs or transactions that fall within the ordinary activities of </w:t>
      </w:r>
      <w:r w:rsidRPr="006A70E1" w:rsidR="00AE1CBD">
        <w:rPr>
          <w:rFonts w:cs="Arial"/>
        </w:rPr>
        <w:t xml:space="preserve">VVC </w:t>
      </w:r>
      <w:r w:rsidRPr="0025175E">
        <w:t>and which need to be disclosed separately by virtue of their size or incidence to give fair presentation of the accounts.</w:t>
      </w:r>
    </w:p>
    <w:p w:rsidRPr="0025175E" w:rsidR="00882B62" w:rsidP="0014104A" w:rsidRDefault="00882B62" w14:paraId="49AAEB1A" w14:textId="77777777">
      <w:pPr>
        <w:jc w:val="both"/>
        <w:rPr>
          <w:b/>
        </w:rPr>
      </w:pPr>
      <w:r w:rsidRPr="0025175E">
        <w:rPr>
          <w:b/>
        </w:rPr>
        <w:t>Expected Return on Pension Assets</w:t>
      </w:r>
    </w:p>
    <w:p w:rsidRPr="0025175E" w:rsidR="00882B62" w:rsidP="0014104A" w:rsidRDefault="00882B62" w14:paraId="3D0A0DBA" w14:textId="77777777">
      <w:pPr>
        <w:jc w:val="both"/>
      </w:pPr>
      <w:r w:rsidRPr="0025175E">
        <w:t>For a funded defined benefit scheme, this is the average rate of return, including both income and changes in fair value but net of scheme expenses, which is expected over the remaining life of the related obligation on the actual assets held by the scheme.</w:t>
      </w:r>
    </w:p>
    <w:p w:rsidRPr="0025175E" w:rsidR="00882B62" w:rsidP="0014104A" w:rsidRDefault="00481928" w14:paraId="45BD64C6" w14:textId="77777777">
      <w:pPr>
        <w:jc w:val="both"/>
        <w:rPr>
          <w:b/>
        </w:rPr>
      </w:pPr>
      <w:r w:rsidRPr="0025175E">
        <w:rPr>
          <w:b/>
        </w:rPr>
        <w:t>Extraordinary Items</w:t>
      </w:r>
    </w:p>
    <w:p w:rsidRPr="0025175E" w:rsidR="00481928" w:rsidP="0014104A" w:rsidRDefault="00481928" w14:paraId="0DCFCF5B" w14:textId="77777777">
      <w:pPr>
        <w:jc w:val="both"/>
      </w:pPr>
      <w:r w:rsidRPr="0025175E">
        <w:t>Material items, having a high degree of abnormality, which drive from events or transactions that fall outside the ordinary activities of the authority and which are not expected to recur. They do not include exceptional items, nor do they include prior period items merely because they relate to a prior period.</w:t>
      </w:r>
    </w:p>
    <w:p w:rsidRPr="0025175E" w:rsidR="00481928" w:rsidP="0014104A" w:rsidRDefault="00481928" w14:paraId="78529E36" w14:textId="77777777">
      <w:pPr>
        <w:jc w:val="both"/>
        <w:rPr>
          <w:b/>
        </w:rPr>
      </w:pPr>
      <w:r w:rsidRPr="0025175E">
        <w:rPr>
          <w:b/>
        </w:rPr>
        <w:t>Fair Value</w:t>
      </w:r>
    </w:p>
    <w:p w:rsidRPr="0025175E" w:rsidR="00481928" w:rsidP="0014104A" w:rsidRDefault="00481928" w14:paraId="148C7AC0" w14:textId="77777777">
      <w:pPr>
        <w:jc w:val="both"/>
      </w:pPr>
      <w:r w:rsidRPr="0025175E">
        <w:t>The fair value of an asset is the amount for which an asset could be exchanged, or a liability settled between knowledgeable, willing parties in an arm’s-length transaction.</w:t>
      </w:r>
    </w:p>
    <w:p w:rsidRPr="0025175E" w:rsidR="00252911" w:rsidP="0014104A" w:rsidRDefault="00252911" w14:paraId="6C4DD869" w14:textId="77777777">
      <w:pPr>
        <w:jc w:val="both"/>
        <w:rPr>
          <w:b/>
        </w:rPr>
      </w:pPr>
      <w:r w:rsidRPr="0025175E">
        <w:rPr>
          <w:b/>
        </w:rPr>
        <w:t>Financial Instruments</w:t>
      </w:r>
    </w:p>
    <w:p w:rsidRPr="0025175E" w:rsidR="00252911" w:rsidP="0014104A" w:rsidRDefault="00252911" w14:paraId="01742AFC" w14:textId="77777777">
      <w:pPr>
        <w:jc w:val="both"/>
      </w:pPr>
      <w:r w:rsidRPr="0025175E">
        <w:t>Any contract that gives rise to a financial asset of one entity and a financial liability or equity instruments of another.  The term covers both financial assets and financial liabilities, fro</w:t>
      </w:r>
      <w:r w:rsidRPr="0025175E" w:rsidR="00BE3E6A">
        <w:t xml:space="preserve">m </w:t>
      </w:r>
      <w:r w:rsidRPr="0025175E">
        <w:t>straightforward trade receivables (invoices owing) and trade payables (invoices owed) t</w:t>
      </w:r>
      <w:r w:rsidRPr="0025175E" w:rsidR="00BE3E6A">
        <w:t>o</w:t>
      </w:r>
      <w:r w:rsidRPr="0025175E">
        <w:t xml:space="preserve"> complex derivatives and embedded derivatives.</w:t>
      </w:r>
    </w:p>
    <w:p w:rsidRPr="0025175E" w:rsidR="00481928" w:rsidP="0014104A" w:rsidRDefault="00481928" w14:paraId="60A1BC51" w14:textId="77777777">
      <w:pPr>
        <w:jc w:val="both"/>
        <w:rPr>
          <w:b/>
        </w:rPr>
      </w:pPr>
      <w:r w:rsidRPr="0025175E">
        <w:rPr>
          <w:b/>
        </w:rPr>
        <w:t>Going Concern</w:t>
      </w:r>
    </w:p>
    <w:p w:rsidRPr="0025175E" w:rsidR="00481928" w:rsidP="0014104A" w:rsidRDefault="00481928" w14:paraId="37C2672A" w14:textId="59247F9A">
      <w:pPr>
        <w:jc w:val="both"/>
      </w:pPr>
      <w:r w:rsidRPr="0025175E">
        <w:t>The concept that the Statement of Accounts are prepared on the assumption that the</w:t>
      </w:r>
      <w:r w:rsidRPr="00DF758E" w:rsidR="00DF758E">
        <w:rPr>
          <w:rFonts w:cs="Arial"/>
        </w:rPr>
        <w:t xml:space="preserve"> </w:t>
      </w:r>
      <w:r w:rsidRPr="006A70E1" w:rsidR="00DF758E">
        <w:rPr>
          <w:rFonts w:cs="Arial"/>
        </w:rPr>
        <w:t xml:space="preserve">VVC </w:t>
      </w:r>
      <w:r w:rsidRPr="0025175E">
        <w:t>will continue in operational existence for the foreseeable future.</w:t>
      </w:r>
    </w:p>
    <w:p w:rsidRPr="0025175E" w:rsidR="00481928" w:rsidP="0014104A" w:rsidRDefault="00481928" w14:paraId="37FC7F3D" w14:textId="77777777">
      <w:pPr>
        <w:jc w:val="both"/>
        <w:rPr>
          <w:b/>
        </w:rPr>
      </w:pPr>
      <w:r w:rsidRPr="0025175E">
        <w:rPr>
          <w:b/>
        </w:rPr>
        <w:t>Impairment</w:t>
      </w:r>
    </w:p>
    <w:p w:rsidRPr="0025175E" w:rsidR="0014104A" w:rsidP="0014104A" w:rsidRDefault="00481928" w14:paraId="6CAA1DDA" w14:textId="77777777">
      <w:pPr>
        <w:jc w:val="both"/>
      </w:pPr>
      <w:r w:rsidRPr="0025175E">
        <w:t xml:space="preserve">A reduction in the value of a non-current asset to below </w:t>
      </w:r>
      <w:proofErr w:type="gramStart"/>
      <w:r w:rsidRPr="0025175E">
        <w:t>its</w:t>
      </w:r>
      <w:proofErr w:type="gramEnd"/>
      <w:r w:rsidRPr="0025175E">
        <w:t xml:space="preserve"> carrying amount on the balance sheet.  Impairment may be caused by a consumption of economic benefit (economic benefit impairment) of a general fall in prices.</w:t>
      </w:r>
    </w:p>
    <w:p w:rsidRPr="0025175E" w:rsidR="00481928" w:rsidP="0014104A" w:rsidRDefault="00481928" w14:paraId="5548141A" w14:textId="77777777">
      <w:pPr>
        <w:jc w:val="both"/>
        <w:rPr>
          <w:b/>
        </w:rPr>
      </w:pPr>
      <w:r w:rsidRPr="0025175E">
        <w:rPr>
          <w:b/>
        </w:rPr>
        <w:t>Intangible Assets</w:t>
      </w:r>
    </w:p>
    <w:p w:rsidRPr="0025175E" w:rsidR="00481928" w:rsidP="0014104A" w:rsidRDefault="00481928" w14:paraId="49381677" w14:textId="77777777">
      <w:pPr>
        <w:jc w:val="both"/>
      </w:pPr>
      <w:r w:rsidRPr="0025175E">
        <w:t>An intangible asset is an identifiable non-monetary asset without physical substance.  Intangible assets are most frequently found in local authority computer software.</w:t>
      </w:r>
    </w:p>
    <w:p w:rsidRPr="0025175E" w:rsidR="00481928" w:rsidP="0014104A" w:rsidRDefault="00481928" w14:paraId="07C2B816" w14:textId="77777777">
      <w:pPr>
        <w:jc w:val="both"/>
        <w:rPr>
          <w:b/>
        </w:rPr>
      </w:pPr>
      <w:r w:rsidRPr="0025175E">
        <w:rPr>
          <w:b/>
        </w:rPr>
        <w:t>Liability</w:t>
      </w:r>
    </w:p>
    <w:p w:rsidRPr="0025175E" w:rsidR="00481928" w:rsidP="0014104A" w:rsidRDefault="00481928" w14:paraId="541CEA33" w14:textId="6840204B">
      <w:pPr>
        <w:jc w:val="both"/>
      </w:pPr>
      <w:r w:rsidRPr="0025175E">
        <w:t xml:space="preserve">A liability is where the </w:t>
      </w:r>
      <w:r w:rsidRPr="006A70E1" w:rsidR="00AE1CBD">
        <w:rPr>
          <w:rFonts w:cs="Arial"/>
        </w:rPr>
        <w:t xml:space="preserve">VVC </w:t>
      </w:r>
      <w:r w:rsidRPr="0025175E">
        <w:t>ow</w:t>
      </w:r>
      <w:r w:rsidRPr="0025175E" w:rsidR="00301661">
        <w:t xml:space="preserve">es payment to an individual </w:t>
      </w:r>
      <w:r w:rsidRPr="0025175E" w:rsidR="00CB34A2">
        <w:t>or another organisation.</w:t>
      </w:r>
    </w:p>
    <w:p w:rsidRPr="0025175E" w:rsidR="00481928" w:rsidP="0014104A" w:rsidRDefault="00481928" w14:paraId="745187EE" w14:textId="081B1749">
      <w:pPr>
        <w:pStyle w:val="ListParagraph"/>
        <w:numPr>
          <w:ilvl w:val="0"/>
          <w:numId w:val="1"/>
        </w:numPr>
        <w:jc w:val="both"/>
      </w:pPr>
      <w:r w:rsidRPr="0025175E">
        <w:lastRenderedPageBreak/>
        <w:t>A current liability is an amount which will become payable or could be called in within the next accounting period, e.g.</w:t>
      </w:r>
      <w:r w:rsidR="00A04101">
        <w:t>,</w:t>
      </w:r>
      <w:r w:rsidRPr="0025175E">
        <w:t xml:space="preserve"> creditors or cash overdrawn.</w:t>
      </w:r>
    </w:p>
    <w:p w:rsidRPr="0025175E" w:rsidR="00481928" w:rsidP="0014104A" w:rsidRDefault="00481928" w14:paraId="76D8BAC1" w14:textId="77777777">
      <w:pPr>
        <w:pStyle w:val="ListParagraph"/>
        <w:numPr>
          <w:ilvl w:val="0"/>
          <w:numId w:val="1"/>
        </w:numPr>
        <w:jc w:val="both"/>
      </w:pPr>
      <w:r w:rsidRPr="0025175E">
        <w:t xml:space="preserve">A </w:t>
      </w:r>
      <w:r w:rsidRPr="0025175E" w:rsidR="00CB34A2">
        <w:t>deferred liability is an amount which by arrangement is payable beyond the next year at some point in the future or to be paid off by an accrual sum over a period of time.</w:t>
      </w:r>
    </w:p>
    <w:p w:rsidRPr="0025175E" w:rsidR="00CB34A2" w:rsidP="0014104A" w:rsidRDefault="00CB34A2" w14:paraId="738183B5" w14:textId="77777777">
      <w:pPr>
        <w:jc w:val="both"/>
        <w:rPr>
          <w:b/>
        </w:rPr>
      </w:pPr>
      <w:r w:rsidRPr="0025175E">
        <w:rPr>
          <w:b/>
        </w:rPr>
        <w:t>Materiality</w:t>
      </w:r>
    </w:p>
    <w:p w:rsidRPr="0025175E" w:rsidR="00CB34A2" w:rsidP="0014104A" w:rsidRDefault="00CB34A2" w14:paraId="4AA6B1DC" w14:textId="77777777">
      <w:pPr>
        <w:jc w:val="both"/>
      </w:pPr>
      <w:r w:rsidRPr="0025175E">
        <w:t>The concept that the Statement of Accounts should contain all amounts which, if omitted, or misstated, could be expected to lead to a distortion of the financial statements and ultimately mislead the user of the accounts.</w:t>
      </w:r>
    </w:p>
    <w:p w:rsidRPr="0025175E" w:rsidR="00CB34A2" w:rsidP="0014104A" w:rsidRDefault="00CB34A2" w14:paraId="78022F8B" w14:textId="77777777">
      <w:pPr>
        <w:jc w:val="both"/>
        <w:rPr>
          <w:b/>
        </w:rPr>
      </w:pPr>
      <w:r w:rsidRPr="0025175E">
        <w:rPr>
          <w:b/>
        </w:rPr>
        <w:t>Net Book Value</w:t>
      </w:r>
    </w:p>
    <w:p w:rsidRPr="0025175E" w:rsidR="00CB34A2" w:rsidP="0014104A" w:rsidRDefault="00CB34A2" w14:paraId="06E6D38C" w14:textId="77777777">
      <w:pPr>
        <w:jc w:val="both"/>
      </w:pPr>
      <w:r w:rsidRPr="0025175E">
        <w:t>The amount at which non-current assets are included in the balance sheet, i.e. their historical costs or current value less the cumulative amounts provided for depreciation and impairment.</w:t>
      </w:r>
    </w:p>
    <w:p w:rsidRPr="0025175E" w:rsidR="00CB34A2" w:rsidP="0014104A" w:rsidRDefault="00CB34A2" w14:paraId="604E52A3" w14:textId="77777777">
      <w:pPr>
        <w:jc w:val="both"/>
        <w:rPr>
          <w:b/>
        </w:rPr>
      </w:pPr>
      <w:r w:rsidRPr="0025175E">
        <w:rPr>
          <w:b/>
        </w:rPr>
        <w:t>Past Service Cost (Pensions)</w:t>
      </w:r>
    </w:p>
    <w:p w:rsidRPr="0025175E" w:rsidR="00CB34A2" w:rsidP="0014104A" w:rsidRDefault="00CB34A2" w14:paraId="37C51A92" w14:textId="77777777">
      <w:pPr>
        <w:jc w:val="both"/>
      </w:pPr>
      <w:r w:rsidRPr="0025175E">
        <w:t>For a defined pension scheme, the increase in the present value of the scheme’s liabilities related to employee service in prior periods arising in the current period as a result of the introduction of, or improvement to retirement benefits.</w:t>
      </w:r>
    </w:p>
    <w:p w:rsidRPr="0025175E" w:rsidR="00D76186" w:rsidP="0014104A" w:rsidRDefault="00D76186" w14:paraId="1F992756" w14:textId="77777777">
      <w:pPr>
        <w:jc w:val="both"/>
        <w:rPr>
          <w:b/>
        </w:rPr>
      </w:pPr>
      <w:r w:rsidRPr="0025175E">
        <w:rPr>
          <w:b/>
        </w:rPr>
        <w:t>Pension Scheme Liabilities</w:t>
      </w:r>
    </w:p>
    <w:p w:rsidRPr="0025175E" w:rsidR="00D76186" w:rsidP="0014104A" w:rsidRDefault="00D76186" w14:paraId="5186CEFB" w14:textId="77777777">
      <w:pPr>
        <w:jc w:val="both"/>
      </w:pPr>
      <w:r w:rsidRPr="0025175E">
        <w:t>The liabilities of a defined benefit scheme for outgoings due after the valuation date.  Scheme liabilities measured using the projected unit method reflect the benefits that the employer is committed to provide for service up to the valuation date.</w:t>
      </w:r>
    </w:p>
    <w:p w:rsidRPr="0025175E" w:rsidR="00D76186" w:rsidP="0014104A" w:rsidRDefault="00D76186" w14:paraId="3BBF4AA0" w14:textId="77777777">
      <w:pPr>
        <w:jc w:val="both"/>
        <w:rPr>
          <w:b/>
        </w:rPr>
      </w:pPr>
      <w:r w:rsidRPr="0025175E">
        <w:rPr>
          <w:b/>
        </w:rPr>
        <w:t>Prior Year Adjustment</w:t>
      </w:r>
    </w:p>
    <w:p w:rsidRPr="0025175E" w:rsidR="00CB34A2" w:rsidP="0014104A" w:rsidRDefault="00D76186" w14:paraId="349EB4FE" w14:textId="4D8F0C87">
      <w:pPr>
        <w:jc w:val="both"/>
      </w:pPr>
      <w:r w:rsidRPr="0025175E">
        <w:t xml:space="preserve">Material adjustments relating to prior years arising from </w:t>
      </w:r>
      <w:r w:rsidRPr="0025175E" w:rsidR="00301661">
        <w:t xml:space="preserve">changes in accounting policies </w:t>
      </w:r>
      <w:r w:rsidRPr="0025175E">
        <w:t>or from the correction</w:t>
      </w:r>
      <w:r w:rsidRPr="0025175E" w:rsidR="00BB2F71">
        <w:t xml:space="preserve"> of </w:t>
      </w:r>
      <w:r w:rsidRPr="0025175E">
        <w:t>fundamental errors. This does not include normal recurring correction or adjustments of accounting estimates made in prior</w:t>
      </w:r>
      <w:r w:rsidRPr="0025175E" w:rsidR="00BB2F71">
        <w:t xml:space="preserve"> years.</w:t>
      </w:r>
    </w:p>
    <w:p w:rsidRPr="0025175E" w:rsidR="00BB2F71" w:rsidP="0014104A" w:rsidRDefault="00BB2F71" w14:paraId="47923815" w14:textId="77777777">
      <w:pPr>
        <w:jc w:val="both"/>
        <w:rPr>
          <w:b/>
        </w:rPr>
      </w:pPr>
      <w:r w:rsidRPr="0025175E">
        <w:rPr>
          <w:b/>
        </w:rPr>
        <w:t>Provision</w:t>
      </w:r>
    </w:p>
    <w:p w:rsidRPr="0025175E" w:rsidR="00BB2F71" w:rsidP="0014104A" w:rsidRDefault="00BB2F71" w14:paraId="4F7E663A" w14:textId="77777777">
      <w:pPr>
        <w:jc w:val="both"/>
      </w:pPr>
      <w:r w:rsidRPr="0025175E">
        <w:t>An amount put aside in the accounts for future liabilities or losses which are certain or very likely to occur, but the amounts or dates of when they will arise are uncertain.</w:t>
      </w:r>
    </w:p>
    <w:p w:rsidRPr="0025175E" w:rsidR="00BB2F71" w:rsidP="0014104A" w:rsidRDefault="00BB2F71" w14:paraId="3F24AECA" w14:textId="77777777">
      <w:pPr>
        <w:jc w:val="both"/>
        <w:rPr>
          <w:b/>
        </w:rPr>
      </w:pPr>
      <w:r w:rsidRPr="0025175E">
        <w:rPr>
          <w:b/>
        </w:rPr>
        <w:t>Related Parties</w:t>
      </w:r>
    </w:p>
    <w:p w:rsidRPr="0025175E" w:rsidR="00BB2F71" w:rsidP="0014104A" w:rsidRDefault="00BB2F71" w14:paraId="7D524E8D" w14:textId="77777777">
      <w:pPr>
        <w:jc w:val="both"/>
      </w:pPr>
      <w:r w:rsidRPr="0025175E">
        <w:t>Parties are considered to be related if one party has the ability to control the other party or exercise significant influence over the other party in making financial or operating decisions.</w:t>
      </w:r>
    </w:p>
    <w:p w:rsidRPr="0025175E" w:rsidR="00BE3E6A" w:rsidP="0014104A" w:rsidRDefault="00BE3E6A" w14:paraId="599C68E3" w14:textId="77777777">
      <w:pPr>
        <w:jc w:val="both"/>
        <w:rPr>
          <w:b/>
        </w:rPr>
      </w:pPr>
      <w:r w:rsidRPr="0025175E">
        <w:rPr>
          <w:b/>
        </w:rPr>
        <w:t>Re</w:t>
      </w:r>
      <w:r w:rsidRPr="0025175E" w:rsidR="004A7FF7">
        <w:rPr>
          <w:b/>
        </w:rPr>
        <w:t>-</w:t>
      </w:r>
      <w:r w:rsidRPr="0025175E">
        <w:rPr>
          <w:b/>
        </w:rPr>
        <w:t>measurement of Pension Liability</w:t>
      </w:r>
    </w:p>
    <w:p w:rsidRPr="0025175E" w:rsidR="00BE3E6A" w:rsidP="0014104A" w:rsidRDefault="00BE3E6A" w14:paraId="6070BB6F" w14:textId="77777777">
      <w:pPr>
        <w:jc w:val="both"/>
      </w:pPr>
      <w:r w:rsidRPr="0025175E">
        <w:t>Changes to the pension liability made to reflect the return on plan assets and because events have not coincided with assumptions made at the last actuarial valuation or because the actuaries have updated their assumptions.</w:t>
      </w:r>
    </w:p>
    <w:p w:rsidRPr="0025175E" w:rsidR="00BB2F71" w:rsidP="0014104A" w:rsidRDefault="00BB2F71" w14:paraId="5FD36B89" w14:textId="77777777">
      <w:pPr>
        <w:jc w:val="both"/>
        <w:rPr>
          <w:b/>
        </w:rPr>
      </w:pPr>
      <w:r w:rsidRPr="0025175E">
        <w:rPr>
          <w:b/>
        </w:rPr>
        <w:t>Reserves</w:t>
      </w:r>
    </w:p>
    <w:p w:rsidRPr="0025175E" w:rsidR="00BB2F71" w:rsidP="0014104A" w:rsidRDefault="00BB2F71" w14:paraId="4CD15B48" w14:textId="7A161B7F">
      <w:pPr>
        <w:jc w:val="both"/>
      </w:pPr>
      <w:r w:rsidRPr="0025175E">
        <w:t xml:space="preserve">The accumulation of surpluses, deficits and appropriations over past years.  Reserves of a revenue nature are available can be spent or earmarked at the discretion of </w:t>
      </w:r>
      <w:r w:rsidRPr="006A70E1" w:rsidR="00AE1CBD">
        <w:rPr>
          <w:rFonts w:cs="Arial"/>
        </w:rPr>
        <w:t>VVC</w:t>
      </w:r>
      <w:r w:rsidRPr="0025175E">
        <w:t>.</w:t>
      </w:r>
    </w:p>
    <w:p w:rsidRPr="0025175E" w:rsidR="00BB2F71" w:rsidP="0014104A" w:rsidRDefault="00BB2F71" w14:paraId="16A7C44E" w14:textId="77777777">
      <w:pPr>
        <w:jc w:val="both"/>
        <w:rPr>
          <w:b/>
        </w:rPr>
      </w:pPr>
      <w:r w:rsidRPr="0025175E">
        <w:rPr>
          <w:b/>
        </w:rPr>
        <w:lastRenderedPageBreak/>
        <w:t>Residual Value</w:t>
      </w:r>
    </w:p>
    <w:p w:rsidRPr="0025175E" w:rsidR="00BB2F71" w:rsidP="0014104A" w:rsidRDefault="00BB2F71" w14:paraId="3D22B46F" w14:textId="77777777">
      <w:pPr>
        <w:jc w:val="both"/>
      </w:pPr>
      <w:r w:rsidRPr="0025175E">
        <w:t>The net realisable value of an asset at the end of its useful life.</w:t>
      </w:r>
    </w:p>
    <w:p w:rsidRPr="0025175E" w:rsidR="00BB2F71" w:rsidP="0014104A" w:rsidRDefault="00BB2F71" w14:paraId="7770E6D4" w14:textId="77777777">
      <w:pPr>
        <w:jc w:val="both"/>
        <w:rPr>
          <w:b/>
        </w:rPr>
      </w:pPr>
      <w:r w:rsidRPr="0025175E">
        <w:rPr>
          <w:b/>
        </w:rPr>
        <w:t>Useful Economic Life (UEL)</w:t>
      </w:r>
    </w:p>
    <w:p w:rsidRPr="0025175E" w:rsidR="00BB2F71" w:rsidP="0014104A" w:rsidRDefault="00BB2F71" w14:paraId="4154516B" w14:textId="1258F75B">
      <w:pPr>
        <w:jc w:val="both"/>
      </w:pPr>
      <w:r w:rsidRPr="0025175E">
        <w:t xml:space="preserve">The period over which </w:t>
      </w:r>
      <w:r w:rsidRPr="006A70E1" w:rsidR="00DF758E">
        <w:rPr>
          <w:rFonts w:cs="Arial"/>
        </w:rPr>
        <w:t xml:space="preserve">VVC </w:t>
      </w:r>
      <w:r w:rsidRPr="0025175E">
        <w:t>will derive benefits form the use of a non-current asset.</w:t>
      </w:r>
    </w:p>
    <w:p w:rsidRPr="00614894" w:rsidR="00BB2F71" w:rsidP="0014104A" w:rsidRDefault="00BB2F71" w14:paraId="5AC46031" w14:textId="77777777">
      <w:pPr>
        <w:jc w:val="both"/>
        <w:rPr>
          <w:highlight w:val="yellow"/>
        </w:rPr>
      </w:pPr>
    </w:p>
    <w:p w:rsidRPr="00614894" w:rsidR="00BB2F71" w:rsidP="0014104A" w:rsidRDefault="00BB2F71" w14:paraId="3AAB2E57" w14:textId="77777777">
      <w:pPr>
        <w:jc w:val="both"/>
        <w:rPr>
          <w:highlight w:val="yellow"/>
        </w:rPr>
      </w:pPr>
    </w:p>
    <w:p w:rsidRPr="00614894" w:rsidR="00BB2F71" w:rsidP="0014104A" w:rsidRDefault="00BB2F71" w14:paraId="541D80B8" w14:textId="77777777">
      <w:pPr>
        <w:jc w:val="both"/>
        <w:rPr>
          <w:highlight w:val="yellow"/>
        </w:rPr>
      </w:pPr>
    </w:p>
    <w:p w:rsidRPr="00614894" w:rsidR="00CB34A2" w:rsidP="0014104A" w:rsidRDefault="00CB34A2" w14:paraId="0ADFE6C4" w14:textId="77777777">
      <w:pPr>
        <w:jc w:val="both"/>
        <w:rPr>
          <w:highlight w:val="yellow"/>
        </w:rPr>
      </w:pPr>
    </w:p>
    <w:p w:rsidRPr="00614894" w:rsidR="00481928" w:rsidP="00C35937" w:rsidRDefault="00481928" w14:paraId="4AA4B176" w14:textId="77777777">
      <w:pPr>
        <w:rPr>
          <w:highlight w:val="yellow"/>
        </w:rPr>
      </w:pPr>
    </w:p>
    <w:p w:rsidRPr="00614894" w:rsidR="00882B62" w:rsidP="00C35937" w:rsidRDefault="00882B62" w14:paraId="2B38E7EA" w14:textId="77777777">
      <w:pPr>
        <w:rPr>
          <w:highlight w:val="yellow"/>
        </w:rPr>
      </w:pPr>
    </w:p>
    <w:p w:rsidRPr="00614894" w:rsidR="00C069A1" w:rsidP="00C35937" w:rsidRDefault="00C069A1" w14:paraId="4125D300" w14:textId="77777777">
      <w:pPr>
        <w:rPr>
          <w:highlight w:val="yellow"/>
        </w:rPr>
      </w:pPr>
    </w:p>
    <w:p w:rsidRPr="00614894" w:rsidR="00C069A1" w:rsidP="00C35937" w:rsidRDefault="00C069A1" w14:paraId="631C7C6B" w14:textId="77777777">
      <w:pPr>
        <w:rPr>
          <w:highlight w:val="yellow"/>
        </w:rPr>
      </w:pPr>
    </w:p>
    <w:p w:rsidRPr="00614894" w:rsidR="00551B0C" w:rsidP="00C35937" w:rsidRDefault="00551B0C" w14:paraId="56DDF168" w14:textId="77777777">
      <w:pPr>
        <w:rPr>
          <w:highlight w:val="yellow"/>
        </w:rPr>
      </w:pPr>
    </w:p>
    <w:p w:rsidRPr="00614894" w:rsidR="00551B0C" w:rsidP="00C35937" w:rsidRDefault="00551B0C" w14:paraId="1B830923" w14:textId="77777777">
      <w:pPr>
        <w:rPr>
          <w:highlight w:val="yellow"/>
        </w:rPr>
      </w:pPr>
    </w:p>
    <w:p w:rsidR="00551B0C" w:rsidP="00C35937" w:rsidRDefault="00551B0C" w14:paraId="0D023BD7" w14:textId="5781DA3F">
      <w:pPr>
        <w:rPr>
          <w:highlight w:val="yellow"/>
        </w:rPr>
      </w:pPr>
    </w:p>
    <w:p w:rsidR="004C5D94" w:rsidP="00C35937" w:rsidRDefault="004C5D94" w14:paraId="2B9E95E7" w14:textId="7DE991C9">
      <w:pPr>
        <w:rPr>
          <w:highlight w:val="yellow"/>
        </w:rPr>
      </w:pPr>
    </w:p>
    <w:p w:rsidRPr="00614894" w:rsidR="004C5D94" w:rsidP="00C35937" w:rsidRDefault="004C5D94" w14:paraId="048AC82E" w14:textId="77777777">
      <w:pPr>
        <w:rPr>
          <w:highlight w:val="yellow"/>
        </w:rPr>
      </w:pPr>
    </w:p>
    <w:p w:rsidRPr="00614894" w:rsidR="00505AAE" w:rsidRDefault="00505AAE" w14:paraId="29BE5C75" w14:textId="77777777">
      <w:pPr>
        <w:rPr>
          <w:highlight w:val="yellow"/>
        </w:rPr>
      </w:pPr>
    </w:p>
    <w:p w:rsidR="00505AAE" w:rsidRDefault="00505AAE" w14:paraId="06EDB492" w14:textId="3511072E">
      <w:pPr>
        <w:rPr>
          <w:highlight w:val="yellow"/>
        </w:rPr>
      </w:pPr>
    </w:p>
    <w:p w:rsidR="00B0797F" w:rsidRDefault="00B0797F" w14:paraId="694D34B8" w14:textId="51EC5BD9">
      <w:pPr>
        <w:rPr>
          <w:highlight w:val="yellow"/>
        </w:rPr>
      </w:pPr>
    </w:p>
    <w:p w:rsidRPr="00614894" w:rsidR="00B0797F" w:rsidRDefault="00B0797F" w14:paraId="738C67F9" w14:textId="77777777">
      <w:pPr>
        <w:rPr>
          <w:highlight w:val="yellow"/>
        </w:rPr>
      </w:pPr>
    </w:p>
    <w:p w:rsidR="003371DF" w:rsidRDefault="003371DF" w14:paraId="06033D92" w14:textId="6E1811A5"/>
    <w:p w:rsidR="0028321B" w:rsidRDefault="0028321B" w14:paraId="2C69E5CC" w14:textId="75A18A83"/>
    <w:p w:rsidR="0028321B" w:rsidRDefault="0028321B" w14:paraId="514BC7C3" w14:textId="633B6D90"/>
    <w:p w:rsidR="0028321B" w:rsidRDefault="0028321B" w14:paraId="79E71276" w14:textId="30BC4150"/>
    <w:p w:rsidR="0028321B" w:rsidRDefault="0028321B" w14:paraId="41226B0F" w14:textId="607205D9"/>
    <w:p w:rsidR="0028321B" w:rsidRDefault="0028321B" w14:paraId="11574926" w14:textId="5C9DFF2F"/>
    <w:p w:rsidR="0028321B" w:rsidRDefault="0028321B" w14:paraId="345399BF" w14:textId="063E0EE7"/>
    <w:p w:rsidR="0028321B" w:rsidRDefault="0028321B" w14:paraId="5658DBC6" w14:textId="29F4185E"/>
    <w:p w:rsidR="00004436" w:rsidP="0028321B" w:rsidRDefault="00004436" w14:paraId="354469DC" w14:textId="77777777">
      <w:pPr>
        <w:pStyle w:val="Heading1"/>
        <w:spacing w:before="63" w:line="424" w:lineRule="auto"/>
        <w:ind w:right="4156"/>
      </w:pPr>
      <w:bookmarkStart w:name="VALE_OF_GLAMORGAN_COUNCIL" w:id="48"/>
      <w:bookmarkStart w:name="_Toc158193771" w:id="49"/>
      <w:bookmarkEnd w:id="48"/>
      <w:r>
        <w:lastRenderedPageBreak/>
        <w:t>Annual Governance Statement</w:t>
      </w:r>
      <w:bookmarkEnd w:id="49"/>
      <w:r>
        <w:t xml:space="preserve"> </w:t>
      </w:r>
      <w:r w:rsidR="0028321B">
        <w:t xml:space="preserve"> </w:t>
      </w:r>
    </w:p>
    <w:p w:rsidR="0028321B" w:rsidP="0028321B" w:rsidRDefault="00004436" w14:paraId="2001BFC4" w14:textId="1C9DE1F9">
      <w:pPr>
        <w:pStyle w:val="Heading1"/>
        <w:spacing w:before="63" w:line="424" w:lineRule="auto"/>
        <w:ind w:right="4156"/>
      </w:pPr>
      <w:bookmarkStart w:name="_Toc158193772" w:id="50"/>
      <w:r>
        <w:t xml:space="preserve">VVC Regional </w:t>
      </w:r>
      <w:r w:rsidR="0028321B">
        <w:t>A</w:t>
      </w:r>
      <w:r>
        <w:t>doption</w:t>
      </w:r>
      <w:r w:rsidR="0028321B">
        <w:t xml:space="preserve"> S</w:t>
      </w:r>
      <w:r>
        <w:t>ervice</w:t>
      </w:r>
      <w:bookmarkEnd w:id="50"/>
      <w:r>
        <w:t xml:space="preserve"> </w:t>
      </w:r>
    </w:p>
    <w:p w:rsidR="0028321B" w:rsidP="00004436" w:rsidRDefault="0028321B" w14:paraId="7E26748D" w14:textId="77777777">
      <w:pPr>
        <w:spacing w:line="320" w:lineRule="exact"/>
        <w:rPr>
          <w:b/>
          <w:sz w:val="28"/>
        </w:rPr>
      </w:pPr>
      <w:bookmarkStart w:name="Annual_Governance_Statement_2022/23" w:id="51"/>
      <w:bookmarkEnd w:id="51"/>
      <w:r>
        <w:rPr>
          <w:b/>
          <w:sz w:val="28"/>
        </w:rPr>
        <w:t>Annual Governance Statement 2022/23</w:t>
      </w:r>
    </w:p>
    <w:p w:rsidRPr="0028321B" w:rsidR="0028321B" w:rsidP="0028321B" w:rsidRDefault="0028321B" w14:paraId="245247D3" w14:textId="77777777">
      <w:pPr>
        <w:pStyle w:val="BodyText"/>
        <w:spacing w:before="120"/>
        <w:ind w:left="140" w:right="137"/>
        <w:jc w:val="both"/>
        <w:rPr>
          <w:sz w:val="22"/>
          <w:szCs w:val="22"/>
        </w:rPr>
      </w:pPr>
      <w:r w:rsidRPr="0028321B">
        <w:rPr>
          <w:sz w:val="22"/>
          <w:szCs w:val="22"/>
        </w:rPr>
        <w:t>Vale, Valleys &amp; Cardiff Adoption Collaborative (VVC) was established on 1 June 2015. VVC is one of five regional Collaboratives which form part of the National Adoption Service in Wales.</w:t>
      </w:r>
      <w:r w:rsidRPr="0028321B">
        <w:rPr>
          <w:spacing w:val="-6"/>
          <w:sz w:val="22"/>
          <w:szCs w:val="22"/>
        </w:rPr>
        <w:t xml:space="preserve"> </w:t>
      </w:r>
      <w:r w:rsidRPr="0028321B">
        <w:rPr>
          <w:sz w:val="22"/>
          <w:szCs w:val="22"/>
        </w:rPr>
        <w:t>VVC</w:t>
      </w:r>
      <w:r w:rsidRPr="0028321B">
        <w:rPr>
          <w:spacing w:val="-7"/>
          <w:sz w:val="22"/>
          <w:szCs w:val="22"/>
        </w:rPr>
        <w:t xml:space="preserve"> </w:t>
      </w:r>
      <w:r w:rsidRPr="0028321B">
        <w:rPr>
          <w:sz w:val="22"/>
          <w:szCs w:val="22"/>
        </w:rPr>
        <w:t>provides</w:t>
      </w:r>
      <w:r w:rsidRPr="0028321B">
        <w:rPr>
          <w:spacing w:val="-7"/>
          <w:sz w:val="22"/>
          <w:szCs w:val="22"/>
        </w:rPr>
        <w:t xml:space="preserve"> </w:t>
      </w:r>
      <w:r w:rsidRPr="0028321B">
        <w:rPr>
          <w:sz w:val="22"/>
          <w:szCs w:val="22"/>
        </w:rPr>
        <w:t>an</w:t>
      </w:r>
      <w:r w:rsidRPr="0028321B">
        <w:rPr>
          <w:spacing w:val="-9"/>
          <w:sz w:val="22"/>
          <w:szCs w:val="22"/>
        </w:rPr>
        <w:t xml:space="preserve"> </w:t>
      </w:r>
      <w:r w:rsidRPr="0028321B">
        <w:rPr>
          <w:sz w:val="22"/>
          <w:szCs w:val="22"/>
        </w:rPr>
        <w:t>adoption</w:t>
      </w:r>
      <w:r w:rsidRPr="0028321B">
        <w:rPr>
          <w:spacing w:val="-6"/>
          <w:sz w:val="22"/>
          <w:szCs w:val="22"/>
        </w:rPr>
        <w:t xml:space="preserve"> </w:t>
      </w:r>
      <w:r w:rsidRPr="0028321B">
        <w:rPr>
          <w:sz w:val="22"/>
          <w:szCs w:val="22"/>
        </w:rPr>
        <w:t>service</w:t>
      </w:r>
      <w:r w:rsidRPr="0028321B">
        <w:rPr>
          <w:spacing w:val="-10"/>
          <w:sz w:val="22"/>
          <w:szCs w:val="22"/>
        </w:rPr>
        <w:t xml:space="preserve"> </w:t>
      </w:r>
      <w:r w:rsidRPr="0028321B">
        <w:rPr>
          <w:sz w:val="22"/>
          <w:szCs w:val="22"/>
        </w:rPr>
        <w:t>on</w:t>
      </w:r>
      <w:r w:rsidRPr="0028321B">
        <w:rPr>
          <w:spacing w:val="-6"/>
          <w:sz w:val="22"/>
          <w:szCs w:val="22"/>
        </w:rPr>
        <w:t xml:space="preserve"> </w:t>
      </w:r>
      <w:r w:rsidRPr="0028321B">
        <w:rPr>
          <w:sz w:val="22"/>
          <w:szCs w:val="22"/>
        </w:rPr>
        <w:t>behalf</w:t>
      </w:r>
      <w:r w:rsidRPr="0028321B">
        <w:rPr>
          <w:spacing w:val="-5"/>
          <w:sz w:val="22"/>
          <w:szCs w:val="22"/>
        </w:rPr>
        <w:t xml:space="preserve"> </w:t>
      </w:r>
      <w:r w:rsidRPr="0028321B">
        <w:rPr>
          <w:sz w:val="22"/>
          <w:szCs w:val="22"/>
        </w:rPr>
        <w:t>of</w:t>
      </w:r>
      <w:r w:rsidRPr="0028321B">
        <w:rPr>
          <w:spacing w:val="-8"/>
          <w:sz w:val="22"/>
          <w:szCs w:val="22"/>
        </w:rPr>
        <w:t xml:space="preserve"> </w:t>
      </w:r>
      <w:r w:rsidRPr="0028321B">
        <w:rPr>
          <w:sz w:val="22"/>
          <w:szCs w:val="22"/>
        </w:rPr>
        <w:t>the</w:t>
      </w:r>
      <w:r w:rsidRPr="0028321B">
        <w:rPr>
          <w:spacing w:val="-6"/>
          <w:sz w:val="22"/>
          <w:szCs w:val="22"/>
        </w:rPr>
        <w:t xml:space="preserve"> </w:t>
      </w:r>
      <w:r w:rsidRPr="0028321B">
        <w:rPr>
          <w:sz w:val="22"/>
          <w:szCs w:val="22"/>
        </w:rPr>
        <w:t>Vale</w:t>
      </w:r>
      <w:r w:rsidRPr="0028321B">
        <w:rPr>
          <w:spacing w:val="-7"/>
          <w:sz w:val="22"/>
          <w:szCs w:val="22"/>
        </w:rPr>
        <w:t xml:space="preserve"> </w:t>
      </w:r>
      <w:r w:rsidRPr="0028321B">
        <w:rPr>
          <w:sz w:val="22"/>
          <w:szCs w:val="22"/>
        </w:rPr>
        <w:t>of</w:t>
      </w:r>
      <w:r w:rsidRPr="0028321B">
        <w:rPr>
          <w:spacing w:val="-7"/>
          <w:sz w:val="22"/>
          <w:szCs w:val="22"/>
        </w:rPr>
        <w:t xml:space="preserve"> </w:t>
      </w:r>
      <w:r w:rsidRPr="0028321B">
        <w:rPr>
          <w:sz w:val="22"/>
          <w:szCs w:val="22"/>
        </w:rPr>
        <w:t>Glamorgan</w:t>
      </w:r>
      <w:r w:rsidRPr="0028321B">
        <w:rPr>
          <w:spacing w:val="-6"/>
          <w:sz w:val="22"/>
          <w:szCs w:val="22"/>
        </w:rPr>
        <w:t xml:space="preserve"> </w:t>
      </w:r>
      <w:r w:rsidRPr="0028321B">
        <w:rPr>
          <w:sz w:val="22"/>
          <w:szCs w:val="22"/>
        </w:rPr>
        <w:t>Council,</w:t>
      </w:r>
      <w:r w:rsidRPr="0028321B">
        <w:rPr>
          <w:spacing w:val="-6"/>
          <w:sz w:val="22"/>
          <w:szCs w:val="22"/>
        </w:rPr>
        <w:t xml:space="preserve"> </w:t>
      </w:r>
      <w:r w:rsidRPr="0028321B">
        <w:rPr>
          <w:sz w:val="22"/>
          <w:szCs w:val="22"/>
        </w:rPr>
        <w:t>Cardiff Council, Merthyr Tydfil County Borough Council and Rhondda Cynon Taff County Borough Council.</w:t>
      </w:r>
    </w:p>
    <w:p w:rsidRPr="0028321B" w:rsidR="0028321B" w:rsidP="0028321B" w:rsidRDefault="0028321B" w14:paraId="039A3436" w14:textId="77777777">
      <w:pPr>
        <w:pStyle w:val="BodyText"/>
        <w:spacing w:before="1"/>
        <w:rPr>
          <w:sz w:val="22"/>
          <w:szCs w:val="22"/>
        </w:rPr>
      </w:pPr>
    </w:p>
    <w:p w:rsidRPr="0028321B" w:rsidR="0028321B" w:rsidP="0028321B" w:rsidRDefault="0028321B" w14:paraId="4DD1A4D4" w14:textId="77777777">
      <w:pPr>
        <w:pStyle w:val="BodyText"/>
        <w:ind w:left="140" w:right="136"/>
        <w:jc w:val="both"/>
        <w:rPr>
          <w:sz w:val="22"/>
          <w:szCs w:val="22"/>
        </w:rPr>
      </w:pPr>
      <w:r w:rsidRPr="0028321B">
        <w:rPr>
          <w:sz w:val="22"/>
          <w:szCs w:val="22"/>
        </w:rPr>
        <w:t>The statutory basis and regional footprint for the Collaborative is set out in the Adoption &amp; Children Act 2002 (Joint Adoption Arrangements (Wales) Directions 2015.</w:t>
      </w:r>
    </w:p>
    <w:p w:rsidR="0028321B" w:rsidP="0028321B" w:rsidRDefault="0028321B" w14:paraId="7EAD2F1B" w14:textId="77777777">
      <w:pPr>
        <w:pStyle w:val="BodyText"/>
      </w:pPr>
    </w:p>
    <w:p w:rsidR="0028321B" w:rsidP="0028321B" w:rsidRDefault="0028321B" w14:paraId="54F513B2" w14:textId="77777777">
      <w:pPr>
        <w:pStyle w:val="Heading2"/>
        <w:numPr>
          <w:ilvl w:val="0"/>
          <w:numId w:val="0"/>
        </w:numPr>
      </w:pPr>
      <w:r>
        <w:t>Scope of Responsibility</w:t>
      </w:r>
    </w:p>
    <w:p w:rsidRPr="0028321B" w:rsidR="0028321B" w:rsidP="0028321B" w:rsidRDefault="0028321B" w14:paraId="59017B4A" w14:textId="77777777">
      <w:pPr>
        <w:pStyle w:val="BodyText"/>
        <w:rPr>
          <w:b/>
          <w:sz w:val="22"/>
          <w:szCs w:val="22"/>
        </w:rPr>
      </w:pPr>
    </w:p>
    <w:p w:rsidR="0028321B" w:rsidP="0028321B" w:rsidRDefault="0028321B" w14:paraId="28E3A7BE" w14:textId="0C843FC2">
      <w:pPr>
        <w:pStyle w:val="BodyText"/>
        <w:ind w:left="140" w:right="139"/>
        <w:jc w:val="both"/>
        <w:rPr>
          <w:sz w:val="22"/>
          <w:szCs w:val="22"/>
        </w:rPr>
      </w:pPr>
      <w:r w:rsidRPr="0028321B">
        <w:rPr>
          <w:sz w:val="22"/>
          <w:szCs w:val="22"/>
        </w:rPr>
        <w:t>The duty to provide a comprehensive adoption service is contained in a range of primary legislation and regulation. Schedule 7 of VVC’s Collaborative Agreement details the adoption functions</w:t>
      </w:r>
      <w:r w:rsidRPr="0028321B">
        <w:rPr>
          <w:spacing w:val="-8"/>
          <w:sz w:val="22"/>
          <w:szCs w:val="22"/>
        </w:rPr>
        <w:t xml:space="preserve"> </w:t>
      </w:r>
      <w:r w:rsidRPr="0028321B">
        <w:rPr>
          <w:sz w:val="22"/>
          <w:szCs w:val="22"/>
        </w:rPr>
        <w:t>which</w:t>
      </w:r>
      <w:r w:rsidRPr="0028321B">
        <w:rPr>
          <w:spacing w:val="-11"/>
          <w:sz w:val="22"/>
          <w:szCs w:val="22"/>
        </w:rPr>
        <w:t xml:space="preserve"> </w:t>
      </w:r>
      <w:r w:rsidRPr="0028321B">
        <w:rPr>
          <w:sz w:val="22"/>
          <w:szCs w:val="22"/>
        </w:rPr>
        <w:t>are</w:t>
      </w:r>
      <w:r w:rsidRPr="0028321B">
        <w:rPr>
          <w:spacing w:val="-9"/>
          <w:sz w:val="22"/>
          <w:szCs w:val="22"/>
        </w:rPr>
        <w:t xml:space="preserve"> </w:t>
      </w:r>
      <w:r w:rsidRPr="0028321B">
        <w:rPr>
          <w:sz w:val="22"/>
          <w:szCs w:val="22"/>
        </w:rPr>
        <w:t>delegated</w:t>
      </w:r>
      <w:r w:rsidRPr="0028321B">
        <w:rPr>
          <w:spacing w:val="-11"/>
          <w:sz w:val="22"/>
          <w:szCs w:val="22"/>
        </w:rPr>
        <w:t xml:space="preserve"> </w:t>
      </w:r>
      <w:r w:rsidRPr="0028321B">
        <w:rPr>
          <w:sz w:val="22"/>
          <w:szCs w:val="22"/>
        </w:rPr>
        <w:t>to</w:t>
      </w:r>
      <w:r w:rsidRPr="0028321B">
        <w:rPr>
          <w:spacing w:val="-9"/>
          <w:sz w:val="22"/>
          <w:szCs w:val="22"/>
        </w:rPr>
        <w:t xml:space="preserve"> </w:t>
      </w:r>
      <w:r w:rsidRPr="0028321B">
        <w:rPr>
          <w:sz w:val="22"/>
          <w:szCs w:val="22"/>
        </w:rPr>
        <w:t>VVC</w:t>
      </w:r>
      <w:r w:rsidRPr="0028321B">
        <w:rPr>
          <w:spacing w:val="-8"/>
          <w:sz w:val="22"/>
          <w:szCs w:val="22"/>
        </w:rPr>
        <w:t xml:space="preserve"> </w:t>
      </w:r>
      <w:r w:rsidRPr="0028321B">
        <w:rPr>
          <w:sz w:val="22"/>
          <w:szCs w:val="22"/>
        </w:rPr>
        <w:t>and</w:t>
      </w:r>
      <w:r w:rsidRPr="0028321B">
        <w:rPr>
          <w:spacing w:val="-11"/>
          <w:sz w:val="22"/>
          <w:szCs w:val="22"/>
        </w:rPr>
        <w:t xml:space="preserve"> </w:t>
      </w:r>
      <w:r w:rsidRPr="0028321B">
        <w:rPr>
          <w:sz w:val="22"/>
          <w:szCs w:val="22"/>
        </w:rPr>
        <w:t>those</w:t>
      </w:r>
      <w:r w:rsidRPr="0028321B">
        <w:rPr>
          <w:spacing w:val="-14"/>
          <w:sz w:val="22"/>
          <w:szCs w:val="22"/>
        </w:rPr>
        <w:t xml:space="preserve"> </w:t>
      </w:r>
      <w:r w:rsidRPr="0028321B">
        <w:rPr>
          <w:sz w:val="22"/>
          <w:szCs w:val="22"/>
        </w:rPr>
        <w:t>which</w:t>
      </w:r>
      <w:r w:rsidRPr="0028321B">
        <w:rPr>
          <w:spacing w:val="-9"/>
          <w:sz w:val="22"/>
          <w:szCs w:val="22"/>
        </w:rPr>
        <w:t xml:space="preserve"> </w:t>
      </w:r>
      <w:r w:rsidRPr="0028321B">
        <w:rPr>
          <w:sz w:val="22"/>
          <w:szCs w:val="22"/>
        </w:rPr>
        <w:t>remain</w:t>
      </w:r>
      <w:r w:rsidRPr="0028321B">
        <w:rPr>
          <w:spacing w:val="-11"/>
          <w:sz w:val="22"/>
          <w:szCs w:val="22"/>
        </w:rPr>
        <w:t xml:space="preserve"> </w:t>
      </w:r>
      <w:r w:rsidRPr="0028321B">
        <w:rPr>
          <w:sz w:val="22"/>
          <w:szCs w:val="22"/>
        </w:rPr>
        <w:t>the</w:t>
      </w:r>
      <w:r w:rsidRPr="0028321B">
        <w:rPr>
          <w:spacing w:val="-10"/>
          <w:sz w:val="22"/>
          <w:szCs w:val="22"/>
        </w:rPr>
        <w:t xml:space="preserve"> </w:t>
      </w:r>
      <w:r w:rsidRPr="0028321B">
        <w:rPr>
          <w:sz w:val="22"/>
          <w:szCs w:val="22"/>
        </w:rPr>
        <w:t>responsibility</w:t>
      </w:r>
      <w:r w:rsidRPr="0028321B">
        <w:rPr>
          <w:spacing w:val="-8"/>
          <w:sz w:val="22"/>
          <w:szCs w:val="22"/>
        </w:rPr>
        <w:t xml:space="preserve"> </w:t>
      </w:r>
      <w:r w:rsidRPr="0028321B">
        <w:rPr>
          <w:sz w:val="22"/>
          <w:szCs w:val="22"/>
        </w:rPr>
        <w:t>of</w:t>
      </w:r>
      <w:r w:rsidRPr="0028321B">
        <w:rPr>
          <w:spacing w:val="-7"/>
          <w:sz w:val="22"/>
          <w:szCs w:val="22"/>
        </w:rPr>
        <w:t xml:space="preserve"> </w:t>
      </w:r>
      <w:r w:rsidRPr="0028321B">
        <w:rPr>
          <w:sz w:val="22"/>
          <w:szCs w:val="22"/>
        </w:rPr>
        <w:t>the</w:t>
      </w:r>
      <w:r w:rsidRPr="0028321B">
        <w:rPr>
          <w:spacing w:val="-11"/>
          <w:sz w:val="22"/>
          <w:szCs w:val="22"/>
        </w:rPr>
        <w:t xml:space="preserve"> </w:t>
      </w:r>
      <w:r w:rsidRPr="0028321B">
        <w:rPr>
          <w:sz w:val="22"/>
          <w:szCs w:val="22"/>
        </w:rPr>
        <w:t>partner authorities.</w:t>
      </w:r>
    </w:p>
    <w:p w:rsidR="0028321B" w:rsidP="0028321B" w:rsidRDefault="0028321B" w14:paraId="488EB6AA" w14:textId="587362C6">
      <w:pPr>
        <w:pStyle w:val="BodyText"/>
        <w:ind w:left="140" w:right="139"/>
        <w:jc w:val="both"/>
        <w:rPr>
          <w:sz w:val="22"/>
          <w:szCs w:val="22"/>
        </w:rPr>
      </w:pPr>
    </w:p>
    <w:p w:rsidRPr="0028321B" w:rsidR="0028321B" w:rsidP="0028321B" w:rsidRDefault="0028321B" w14:paraId="7F504B72" w14:textId="24FE58D2">
      <w:pPr>
        <w:pStyle w:val="Heading2"/>
        <w:numPr>
          <w:ilvl w:val="0"/>
          <w:numId w:val="0"/>
        </w:numPr>
      </w:pPr>
      <w:r>
        <w:t>The Governance Framework</w:t>
      </w:r>
    </w:p>
    <w:p w:rsidRPr="0028321B" w:rsidR="0028321B" w:rsidP="0028321B" w:rsidRDefault="0028321B" w14:paraId="08C1C2E9" w14:textId="5104C872">
      <w:pPr>
        <w:pStyle w:val="Heading2"/>
        <w:numPr>
          <w:ilvl w:val="0"/>
          <w:numId w:val="0"/>
        </w:numPr>
      </w:pPr>
      <w:r>
        <w:t xml:space="preserve">Collaborative Agreement </w:t>
      </w:r>
    </w:p>
    <w:p w:rsidRPr="0028321B" w:rsidR="0028321B" w:rsidP="0028321B" w:rsidRDefault="0028321B" w14:paraId="29C867E9" w14:textId="77777777">
      <w:pPr>
        <w:pStyle w:val="BodyText"/>
        <w:ind w:left="140" w:right="138"/>
        <w:jc w:val="both"/>
        <w:rPr>
          <w:sz w:val="22"/>
          <w:szCs w:val="22"/>
        </w:rPr>
      </w:pPr>
      <w:r w:rsidRPr="0028321B">
        <w:rPr>
          <w:sz w:val="22"/>
          <w:szCs w:val="22"/>
        </w:rPr>
        <w:t>On 1</w:t>
      </w:r>
      <w:proofErr w:type="spellStart"/>
      <w:r w:rsidRPr="0028321B">
        <w:rPr>
          <w:position w:val="8"/>
          <w:sz w:val="22"/>
          <w:szCs w:val="22"/>
        </w:rPr>
        <w:t>st</w:t>
      </w:r>
      <w:proofErr w:type="spellEnd"/>
      <w:r w:rsidRPr="0028321B">
        <w:rPr>
          <w:position w:val="8"/>
          <w:sz w:val="22"/>
          <w:szCs w:val="22"/>
        </w:rPr>
        <w:t xml:space="preserve"> </w:t>
      </w:r>
      <w:r w:rsidRPr="0028321B">
        <w:rPr>
          <w:sz w:val="22"/>
          <w:szCs w:val="22"/>
        </w:rPr>
        <w:t>June 2015 all parties formally signed the Collaborative Agreement which provides the governance framework within which the service operates and specifies the areas of responsibility and accountability.</w:t>
      </w:r>
    </w:p>
    <w:p w:rsidRPr="0028321B" w:rsidR="0028321B" w:rsidP="0028321B" w:rsidRDefault="0028321B" w14:paraId="08472838" w14:textId="77777777">
      <w:pPr>
        <w:pStyle w:val="BodyText"/>
        <w:spacing w:before="6"/>
        <w:rPr>
          <w:sz w:val="22"/>
          <w:szCs w:val="22"/>
        </w:rPr>
      </w:pPr>
    </w:p>
    <w:p w:rsidRPr="0028321B" w:rsidR="0028321B" w:rsidP="0028321B" w:rsidRDefault="0028321B" w14:paraId="2CDEA644" w14:textId="77777777">
      <w:pPr>
        <w:pStyle w:val="BodyText"/>
        <w:ind w:left="140" w:right="134"/>
        <w:jc w:val="both"/>
        <w:rPr>
          <w:sz w:val="22"/>
          <w:szCs w:val="22"/>
        </w:rPr>
      </w:pPr>
      <w:r w:rsidRPr="0028321B">
        <w:rPr>
          <w:sz w:val="22"/>
          <w:szCs w:val="22"/>
        </w:rPr>
        <w:t>The</w:t>
      </w:r>
      <w:r w:rsidRPr="0028321B">
        <w:rPr>
          <w:spacing w:val="-7"/>
          <w:sz w:val="22"/>
          <w:szCs w:val="22"/>
        </w:rPr>
        <w:t xml:space="preserve"> </w:t>
      </w:r>
      <w:r w:rsidRPr="0028321B">
        <w:rPr>
          <w:sz w:val="22"/>
          <w:szCs w:val="22"/>
        </w:rPr>
        <w:t>Collaborative</w:t>
      </w:r>
      <w:r w:rsidRPr="0028321B">
        <w:rPr>
          <w:spacing w:val="-9"/>
          <w:sz w:val="22"/>
          <w:szCs w:val="22"/>
        </w:rPr>
        <w:t xml:space="preserve"> </w:t>
      </w:r>
      <w:r w:rsidRPr="0028321B">
        <w:rPr>
          <w:sz w:val="22"/>
          <w:szCs w:val="22"/>
        </w:rPr>
        <w:t>Agreement</w:t>
      </w:r>
      <w:r w:rsidRPr="0028321B">
        <w:rPr>
          <w:spacing w:val="-7"/>
          <w:sz w:val="22"/>
          <w:szCs w:val="22"/>
        </w:rPr>
        <w:t xml:space="preserve"> </w:t>
      </w:r>
      <w:r w:rsidRPr="0028321B">
        <w:rPr>
          <w:sz w:val="22"/>
          <w:szCs w:val="22"/>
        </w:rPr>
        <w:t>which</w:t>
      </w:r>
      <w:r w:rsidRPr="0028321B">
        <w:rPr>
          <w:spacing w:val="-9"/>
          <w:sz w:val="22"/>
          <w:szCs w:val="22"/>
        </w:rPr>
        <w:t xml:space="preserve"> </w:t>
      </w:r>
      <w:r w:rsidRPr="0028321B">
        <w:rPr>
          <w:sz w:val="22"/>
          <w:szCs w:val="22"/>
        </w:rPr>
        <w:t>has</w:t>
      </w:r>
      <w:r w:rsidRPr="0028321B">
        <w:rPr>
          <w:spacing w:val="-8"/>
          <w:sz w:val="22"/>
          <w:szCs w:val="22"/>
        </w:rPr>
        <w:t xml:space="preserve"> </w:t>
      </w:r>
      <w:r w:rsidRPr="0028321B">
        <w:rPr>
          <w:sz w:val="22"/>
          <w:szCs w:val="22"/>
        </w:rPr>
        <w:t>been</w:t>
      </w:r>
      <w:r w:rsidRPr="0028321B">
        <w:rPr>
          <w:spacing w:val="-9"/>
          <w:sz w:val="22"/>
          <w:szCs w:val="22"/>
        </w:rPr>
        <w:t xml:space="preserve"> </w:t>
      </w:r>
      <w:r w:rsidRPr="0028321B">
        <w:rPr>
          <w:sz w:val="22"/>
          <w:szCs w:val="22"/>
        </w:rPr>
        <w:t>in</w:t>
      </w:r>
      <w:r w:rsidRPr="0028321B">
        <w:rPr>
          <w:spacing w:val="-9"/>
          <w:sz w:val="22"/>
          <w:szCs w:val="22"/>
        </w:rPr>
        <w:t xml:space="preserve"> </w:t>
      </w:r>
      <w:r w:rsidRPr="0028321B">
        <w:rPr>
          <w:sz w:val="22"/>
          <w:szCs w:val="22"/>
        </w:rPr>
        <w:t>place</w:t>
      </w:r>
      <w:r w:rsidRPr="0028321B">
        <w:rPr>
          <w:spacing w:val="-5"/>
          <w:sz w:val="22"/>
          <w:szCs w:val="22"/>
        </w:rPr>
        <w:t xml:space="preserve"> </w:t>
      </w:r>
      <w:r w:rsidRPr="0028321B">
        <w:rPr>
          <w:sz w:val="22"/>
          <w:szCs w:val="22"/>
        </w:rPr>
        <w:t>was</w:t>
      </w:r>
      <w:r w:rsidRPr="0028321B">
        <w:rPr>
          <w:spacing w:val="-8"/>
          <w:sz w:val="22"/>
          <w:szCs w:val="22"/>
        </w:rPr>
        <w:t xml:space="preserve"> </w:t>
      </w:r>
      <w:r w:rsidRPr="0028321B">
        <w:rPr>
          <w:sz w:val="22"/>
          <w:szCs w:val="22"/>
        </w:rPr>
        <w:t>varied</w:t>
      </w:r>
      <w:r w:rsidRPr="0028321B">
        <w:rPr>
          <w:spacing w:val="-9"/>
          <w:sz w:val="22"/>
          <w:szCs w:val="22"/>
        </w:rPr>
        <w:t xml:space="preserve"> </w:t>
      </w:r>
      <w:r w:rsidRPr="0028321B">
        <w:rPr>
          <w:sz w:val="22"/>
          <w:szCs w:val="22"/>
        </w:rPr>
        <w:t>in</w:t>
      </w:r>
      <w:r w:rsidRPr="0028321B">
        <w:rPr>
          <w:spacing w:val="-6"/>
          <w:sz w:val="22"/>
          <w:szCs w:val="22"/>
        </w:rPr>
        <w:t xml:space="preserve"> </w:t>
      </w:r>
      <w:r w:rsidRPr="0028321B">
        <w:rPr>
          <w:sz w:val="22"/>
          <w:szCs w:val="22"/>
        </w:rPr>
        <w:t>2019</w:t>
      </w:r>
      <w:r w:rsidRPr="0028321B">
        <w:rPr>
          <w:spacing w:val="-11"/>
          <w:sz w:val="22"/>
          <w:szCs w:val="22"/>
        </w:rPr>
        <w:t xml:space="preserve"> </w:t>
      </w:r>
      <w:r w:rsidRPr="0028321B">
        <w:rPr>
          <w:sz w:val="22"/>
          <w:szCs w:val="22"/>
        </w:rPr>
        <w:t>and</w:t>
      </w:r>
      <w:r w:rsidRPr="0028321B">
        <w:rPr>
          <w:spacing w:val="-6"/>
          <w:sz w:val="22"/>
          <w:szCs w:val="22"/>
        </w:rPr>
        <w:t xml:space="preserve"> </w:t>
      </w:r>
      <w:r w:rsidRPr="0028321B">
        <w:rPr>
          <w:sz w:val="22"/>
          <w:szCs w:val="22"/>
        </w:rPr>
        <w:t>extended</w:t>
      </w:r>
      <w:r w:rsidRPr="0028321B">
        <w:rPr>
          <w:spacing w:val="-9"/>
          <w:sz w:val="22"/>
          <w:szCs w:val="22"/>
        </w:rPr>
        <w:t xml:space="preserve"> </w:t>
      </w:r>
      <w:r w:rsidRPr="0028321B">
        <w:rPr>
          <w:sz w:val="22"/>
          <w:szCs w:val="22"/>
        </w:rPr>
        <w:t>to</w:t>
      </w:r>
      <w:r w:rsidRPr="0028321B">
        <w:rPr>
          <w:spacing w:val="-9"/>
          <w:sz w:val="22"/>
          <w:szCs w:val="22"/>
        </w:rPr>
        <w:t xml:space="preserve"> </w:t>
      </w:r>
      <w:r w:rsidRPr="0028321B">
        <w:rPr>
          <w:sz w:val="22"/>
          <w:szCs w:val="22"/>
        </w:rPr>
        <w:t>31 May 2023. A revised Agreement has been prepared and the amendments agreed by the partner authorities. The authority to enter into the new Agreement is being presented to the Vale of Glamorgan Cabinet on 6 July 2023. It will then be executed by all</w:t>
      </w:r>
      <w:r w:rsidRPr="0028321B">
        <w:rPr>
          <w:spacing w:val="-21"/>
          <w:sz w:val="22"/>
          <w:szCs w:val="22"/>
        </w:rPr>
        <w:t xml:space="preserve"> </w:t>
      </w:r>
      <w:r w:rsidRPr="0028321B">
        <w:rPr>
          <w:sz w:val="22"/>
          <w:szCs w:val="22"/>
        </w:rPr>
        <w:t>parties.</w:t>
      </w:r>
    </w:p>
    <w:p w:rsidRPr="0028321B" w:rsidR="0028321B" w:rsidP="0028321B" w:rsidRDefault="0028321B" w14:paraId="749D41D6" w14:textId="77777777">
      <w:pPr>
        <w:pStyle w:val="BodyText"/>
        <w:rPr>
          <w:sz w:val="22"/>
          <w:szCs w:val="22"/>
        </w:rPr>
      </w:pPr>
    </w:p>
    <w:p w:rsidRPr="0028321B" w:rsidR="0028321B" w:rsidP="0028321B" w:rsidRDefault="0028321B" w14:paraId="4FF3A55A" w14:textId="77777777">
      <w:pPr>
        <w:pStyle w:val="BodyText"/>
        <w:ind w:left="140" w:right="140"/>
        <w:jc w:val="both"/>
        <w:rPr>
          <w:sz w:val="22"/>
          <w:szCs w:val="22"/>
        </w:rPr>
      </w:pPr>
      <w:r w:rsidRPr="0028321B">
        <w:rPr>
          <w:sz w:val="22"/>
          <w:szCs w:val="22"/>
        </w:rPr>
        <w:t>The Collaborative Agreement is a detailed document which sets out the criteria and expectations for a range of matters which include:</w:t>
      </w:r>
    </w:p>
    <w:p w:rsidR="0028321B" w:rsidP="0028321B" w:rsidRDefault="0028321B" w14:paraId="511B5C37" w14:textId="77777777">
      <w:pPr>
        <w:pStyle w:val="BodyText"/>
        <w:spacing w:before="1"/>
      </w:pPr>
    </w:p>
    <w:p w:rsidR="0028321B" w:rsidP="0028321B" w:rsidRDefault="0028321B" w14:paraId="21AD80C0" w14:textId="77777777">
      <w:pPr>
        <w:pStyle w:val="ListParagraph"/>
        <w:widowControl w:val="0"/>
        <w:numPr>
          <w:ilvl w:val="0"/>
          <w:numId w:val="35"/>
        </w:numPr>
        <w:tabs>
          <w:tab w:val="left" w:pos="1940"/>
          <w:tab w:val="left" w:pos="1941"/>
        </w:tabs>
        <w:autoSpaceDE w:val="0"/>
        <w:autoSpaceDN w:val="0"/>
        <w:spacing w:after="0" w:line="269" w:lineRule="exact"/>
        <w:contextualSpacing w:val="0"/>
      </w:pPr>
      <w:r>
        <w:t>The legislative basis</w:t>
      </w:r>
    </w:p>
    <w:p w:rsidR="0028321B" w:rsidP="0028321B" w:rsidRDefault="0028321B" w14:paraId="18310644" w14:textId="77777777">
      <w:pPr>
        <w:pStyle w:val="ListParagraph"/>
        <w:widowControl w:val="0"/>
        <w:numPr>
          <w:ilvl w:val="0"/>
          <w:numId w:val="35"/>
        </w:numPr>
        <w:tabs>
          <w:tab w:val="left" w:pos="1940"/>
          <w:tab w:val="left" w:pos="1941"/>
        </w:tabs>
        <w:autoSpaceDE w:val="0"/>
        <w:autoSpaceDN w:val="0"/>
        <w:spacing w:after="0" w:line="268" w:lineRule="exact"/>
        <w:contextualSpacing w:val="0"/>
      </w:pPr>
      <w:r>
        <w:t>The services</w:t>
      </w:r>
      <w:r>
        <w:rPr>
          <w:spacing w:val="-2"/>
        </w:rPr>
        <w:t xml:space="preserve"> </w:t>
      </w:r>
      <w:r>
        <w:t>provided.</w:t>
      </w:r>
    </w:p>
    <w:p w:rsidR="0028321B" w:rsidP="0028321B" w:rsidRDefault="0028321B" w14:paraId="2BCA213E" w14:textId="77777777">
      <w:pPr>
        <w:pStyle w:val="ListParagraph"/>
        <w:widowControl w:val="0"/>
        <w:numPr>
          <w:ilvl w:val="0"/>
          <w:numId w:val="35"/>
        </w:numPr>
        <w:tabs>
          <w:tab w:val="left" w:pos="1940"/>
          <w:tab w:val="left" w:pos="1941"/>
        </w:tabs>
        <w:autoSpaceDE w:val="0"/>
        <w:autoSpaceDN w:val="0"/>
        <w:spacing w:before="1" w:after="0" w:line="237" w:lineRule="auto"/>
        <w:ind w:right="136"/>
        <w:contextualSpacing w:val="0"/>
      </w:pPr>
      <w:r>
        <w:t>The membership and function of the Joint Committee, Management Board and Operational</w:t>
      </w:r>
      <w:r>
        <w:rPr>
          <w:spacing w:val="-4"/>
        </w:rPr>
        <w:t xml:space="preserve"> </w:t>
      </w:r>
      <w:r>
        <w:t>Group.</w:t>
      </w:r>
    </w:p>
    <w:p w:rsidR="0028321B" w:rsidP="0028321B" w:rsidRDefault="0028321B" w14:paraId="046A0664" w14:textId="77777777">
      <w:pPr>
        <w:pStyle w:val="ListParagraph"/>
        <w:widowControl w:val="0"/>
        <w:numPr>
          <w:ilvl w:val="0"/>
          <w:numId w:val="35"/>
        </w:numPr>
        <w:tabs>
          <w:tab w:val="left" w:pos="1940"/>
          <w:tab w:val="left" w:pos="1941"/>
        </w:tabs>
        <w:autoSpaceDE w:val="0"/>
        <w:autoSpaceDN w:val="0"/>
        <w:spacing w:before="1" w:after="0" w:line="269" w:lineRule="exact"/>
        <w:contextualSpacing w:val="0"/>
      </w:pPr>
      <w:r>
        <w:t>The role and responsibilities of the Regional Adoption</w:t>
      </w:r>
      <w:r>
        <w:rPr>
          <w:spacing w:val="-10"/>
        </w:rPr>
        <w:t xml:space="preserve"> </w:t>
      </w:r>
      <w:r>
        <w:t>Manager.</w:t>
      </w:r>
    </w:p>
    <w:p w:rsidR="0028321B" w:rsidP="0028321B" w:rsidRDefault="0028321B" w14:paraId="7283ED03" w14:textId="77777777">
      <w:pPr>
        <w:pStyle w:val="ListParagraph"/>
        <w:widowControl w:val="0"/>
        <w:numPr>
          <w:ilvl w:val="0"/>
          <w:numId w:val="35"/>
        </w:numPr>
        <w:tabs>
          <w:tab w:val="left" w:pos="1940"/>
          <w:tab w:val="left" w:pos="1941"/>
        </w:tabs>
        <w:autoSpaceDE w:val="0"/>
        <w:autoSpaceDN w:val="0"/>
        <w:spacing w:after="0" w:line="268" w:lineRule="exact"/>
        <w:contextualSpacing w:val="0"/>
      </w:pPr>
      <w:r>
        <w:t>Financial</w:t>
      </w:r>
      <w:r>
        <w:rPr>
          <w:spacing w:val="-1"/>
        </w:rPr>
        <w:t xml:space="preserve"> </w:t>
      </w:r>
      <w:r>
        <w:t>arrangements.</w:t>
      </w:r>
    </w:p>
    <w:p w:rsidR="0028321B" w:rsidP="0028321B" w:rsidRDefault="0028321B" w14:paraId="4A287F41" w14:textId="77777777">
      <w:pPr>
        <w:pStyle w:val="ListParagraph"/>
        <w:widowControl w:val="0"/>
        <w:numPr>
          <w:ilvl w:val="0"/>
          <w:numId w:val="35"/>
        </w:numPr>
        <w:tabs>
          <w:tab w:val="left" w:pos="1940"/>
          <w:tab w:val="left" w:pos="1942"/>
        </w:tabs>
        <w:autoSpaceDE w:val="0"/>
        <w:autoSpaceDN w:val="0"/>
        <w:spacing w:after="0" w:line="268" w:lineRule="exact"/>
        <w:ind w:left="1941" w:hanging="362"/>
        <w:contextualSpacing w:val="0"/>
      </w:pPr>
      <w:r>
        <w:t>Premises</w:t>
      </w:r>
    </w:p>
    <w:p w:rsidR="0028321B" w:rsidP="0028321B" w:rsidRDefault="0028321B" w14:paraId="0EA6C180" w14:textId="77777777">
      <w:pPr>
        <w:pStyle w:val="ListParagraph"/>
        <w:widowControl w:val="0"/>
        <w:numPr>
          <w:ilvl w:val="0"/>
          <w:numId w:val="35"/>
        </w:numPr>
        <w:tabs>
          <w:tab w:val="left" w:pos="1940"/>
          <w:tab w:val="left" w:pos="1942"/>
        </w:tabs>
        <w:autoSpaceDE w:val="0"/>
        <w:autoSpaceDN w:val="0"/>
        <w:spacing w:after="0" w:line="269" w:lineRule="exact"/>
        <w:ind w:left="1941" w:hanging="362"/>
        <w:contextualSpacing w:val="0"/>
      </w:pPr>
      <w:r>
        <w:t>Staffing.</w:t>
      </w:r>
    </w:p>
    <w:p w:rsidR="0028321B" w:rsidP="0028321B" w:rsidRDefault="0028321B" w14:paraId="2E59F9A8" w14:textId="77777777">
      <w:pPr>
        <w:pStyle w:val="ListParagraph"/>
        <w:widowControl w:val="0"/>
        <w:numPr>
          <w:ilvl w:val="0"/>
          <w:numId w:val="35"/>
        </w:numPr>
        <w:tabs>
          <w:tab w:val="left" w:pos="1940"/>
          <w:tab w:val="left" w:pos="1942"/>
        </w:tabs>
        <w:autoSpaceDE w:val="0"/>
        <w:autoSpaceDN w:val="0"/>
        <w:spacing w:after="0" w:line="268" w:lineRule="exact"/>
        <w:ind w:left="1941" w:hanging="362"/>
        <w:contextualSpacing w:val="0"/>
      </w:pPr>
      <w:r>
        <w:t>Reporting</w:t>
      </w:r>
      <w:r>
        <w:rPr>
          <w:spacing w:val="-3"/>
        </w:rPr>
        <w:t xml:space="preserve"> </w:t>
      </w:r>
      <w:r>
        <w:t>requirements</w:t>
      </w:r>
    </w:p>
    <w:p w:rsidR="0028321B" w:rsidP="0028321B" w:rsidRDefault="0028321B" w14:paraId="4CCB77AD" w14:textId="77777777">
      <w:pPr>
        <w:pStyle w:val="ListParagraph"/>
        <w:widowControl w:val="0"/>
        <w:numPr>
          <w:ilvl w:val="0"/>
          <w:numId w:val="35"/>
        </w:numPr>
        <w:tabs>
          <w:tab w:val="left" w:pos="1941"/>
          <w:tab w:val="left" w:pos="1942"/>
        </w:tabs>
        <w:autoSpaceDE w:val="0"/>
        <w:autoSpaceDN w:val="0"/>
        <w:spacing w:before="1" w:after="0" w:line="237" w:lineRule="auto"/>
        <w:ind w:left="1941" w:right="137"/>
        <w:contextualSpacing w:val="0"/>
      </w:pPr>
      <w:r>
        <w:t>Records and access to information including Data Protection and Information</w:t>
      </w:r>
      <w:r>
        <w:rPr>
          <w:spacing w:val="-1"/>
        </w:rPr>
        <w:t xml:space="preserve"> </w:t>
      </w:r>
      <w:r>
        <w:t>governance.</w:t>
      </w:r>
    </w:p>
    <w:p w:rsidR="0028321B" w:rsidP="0028321B" w:rsidRDefault="0028321B" w14:paraId="34BAF2ED" w14:textId="77777777">
      <w:pPr>
        <w:pStyle w:val="ListParagraph"/>
        <w:widowControl w:val="0"/>
        <w:numPr>
          <w:ilvl w:val="0"/>
          <w:numId w:val="35"/>
        </w:numPr>
        <w:tabs>
          <w:tab w:val="left" w:pos="1941"/>
          <w:tab w:val="left" w:pos="1942"/>
        </w:tabs>
        <w:autoSpaceDE w:val="0"/>
        <w:autoSpaceDN w:val="0"/>
        <w:spacing w:before="1" w:after="0" w:line="269" w:lineRule="exact"/>
        <w:ind w:left="1941"/>
        <w:contextualSpacing w:val="0"/>
      </w:pPr>
      <w:r>
        <w:t>Health &amp;</w:t>
      </w:r>
      <w:r>
        <w:rPr>
          <w:spacing w:val="-1"/>
        </w:rPr>
        <w:t xml:space="preserve"> </w:t>
      </w:r>
      <w:r>
        <w:t>safety</w:t>
      </w:r>
    </w:p>
    <w:p w:rsidR="0028321B" w:rsidP="0028321B" w:rsidRDefault="0028321B" w14:paraId="03064817" w14:textId="77777777">
      <w:pPr>
        <w:pStyle w:val="ListParagraph"/>
        <w:widowControl w:val="0"/>
        <w:numPr>
          <w:ilvl w:val="0"/>
          <w:numId w:val="35"/>
        </w:numPr>
        <w:tabs>
          <w:tab w:val="left" w:pos="1941"/>
          <w:tab w:val="left" w:pos="1942"/>
        </w:tabs>
        <w:autoSpaceDE w:val="0"/>
        <w:autoSpaceDN w:val="0"/>
        <w:spacing w:after="0" w:line="268" w:lineRule="exact"/>
        <w:ind w:left="1941"/>
        <w:contextualSpacing w:val="0"/>
      </w:pPr>
      <w:r>
        <w:t>Audit</w:t>
      </w:r>
      <w:r>
        <w:rPr>
          <w:spacing w:val="1"/>
        </w:rPr>
        <w:t xml:space="preserve"> </w:t>
      </w:r>
      <w:r>
        <w:t>requirements</w:t>
      </w:r>
    </w:p>
    <w:p w:rsidR="0028321B" w:rsidP="0028321B" w:rsidRDefault="0028321B" w14:paraId="2308539A" w14:textId="77777777">
      <w:pPr>
        <w:pStyle w:val="ListParagraph"/>
        <w:widowControl w:val="0"/>
        <w:numPr>
          <w:ilvl w:val="0"/>
          <w:numId w:val="35"/>
        </w:numPr>
        <w:tabs>
          <w:tab w:val="left" w:pos="1941"/>
          <w:tab w:val="left" w:pos="1942"/>
        </w:tabs>
        <w:autoSpaceDE w:val="0"/>
        <w:autoSpaceDN w:val="0"/>
        <w:spacing w:after="0" w:line="268" w:lineRule="exact"/>
        <w:ind w:left="1941"/>
        <w:contextualSpacing w:val="0"/>
      </w:pPr>
      <w:r>
        <w:t>Termination and rights to</w:t>
      </w:r>
      <w:r>
        <w:rPr>
          <w:spacing w:val="-9"/>
        </w:rPr>
        <w:t xml:space="preserve"> </w:t>
      </w:r>
      <w:r>
        <w:t>withdraw.</w:t>
      </w:r>
    </w:p>
    <w:p w:rsidR="0028321B" w:rsidP="0028321B" w:rsidRDefault="0028321B" w14:paraId="56B3027E" w14:textId="77777777">
      <w:pPr>
        <w:pStyle w:val="BodyText"/>
        <w:spacing w:before="8"/>
      </w:pPr>
    </w:p>
    <w:p w:rsidR="0028321B" w:rsidP="0028321B" w:rsidRDefault="0028321B" w14:paraId="7AA8C45E" w14:textId="4CBC8F15">
      <w:pPr>
        <w:pStyle w:val="BodyText"/>
        <w:spacing w:before="8"/>
        <w:rPr>
          <w:sz w:val="16"/>
        </w:rPr>
        <w:sectPr w:rsidR="0028321B" w:rsidSect="0028321B">
          <w:pgSz w:w="11910" w:h="16840"/>
          <w:pgMar w:top="1360" w:right="1300" w:bottom="280" w:left="1300" w:header="720" w:footer="720" w:gutter="0"/>
          <w:cols w:space="720"/>
        </w:sectPr>
      </w:pPr>
    </w:p>
    <w:p w:rsidR="0028321B" w:rsidP="0028321B" w:rsidRDefault="0028321B" w14:paraId="378249FA" w14:textId="77777777">
      <w:pPr>
        <w:pStyle w:val="Heading2"/>
        <w:numPr>
          <w:ilvl w:val="0"/>
          <w:numId w:val="0"/>
        </w:numPr>
        <w:spacing w:before="81"/>
      </w:pPr>
      <w:r>
        <w:lastRenderedPageBreak/>
        <w:t>The Host Authority</w:t>
      </w:r>
    </w:p>
    <w:p w:rsidRPr="0028321B" w:rsidR="0028321B" w:rsidP="0028321B" w:rsidRDefault="0028321B" w14:paraId="1C5CD12B" w14:textId="77777777">
      <w:pPr>
        <w:pStyle w:val="BodyText"/>
        <w:rPr>
          <w:b/>
          <w:sz w:val="22"/>
          <w:szCs w:val="22"/>
        </w:rPr>
      </w:pPr>
    </w:p>
    <w:p w:rsidRPr="0028321B" w:rsidR="0028321B" w:rsidP="0028321B" w:rsidRDefault="0028321B" w14:paraId="2FD10DD4" w14:textId="77777777">
      <w:pPr>
        <w:pStyle w:val="BodyText"/>
        <w:spacing w:before="1"/>
        <w:ind w:left="140" w:right="139"/>
        <w:jc w:val="both"/>
        <w:rPr>
          <w:sz w:val="22"/>
          <w:szCs w:val="22"/>
        </w:rPr>
      </w:pPr>
      <w:r w:rsidRPr="0028321B">
        <w:rPr>
          <w:sz w:val="22"/>
          <w:szCs w:val="22"/>
        </w:rPr>
        <w:t>The Collaborative Agreement formally assigns the Vale of Glamorgan Council as the Host Authority for VVC. The Vale of Glamorgan Council employs all staff within the Collaborative and provides all support and employment services including :</w:t>
      </w:r>
    </w:p>
    <w:p w:rsidRPr="0028321B" w:rsidR="0028321B" w:rsidP="0028321B" w:rsidRDefault="0028321B" w14:paraId="020C4221" w14:textId="77777777">
      <w:pPr>
        <w:pStyle w:val="BodyText"/>
        <w:spacing w:before="2"/>
        <w:rPr>
          <w:sz w:val="22"/>
          <w:szCs w:val="22"/>
        </w:rPr>
      </w:pPr>
    </w:p>
    <w:p w:rsidRPr="0028321B" w:rsidR="0028321B" w:rsidP="0028321B" w:rsidRDefault="0028321B" w14:paraId="2B51A3BD" w14:textId="77777777">
      <w:pPr>
        <w:pStyle w:val="ListParagraph"/>
        <w:widowControl w:val="0"/>
        <w:numPr>
          <w:ilvl w:val="0"/>
          <w:numId w:val="35"/>
        </w:numPr>
        <w:tabs>
          <w:tab w:val="left" w:pos="1940"/>
          <w:tab w:val="left" w:pos="1941"/>
        </w:tabs>
        <w:autoSpaceDE w:val="0"/>
        <w:autoSpaceDN w:val="0"/>
        <w:spacing w:after="0" w:line="237" w:lineRule="auto"/>
        <w:ind w:right="136"/>
        <w:contextualSpacing w:val="0"/>
      </w:pPr>
      <w:r w:rsidRPr="0028321B">
        <w:t>Financial (Section 151 Officer as defined by section 151 of the Local Government Act 1972, Accounts, Payroll, Creditors</w:t>
      </w:r>
      <w:r w:rsidRPr="0028321B">
        <w:rPr>
          <w:spacing w:val="5"/>
        </w:rPr>
        <w:t xml:space="preserve"> </w:t>
      </w:r>
      <w:r w:rsidRPr="0028321B">
        <w:t>etc.)</w:t>
      </w:r>
    </w:p>
    <w:p w:rsidRPr="0028321B" w:rsidR="0028321B" w:rsidP="0028321B" w:rsidRDefault="0028321B" w14:paraId="76034288" w14:textId="77777777">
      <w:pPr>
        <w:pStyle w:val="ListParagraph"/>
        <w:widowControl w:val="0"/>
        <w:numPr>
          <w:ilvl w:val="0"/>
          <w:numId w:val="35"/>
        </w:numPr>
        <w:tabs>
          <w:tab w:val="left" w:pos="1940"/>
          <w:tab w:val="left" w:pos="1941"/>
        </w:tabs>
        <w:autoSpaceDE w:val="0"/>
        <w:autoSpaceDN w:val="0"/>
        <w:spacing w:before="1" w:after="0" w:line="269" w:lineRule="exact"/>
        <w:contextualSpacing w:val="0"/>
      </w:pPr>
      <w:r w:rsidRPr="0028321B">
        <w:t>Human</w:t>
      </w:r>
      <w:r w:rsidRPr="0028321B">
        <w:rPr>
          <w:spacing w:val="-1"/>
        </w:rPr>
        <w:t xml:space="preserve"> </w:t>
      </w:r>
      <w:r w:rsidRPr="0028321B">
        <w:t>Resources</w:t>
      </w:r>
    </w:p>
    <w:p w:rsidRPr="0028321B" w:rsidR="0028321B" w:rsidP="0028321B" w:rsidRDefault="0028321B" w14:paraId="761C4713" w14:textId="77777777">
      <w:pPr>
        <w:pStyle w:val="ListParagraph"/>
        <w:widowControl w:val="0"/>
        <w:numPr>
          <w:ilvl w:val="0"/>
          <w:numId w:val="35"/>
        </w:numPr>
        <w:tabs>
          <w:tab w:val="left" w:pos="1940"/>
          <w:tab w:val="left" w:pos="1941"/>
        </w:tabs>
        <w:autoSpaceDE w:val="0"/>
        <w:autoSpaceDN w:val="0"/>
        <w:spacing w:after="0" w:line="268" w:lineRule="exact"/>
        <w:contextualSpacing w:val="0"/>
      </w:pPr>
      <w:r w:rsidRPr="0028321B">
        <w:t>Health &amp;</w:t>
      </w:r>
      <w:r w:rsidRPr="0028321B">
        <w:rPr>
          <w:spacing w:val="-1"/>
        </w:rPr>
        <w:t xml:space="preserve"> </w:t>
      </w:r>
      <w:r w:rsidRPr="0028321B">
        <w:t>Safety</w:t>
      </w:r>
    </w:p>
    <w:p w:rsidRPr="0028321B" w:rsidR="0028321B" w:rsidP="0028321B" w:rsidRDefault="0028321B" w14:paraId="35DFA4DB" w14:textId="77777777">
      <w:pPr>
        <w:pStyle w:val="ListParagraph"/>
        <w:widowControl w:val="0"/>
        <w:numPr>
          <w:ilvl w:val="0"/>
          <w:numId w:val="35"/>
        </w:numPr>
        <w:tabs>
          <w:tab w:val="left" w:pos="1940"/>
          <w:tab w:val="left" w:pos="1941"/>
        </w:tabs>
        <w:autoSpaceDE w:val="0"/>
        <w:autoSpaceDN w:val="0"/>
        <w:spacing w:after="0" w:line="268" w:lineRule="exact"/>
        <w:contextualSpacing w:val="0"/>
      </w:pPr>
      <w:r w:rsidRPr="0028321B">
        <w:t>Legal</w:t>
      </w:r>
      <w:r w:rsidRPr="0028321B">
        <w:rPr>
          <w:spacing w:val="-1"/>
        </w:rPr>
        <w:t xml:space="preserve"> </w:t>
      </w:r>
      <w:r w:rsidRPr="0028321B">
        <w:t>services</w:t>
      </w:r>
    </w:p>
    <w:p w:rsidRPr="0028321B" w:rsidR="0028321B" w:rsidP="0028321B" w:rsidRDefault="0028321B" w14:paraId="5FC43043" w14:textId="77777777">
      <w:pPr>
        <w:pStyle w:val="ListParagraph"/>
        <w:widowControl w:val="0"/>
        <w:numPr>
          <w:ilvl w:val="0"/>
          <w:numId w:val="35"/>
        </w:numPr>
        <w:tabs>
          <w:tab w:val="left" w:pos="1940"/>
          <w:tab w:val="left" w:pos="1942"/>
        </w:tabs>
        <w:autoSpaceDE w:val="0"/>
        <w:autoSpaceDN w:val="0"/>
        <w:spacing w:after="0" w:line="269" w:lineRule="exact"/>
        <w:ind w:left="1941" w:hanging="362"/>
        <w:contextualSpacing w:val="0"/>
      </w:pPr>
      <w:r w:rsidRPr="0028321B">
        <w:t>Internal</w:t>
      </w:r>
      <w:r w:rsidRPr="0028321B">
        <w:rPr>
          <w:spacing w:val="-1"/>
        </w:rPr>
        <w:t xml:space="preserve"> </w:t>
      </w:r>
      <w:r w:rsidRPr="0028321B">
        <w:t>Audit</w:t>
      </w:r>
    </w:p>
    <w:p w:rsidRPr="0028321B" w:rsidR="0028321B" w:rsidP="0028321B" w:rsidRDefault="0028321B" w14:paraId="047C57DB" w14:textId="77777777">
      <w:pPr>
        <w:pStyle w:val="BodyText"/>
        <w:spacing w:before="8"/>
        <w:rPr>
          <w:sz w:val="22"/>
          <w:szCs w:val="22"/>
        </w:rPr>
      </w:pPr>
    </w:p>
    <w:p w:rsidR="0028321B" w:rsidP="0028321B" w:rsidRDefault="0028321B" w14:paraId="3143140C" w14:textId="77777777">
      <w:pPr>
        <w:pStyle w:val="Heading2"/>
        <w:numPr>
          <w:ilvl w:val="0"/>
          <w:numId w:val="0"/>
        </w:numPr>
      </w:pPr>
      <w:r>
        <w:t>Joint Committee</w:t>
      </w:r>
    </w:p>
    <w:p w:rsidR="0028321B" w:rsidP="0028321B" w:rsidRDefault="0028321B" w14:paraId="7564DFA1" w14:textId="77777777">
      <w:pPr>
        <w:pStyle w:val="BodyText"/>
        <w:rPr>
          <w:b/>
        </w:rPr>
      </w:pPr>
    </w:p>
    <w:p w:rsidRPr="0028321B" w:rsidR="0028321B" w:rsidP="0028321B" w:rsidRDefault="0028321B" w14:paraId="39E42A6F" w14:textId="77777777">
      <w:pPr>
        <w:pStyle w:val="BodyText"/>
        <w:ind w:left="141" w:right="134"/>
        <w:jc w:val="both"/>
        <w:rPr>
          <w:sz w:val="22"/>
          <w:szCs w:val="22"/>
        </w:rPr>
      </w:pPr>
      <w:r w:rsidRPr="0028321B">
        <w:rPr>
          <w:sz w:val="22"/>
          <w:szCs w:val="22"/>
        </w:rPr>
        <w:t>This is comprised of one elected member (and a suitable substitute if required) from each of the</w:t>
      </w:r>
      <w:r w:rsidRPr="0028321B">
        <w:rPr>
          <w:spacing w:val="-7"/>
          <w:sz w:val="22"/>
          <w:szCs w:val="22"/>
        </w:rPr>
        <w:t xml:space="preserve"> </w:t>
      </w:r>
      <w:r w:rsidRPr="0028321B">
        <w:rPr>
          <w:sz w:val="22"/>
          <w:szCs w:val="22"/>
        </w:rPr>
        <w:t>partners.</w:t>
      </w:r>
      <w:r w:rsidRPr="0028321B">
        <w:rPr>
          <w:spacing w:val="-5"/>
          <w:sz w:val="22"/>
          <w:szCs w:val="22"/>
        </w:rPr>
        <w:t xml:space="preserve"> </w:t>
      </w:r>
      <w:r w:rsidRPr="0028321B">
        <w:rPr>
          <w:sz w:val="22"/>
          <w:szCs w:val="22"/>
        </w:rPr>
        <w:t>The</w:t>
      </w:r>
      <w:r w:rsidRPr="0028321B">
        <w:rPr>
          <w:spacing w:val="-10"/>
          <w:sz w:val="22"/>
          <w:szCs w:val="22"/>
        </w:rPr>
        <w:t xml:space="preserve"> </w:t>
      </w:r>
      <w:r w:rsidRPr="0028321B">
        <w:rPr>
          <w:sz w:val="22"/>
          <w:szCs w:val="22"/>
        </w:rPr>
        <w:t>Chair</w:t>
      </w:r>
      <w:r w:rsidRPr="0028321B">
        <w:rPr>
          <w:spacing w:val="-6"/>
          <w:sz w:val="22"/>
          <w:szCs w:val="22"/>
        </w:rPr>
        <w:t xml:space="preserve"> </w:t>
      </w:r>
      <w:r w:rsidRPr="0028321B">
        <w:rPr>
          <w:sz w:val="22"/>
          <w:szCs w:val="22"/>
        </w:rPr>
        <w:t>of</w:t>
      </w:r>
      <w:r w:rsidRPr="0028321B">
        <w:rPr>
          <w:spacing w:val="-6"/>
          <w:sz w:val="22"/>
          <w:szCs w:val="22"/>
        </w:rPr>
        <w:t xml:space="preserve"> </w:t>
      </w:r>
      <w:r w:rsidRPr="0028321B">
        <w:rPr>
          <w:sz w:val="22"/>
          <w:szCs w:val="22"/>
        </w:rPr>
        <w:t>the</w:t>
      </w:r>
      <w:r w:rsidRPr="0028321B">
        <w:rPr>
          <w:spacing w:val="-9"/>
          <w:sz w:val="22"/>
          <w:szCs w:val="22"/>
        </w:rPr>
        <w:t xml:space="preserve"> </w:t>
      </w:r>
      <w:r w:rsidRPr="0028321B">
        <w:rPr>
          <w:sz w:val="22"/>
          <w:szCs w:val="22"/>
        </w:rPr>
        <w:t>Management</w:t>
      </w:r>
      <w:r w:rsidRPr="0028321B">
        <w:rPr>
          <w:spacing w:val="-6"/>
          <w:sz w:val="22"/>
          <w:szCs w:val="22"/>
        </w:rPr>
        <w:t xml:space="preserve"> </w:t>
      </w:r>
      <w:r w:rsidRPr="0028321B">
        <w:rPr>
          <w:sz w:val="22"/>
          <w:szCs w:val="22"/>
        </w:rPr>
        <w:t>Board,</w:t>
      </w:r>
      <w:r w:rsidRPr="0028321B">
        <w:rPr>
          <w:spacing w:val="-6"/>
          <w:sz w:val="22"/>
          <w:szCs w:val="22"/>
        </w:rPr>
        <w:t xml:space="preserve"> </w:t>
      </w:r>
      <w:r w:rsidRPr="0028321B">
        <w:rPr>
          <w:sz w:val="22"/>
          <w:szCs w:val="22"/>
        </w:rPr>
        <w:t>one</w:t>
      </w:r>
      <w:r w:rsidRPr="0028321B">
        <w:rPr>
          <w:spacing w:val="-7"/>
          <w:sz w:val="22"/>
          <w:szCs w:val="22"/>
        </w:rPr>
        <w:t xml:space="preserve"> </w:t>
      </w:r>
      <w:r w:rsidRPr="0028321B">
        <w:rPr>
          <w:sz w:val="22"/>
          <w:szCs w:val="22"/>
        </w:rPr>
        <w:t>Head</w:t>
      </w:r>
      <w:r w:rsidRPr="0028321B">
        <w:rPr>
          <w:spacing w:val="-7"/>
          <w:sz w:val="22"/>
          <w:szCs w:val="22"/>
        </w:rPr>
        <w:t xml:space="preserve"> </w:t>
      </w:r>
      <w:r w:rsidRPr="0028321B">
        <w:rPr>
          <w:sz w:val="22"/>
          <w:szCs w:val="22"/>
        </w:rPr>
        <w:t>of</w:t>
      </w:r>
      <w:r w:rsidRPr="0028321B">
        <w:rPr>
          <w:spacing w:val="-6"/>
          <w:sz w:val="22"/>
          <w:szCs w:val="22"/>
        </w:rPr>
        <w:t xml:space="preserve"> </w:t>
      </w:r>
      <w:r w:rsidRPr="0028321B">
        <w:rPr>
          <w:sz w:val="22"/>
          <w:szCs w:val="22"/>
        </w:rPr>
        <w:t>Service</w:t>
      </w:r>
      <w:r w:rsidRPr="0028321B">
        <w:rPr>
          <w:spacing w:val="-7"/>
          <w:sz w:val="22"/>
          <w:szCs w:val="22"/>
        </w:rPr>
        <w:t xml:space="preserve"> </w:t>
      </w:r>
      <w:r w:rsidRPr="0028321B">
        <w:rPr>
          <w:sz w:val="22"/>
          <w:szCs w:val="22"/>
        </w:rPr>
        <w:t>with</w:t>
      </w:r>
      <w:r w:rsidRPr="0028321B">
        <w:rPr>
          <w:spacing w:val="-6"/>
          <w:sz w:val="22"/>
          <w:szCs w:val="22"/>
        </w:rPr>
        <w:t xml:space="preserve"> </w:t>
      </w:r>
      <w:r w:rsidRPr="0028321B">
        <w:rPr>
          <w:sz w:val="22"/>
          <w:szCs w:val="22"/>
        </w:rPr>
        <w:t>responsibility</w:t>
      </w:r>
      <w:r w:rsidRPr="0028321B">
        <w:rPr>
          <w:spacing w:val="-7"/>
          <w:sz w:val="22"/>
          <w:szCs w:val="22"/>
        </w:rPr>
        <w:t xml:space="preserve"> </w:t>
      </w:r>
      <w:r w:rsidRPr="0028321B">
        <w:rPr>
          <w:sz w:val="22"/>
          <w:szCs w:val="22"/>
        </w:rPr>
        <w:t>for Children’s Services from each partner authority (and a suitable substitute if required) and the Regional Adoption Manager are required to attend the Joint Committee in a non-voting capacity</w:t>
      </w:r>
      <w:r w:rsidRPr="0028321B">
        <w:rPr>
          <w:spacing w:val="-3"/>
          <w:sz w:val="22"/>
          <w:szCs w:val="22"/>
        </w:rPr>
        <w:t xml:space="preserve"> </w:t>
      </w:r>
      <w:r w:rsidRPr="0028321B">
        <w:rPr>
          <w:sz w:val="22"/>
          <w:szCs w:val="22"/>
        </w:rPr>
        <w:t>.</w:t>
      </w:r>
    </w:p>
    <w:p w:rsidRPr="0028321B" w:rsidR="0028321B" w:rsidP="0028321B" w:rsidRDefault="0028321B" w14:paraId="013CC36A" w14:textId="77777777">
      <w:pPr>
        <w:pStyle w:val="BodyText"/>
        <w:spacing w:before="10"/>
        <w:rPr>
          <w:sz w:val="22"/>
          <w:szCs w:val="22"/>
        </w:rPr>
      </w:pPr>
    </w:p>
    <w:p w:rsidRPr="0028321B" w:rsidR="0028321B" w:rsidP="0028321B" w:rsidRDefault="0028321B" w14:paraId="132159E1" w14:textId="77777777">
      <w:pPr>
        <w:pStyle w:val="BodyText"/>
        <w:ind w:left="141" w:right="134"/>
        <w:jc w:val="both"/>
        <w:rPr>
          <w:sz w:val="22"/>
          <w:szCs w:val="22"/>
        </w:rPr>
      </w:pPr>
      <w:r w:rsidRPr="0028321B">
        <w:rPr>
          <w:sz w:val="22"/>
          <w:szCs w:val="22"/>
        </w:rPr>
        <w:t>The Joint Committee has responsibility for approving the annual Collaborative Plan and the Collaborative budget. Meetings of the Joint Committee are held in May and December. The Committee is chaired by an elected member from one of the partner authorities on a biennial basis.</w:t>
      </w:r>
    </w:p>
    <w:p w:rsidRPr="0028321B" w:rsidR="0028321B" w:rsidP="0028321B" w:rsidRDefault="0028321B" w14:paraId="0181D234" w14:textId="77777777">
      <w:pPr>
        <w:pStyle w:val="BodyText"/>
        <w:rPr>
          <w:sz w:val="22"/>
          <w:szCs w:val="22"/>
        </w:rPr>
      </w:pPr>
    </w:p>
    <w:p w:rsidRPr="0028321B" w:rsidR="0028321B" w:rsidP="0028321B" w:rsidRDefault="0028321B" w14:paraId="6C69BC1D" w14:textId="77777777">
      <w:pPr>
        <w:pStyle w:val="BodyText"/>
        <w:ind w:left="141" w:right="136"/>
        <w:jc w:val="both"/>
        <w:rPr>
          <w:sz w:val="22"/>
          <w:szCs w:val="22"/>
        </w:rPr>
      </w:pPr>
      <w:r w:rsidRPr="0028321B">
        <w:rPr>
          <w:sz w:val="22"/>
          <w:szCs w:val="22"/>
        </w:rPr>
        <w:t>The</w:t>
      </w:r>
      <w:r w:rsidRPr="0028321B">
        <w:rPr>
          <w:spacing w:val="-12"/>
          <w:sz w:val="22"/>
          <w:szCs w:val="22"/>
        </w:rPr>
        <w:t xml:space="preserve"> </w:t>
      </w:r>
      <w:r w:rsidRPr="0028321B">
        <w:rPr>
          <w:sz w:val="22"/>
          <w:szCs w:val="22"/>
        </w:rPr>
        <w:t>Terms</w:t>
      </w:r>
      <w:r w:rsidRPr="0028321B">
        <w:rPr>
          <w:spacing w:val="-11"/>
          <w:sz w:val="22"/>
          <w:szCs w:val="22"/>
        </w:rPr>
        <w:t xml:space="preserve"> </w:t>
      </w:r>
      <w:r w:rsidRPr="0028321B">
        <w:rPr>
          <w:sz w:val="22"/>
          <w:szCs w:val="22"/>
        </w:rPr>
        <w:t>of</w:t>
      </w:r>
      <w:r w:rsidRPr="0028321B">
        <w:rPr>
          <w:spacing w:val="-12"/>
          <w:sz w:val="22"/>
          <w:szCs w:val="22"/>
        </w:rPr>
        <w:t xml:space="preserve"> </w:t>
      </w:r>
      <w:r w:rsidRPr="0028321B">
        <w:rPr>
          <w:sz w:val="22"/>
          <w:szCs w:val="22"/>
        </w:rPr>
        <w:t>Reference</w:t>
      </w:r>
      <w:r w:rsidRPr="0028321B">
        <w:rPr>
          <w:spacing w:val="-13"/>
          <w:sz w:val="22"/>
          <w:szCs w:val="22"/>
        </w:rPr>
        <w:t xml:space="preserve"> </w:t>
      </w:r>
      <w:r w:rsidRPr="0028321B">
        <w:rPr>
          <w:sz w:val="22"/>
          <w:szCs w:val="22"/>
        </w:rPr>
        <w:t>for</w:t>
      </w:r>
      <w:r w:rsidRPr="0028321B">
        <w:rPr>
          <w:spacing w:val="-12"/>
          <w:sz w:val="22"/>
          <w:szCs w:val="22"/>
        </w:rPr>
        <w:t xml:space="preserve"> </w:t>
      </w:r>
      <w:r w:rsidRPr="0028321B">
        <w:rPr>
          <w:sz w:val="22"/>
          <w:szCs w:val="22"/>
        </w:rPr>
        <w:t>the</w:t>
      </w:r>
      <w:r w:rsidRPr="0028321B">
        <w:rPr>
          <w:spacing w:val="-12"/>
          <w:sz w:val="22"/>
          <w:szCs w:val="22"/>
        </w:rPr>
        <w:t xml:space="preserve"> </w:t>
      </w:r>
      <w:r w:rsidRPr="0028321B">
        <w:rPr>
          <w:sz w:val="22"/>
          <w:szCs w:val="22"/>
        </w:rPr>
        <w:t>Joint</w:t>
      </w:r>
      <w:r w:rsidRPr="0028321B">
        <w:rPr>
          <w:spacing w:val="-10"/>
          <w:sz w:val="22"/>
          <w:szCs w:val="22"/>
        </w:rPr>
        <w:t xml:space="preserve"> </w:t>
      </w:r>
      <w:r w:rsidRPr="0028321B">
        <w:rPr>
          <w:sz w:val="22"/>
          <w:szCs w:val="22"/>
        </w:rPr>
        <w:t>Committee</w:t>
      </w:r>
      <w:r w:rsidRPr="0028321B">
        <w:rPr>
          <w:spacing w:val="-11"/>
          <w:sz w:val="22"/>
          <w:szCs w:val="22"/>
        </w:rPr>
        <w:t xml:space="preserve"> </w:t>
      </w:r>
      <w:r w:rsidRPr="0028321B">
        <w:rPr>
          <w:sz w:val="22"/>
          <w:szCs w:val="22"/>
        </w:rPr>
        <w:t>are</w:t>
      </w:r>
      <w:r w:rsidRPr="0028321B">
        <w:rPr>
          <w:spacing w:val="-11"/>
          <w:sz w:val="22"/>
          <w:szCs w:val="22"/>
        </w:rPr>
        <w:t xml:space="preserve"> </w:t>
      </w:r>
      <w:r w:rsidRPr="0028321B">
        <w:rPr>
          <w:sz w:val="22"/>
          <w:szCs w:val="22"/>
        </w:rPr>
        <w:t>set</w:t>
      </w:r>
      <w:r w:rsidRPr="0028321B">
        <w:rPr>
          <w:spacing w:val="-10"/>
          <w:sz w:val="22"/>
          <w:szCs w:val="22"/>
        </w:rPr>
        <w:t xml:space="preserve"> </w:t>
      </w:r>
      <w:r w:rsidRPr="0028321B">
        <w:rPr>
          <w:sz w:val="22"/>
          <w:szCs w:val="22"/>
        </w:rPr>
        <w:t>out</w:t>
      </w:r>
      <w:r w:rsidRPr="0028321B">
        <w:rPr>
          <w:spacing w:val="-12"/>
          <w:sz w:val="22"/>
          <w:szCs w:val="22"/>
        </w:rPr>
        <w:t xml:space="preserve"> </w:t>
      </w:r>
      <w:r w:rsidRPr="0028321B">
        <w:rPr>
          <w:sz w:val="22"/>
          <w:szCs w:val="22"/>
        </w:rPr>
        <w:t>in</w:t>
      </w:r>
      <w:r w:rsidRPr="0028321B">
        <w:rPr>
          <w:spacing w:val="-11"/>
          <w:sz w:val="22"/>
          <w:szCs w:val="22"/>
        </w:rPr>
        <w:t xml:space="preserve"> </w:t>
      </w:r>
      <w:r w:rsidRPr="0028321B">
        <w:rPr>
          <w:sz w:val="22"/>
          <w:szCs w:val="22"/>
        </w:rPr>
        <w:t>Schedule</w:t>
      </w:r>
      <w:r w:rsidRPr="0028321B">
        <w:rPr>
          <w:spacing w:val="-11"/>
          <w:sz w:val="22"/>
          <w:szCs w:val="22"/>
        </w:rPr>
        <w:t xml:space="preserve"> </w:t>
      </w:r>
      <w:r w:rsidRPr="0028321B">
        <w:rPr>
          <w:sz w:val="22"/>
          <w:szCs w:val="22"/>
        </w:rPr>
        <w:t>2</w:t>
      </w:r>
      <w:r w:rsidRPr="0028321B">
        <w:rPr>
          <w:spacing w:val="-11"/>
          <w:sz w:val="22"/>
          <w:szCs w:val="22"/>
        </w:rPr>
        <w:t xml:space="preserve"> </w:t>
      </w:r>
      <w:r w:rsidRPr="0028321B">
        <w:rPr>
          <w:sz w:val="22"/>
          <w:szCs w:val="22"/>
        </w:rPr>
        <w:t>of</w:t>
      </w:r>
      <w:r w:rsidRPr="0028321B">
        <w:rPr>
          <w:spacing w:val="-10"/>
          <w:sz w:val="22"/>
          <w:szCs w:val="22"/>
        </w:rPr>
        <w:t xml:space="preserve"> </w:t>
      </w:r>
      <w:r w:rsidRPr="0028321B">
        <w:rPr>
          <w:sz w:val="22"/>
          <w:szCs w:val="22"/>
        </w:rPr>
        <w:t>the</w:t>
      </w:r>
      <w:r w:rsidRPr="0028321B">
        <w:rPr>
          <w:spacing w:val="-14"/>
          <w:sz w:val="22"/>
          <w:szCs w:val="22"/>
        </w:rPr>
        <w:t xml:space="preserve"> </w:t>
      </w:r>
      <w:r w:rsidRPr="0028321B">
        <w:rPr>
          <w:sz w:val="22"/>
          <w:szCs w:val="22"/>
        </w:rPr>
        <w:t>Collaborative Agreement.</w:t>
      </w:r>
    </w:p>
    <w:p w:rsidRPr="0028321B" w:rsidR="0028321B" w:rsidP="0028321B" w:rsidRDefault="0028321B" w14:paraId="2F6294F8" w14:textId="77777777">
      <w:pPr>
        <w:pStyle w:val="BodyText"/>
        <w:rPr>
          <w:sz w:val="22"/>
          <w:szCs w:val="22"/>
        </w:rPr>
      </w:pPr>
    </w:p>
    <w:p w:rsidR="0028321B" w:rsidP="0028321B" w:rsidRDefault="0028321B" w14:paraId="73F9AF0E" w14:textId="77777777">
      <w:pPr>
        <w:pStyle w:val="BodyText"/>
      </w:pPr>
    </w:p>
    <w:p w:rsidR="0028321B" w:rsidP="0028321B" w:rsidRDefault="0028321B" w14:paraId="4CBD986F" w14:textId="77777777">
      <w:pPr>
        <w:pStyle w:val="Heading2"/>
        <w:numPr>
          <w:ilvl w:val="0"/>
          <w:numId w:val="0"/>
        </w:numPr>
        <w:spacing w:before="1"/>
      </w:pPr>
      <w:r>
        <w:t>Management Board</w:t>
      </w:r>
    </w:p>
    <w:p w:rsidRPr="0028321B" w:rsidR="0028321B" w:rsidP="0028321B" w:rsidRDefault="0028321B" w14:paraId="208DA6FA" w14:textId="77777777">
      <w:pPr>
        <w:pStyle w:val="BodyText"/>
        <w:rPr>
          <w:b/>
          <w:sz w:val="22"/>
          <w:szCs w:val="22"/>
        </w:rPr>
      </w:pPr>
    </w:p>
    <w:p w:rsidRPr="0028321B" w:rsidR="0028321B" w:rsidP="0028321B" w:rsidRDefault="0028321B" w14:paraId="754B97B0" w14:textId="77777777">
      <w:pPr>
        <w:pStyle w:val="BodyText"/>
        <w:ind w:left="140" w:right="135"/>
        <w:jc w:val="both"/>
        <w:rPr>
          <w:sz w:val="22"/>
          <w:szCs w:val="22"/>
        </w:rPr>
      </w:pPr>
      <w:r w:rsidRPr="0028321B">
        <w:rPr>
          <w:sz w:val="22"/>
          <w:szCs w:val="22"/>
        </w:rPr>
        <w:t>The second tier of governance within VVC is the Management Board. This is comprised of one</w:t>
      </w:r>
      <w:r w:rsidRPr="0028321B">
        <w:rPr>
          <w:spacing w:val="-10"/>
          <w:sz w:val="22"/>
          <w:szCs w:val="22"/>
        </w:rPr>
        <w:t xml:space="preserve"> </w:t>
      </w:r>
      <w:r w:rsidRPr="0028321B">
        <w:rPr>
          <w:sz w:val="22"/>
          <w:szCs w:val="22"/>
        </w:rPr>
        <w:t>Head</w:t>
      </w:r>
      <w:r w:rsidRPr="0028321B">
        <w:rPr>
          <w:spacing w:val="-9"/>
          <w:sz w:val="22"/>
          <w:szCs w:val="22"/>
        </w:rPr>
        <w:t xml:space="preserve"> </w:t>
      </w:r>
      <w:r w:rsidRPr="0028321B">
        <w:rPr>
          <w:sz w:val="22"/>
          <w:szCs w:val="22"/>
        </w:rPr>
        <w:t>of</w:t>
      </w:r>
      <w:r w:rsidRPr="0028321B">
        <w:rPr>
          <w:spacing w:val="-10"/>
          <w:sz w:val="22"/>
          <w:szCs w:val="22"/>
        </w:rPr>
        <w:t xml:space="preserve"> </w:t>
      </w:r>
      <w:r w:rsidRPr="0028321B">
        <w:rPr>
          <w:sz w:val="22"/>
          <w:szCs w:val="22"/>
        </w:rPr>
        <w:t>Service</w:t>
      </w:r>
      <w:r w:rsidRPr="0028321B">
        <w:rPr>
          <w:spacing w:val="-11"/>
          <w:sz w:val="22"/>
          <w:szCs w:val="22"/>
        </w:rPr>
        <w:t xml:space="preserve"> </w:t>
      </w:r>
      <w:r w:rsidRPr="0028321B">
        <w:rPr>
          <w:sz w:val="22"/>
          <w:szCs w:val="22"/>
        </w:rPr>
        <w:t>from</w:t>
      </w:r>
      <w:r w:rsidRPr="0028321B">
        <w:rPr>
          <w:spacing w:val="-8"/>
          <w:sz w:val="22"/>
          <w:szCs w:val="22"/>
        </w:rPr>
        <w:t xml:space="preserve"> </w:t>
      </w:r>
      <w:r w:rsidRPr="0028321B">
        <w:rPr>
          <w:sz w:val="22"/>
          <w:szCs w:val="22"/>
        </w:rPr>
        <w:t>each</w:t>
      </w:r>
      <w:r w:rsidRPr="0028321B">
        <w:rPr>
          <w:spacing w:val="-11"/>
          <w:sz w:val="22"/>
          <w:szCs w:val="22"/>
        </w:rPr>
        <w:t xml:space="preserve"> </w:t>
      </w:r>
      <w:r w:rsidRPr="0028321B">
        <w:rPr>
          <w:sz w:val="22"/>
          <w:szCs w:val="22"/>
        </w:rPr>
        <w:t>of</w:t>
      </w:r>
      <w:r w:rsidRPr="0028321B">
        <w:rPr>
          <w:spacing w:val="-10"/>
          <w:sz w:val="22"/>
          <w:szCs w:val="22"/>
        </w:rPr>
        <w:t xml:space="preserve"> </w:t>
      </w:r>
      <w:r w:rsidRPr="0028321B">
        <w:rPr>
          <w:sz w:val="22"/>
          <w:szCs w:val="22"/>
        </w:rPr>
        <w:t>the</w:t>
      </w:r>
      <w:r w:rsidRPr="0028321B">
        <w:rPr>
          <w:spacing w:val="-11"/>
          <w:sz w:val="22"/>
          <w:szCs w:val="22"/>
        </w:rPr>
        <w:t xml:space="preserve"> </w:t>
      </w:r>
      <w:r w:rsidRPr="0028321B">
        <w:rPr>
          <w:sz w:val="22"/>
          <w:szCs w:val="22"/>
        </w:rPr>
        <w:t>partner</w:t>
      </w:r>
      <w:r w:rsidRPr="0028321B">
        <w:rPr>
          <w:spacing w:val="-10"/>
          <w:sz w:val="22"/>
          <w:szCs w:val="22"/>
        </w:rPr>
        <w:t xml:space="preserve"> </w:t>
      </w:r>
      <w:r w:rsidRPr="0028321B">
        <w:rPr>
          <w:sz w:val="22"/>
          <w:szCs w:val="22"/>
        </w:rPr>
        <w:t>authorities,</w:t>
      </w:r>
      <w:r w:rsidRPr="0028321B">
        <w:rPr>
          <w:spacing w:val="-10"/>
          <w:sz w:val="22"/>
          <w:szCs w:val="22"/>
        </w:rPr>
        <w:t xml:space="preserve"> </w:t>
      </w:r>
      <w:r w:rsidRPr="0028321B">
        <w:rPr>
          <w:sz w:val="22"/>
          <w:szCs w:val="22"/>
        </w:rPr>
        <w:t>the</w:t>
      </w:r>
      <w:r w:rsidRPr="0028321B">
        <w:rPr>
          <w:spacing w:val="-9"/>
          <w:sz w:val="22"/>
          <w:szCs w:val="22"/>
        </w:rPr>
        <w:t xml:space="preserve"> </w:t>
      </w:r>
      <w:r w:rsidRPr="0028321B">
        <w:rPr>
          <w:sz w:val="22"/>
          <w:szCs w:val="22"/>
        </w:rPr>
        <w:t>Regional</w:t>
      </w:r>
      <w:r w:rsidRPr="0028321B">
        <w:rPr>
          <w:spacing w:val="-9"/>
          <w:sz w:val="22"/>
          <w:szCs w:val="22"/>
        </w:rPr>
        <w:t xml:space="preserve"> </w:t>
      </w:r>
      <w:r w:rsidRPr="0028321B">
        <w:rPr>
          <w:sz w:val="22"/>
          <w:szCs w:val="22"/>
        </w:rPr>
        <w:t>Adoption</w:t>
      </w:r>
      <w:r w:rsidRPr="0028321B">
        <w:rPr>
          <w:spacing w:val="-9"/>
          <w:sz w:val="22"/>
          <w:szCs w:val="22"/>
        </w:rPr>
        <w:t xml:space="preserve"> </w:t>
      </w:r>
      <w:r w:rsidRPr="0028321B">
        <w:rPr>
          <w:sz w:val="22"/>
          <w:szCs w:val="22"/>
        </w:rPr>
        <w:t>Manager</w:t>
      </w:r>
      <w:r w:rsidRPr="0028321B">
        <w:rPr>
          <w:spacing w:val="-9"/>
          <w:sz w:val="22"/>
          <w:szCs w:val="22"/>
        </w:rPr>
        <w:t xml:space="preserve"> </w:t>
      </w:r>
      <w:r w:rsidRPr="0028321B">
        <w:rPr>
          <w:sz w:val="22"/>
          <w:szCs w:val="22"/>
        </w:rPr>
        <w:t>and representatives from Health, Education, a Voluntary Adoption Agency and the National Adoption Service. The Management Board is chaired by a Director of Social Services on a biennial basis. Meetings are held on a quarterly</w:t>
      </w:r>
      <w:r w:rsidRPr="0028321B">
        <w:rPr>
          <w:spacing w:val="-4"/>
          <w:sz w:val="22"/>
          <w:szCs w:val="22"/>
        </w:rPr>
        <w:t xml:space="preserve"> </w:t>
      </w:r>
      <w:r w:rsidRPr="0028321B">
        <w:rPr>
          <w:sz w:val="22"/>
          <w:szCs w:val="22"/>
        </w:rPr>
        <w:t>basis.</w:t>
      </w:r>
    </w:p>
    <w:p w:rsidRPr="0028321B" w:rsidR="0028321B" w:rsidP="0028321B" w:rsidRDefault="0028321B" w14:paraId="70073717" w14:textId="77777777">
      <w:pPr>
        <w:pStyle w:val="BodyText"/>
        <w:spacing w:before="10"/>
        <w:rPr>
          <w:sz w:val="22"/>
          <w:szCs w:val="22"/>
        </w:rPr>
      </w:pPr>
    </w:p>
    <w:p w:rsidRPr="0028321B" w:rsidR="0028321B" w:rsidP="0028321B" w:rsidRDefault="0028321B" w14:paraId="5FD96CCF" w14:textId="77777777">
      <w:pPr>
        <w:pStyle w:val="BodyText"/>
        <w:ind w:left="140" w:right="138"/>
        <w:jc w:val="both"/>
        <w:rPr>
          <w:sz w:val="22"/>
          <w:szCs w:val="22"/>
        </w:rPr>
      </w:pPr>
      <w:r w:rsidRPr="0028321B">
        <w:rPr>
          <w:sz w:val="22"/>
          <w:szCs w:val="22"/>
        </w:rPr>
        <w:t>The</w:t>
      </w:r>
      <w:r w:rsidRPr="0028321B">
        <w:rPr>
          <w:spacing w:val="-6"/>
          <w:sz w:val="22"/>
          <w:szCs w:val="22"/>
        </w:rPr>
        <w:t xml:space="preserve"> </w:t>
      </w:r>
      <w:r w:rsidRPr="0028321B">
        <w:rPr>
          <w:sz w:val="22"/>
          <w:szCs w:val="22"/>
        </w:rPr>
        <w:t>membership</w:t>
      </w:r>
      <w:r w:rsidRPr="0028321B">
        <w:rPr>
          <w:spacing w:val="-6"/>
          <w:sz w:val="22"/>
          <w:szCs w:val="22"/>
        </w:rPr>
        <w:t xml:space="preserve"> </w:t>
      </w:r>
      <w:r w:rsidRPr="0028321B">
        <w:rPr>
          <w:sz w:val="22"/>
          <w:szCs w:val="22"/>
        </w:rPr>
        <w:t>and</w:t>
      </w:r>
      <w:r w:rsidRPr="0028321B">
        <w:rPr>
          <w:spacing w:val="-6"/>
          <w:sz w:val="22"/>
          <w:szCs w:val="22"/>
        </w:rPr>
        <w:t xml:space="preserve"> </w:t>
      </w:r>
      <w:r w:rsidRPr="0028321B">
        <w:rPr>
          <w:sz w:val="22"/>
          <w:szCs w:val="22"/>
        </w:rPr>
        <w:t>Terms</w:t>
      </w:r>
      <w:r w:rsidRPr="0028321B">
        <w:rPr>
          <w:spacing w:val="-6"/>
          <w:sz w:val="22"/>
          <w:szCs w:val="22"/>
        </w:rPr>
        <w:t xml:space="preserve"> </w:t>
      </w:r>
      <w:r w:rsidRPr="0028321B">
        <w:rPr>
          <w:sz w:val="22"/>
          <w:szCs w:val="22"/>
        </w:rPr>
        <w:t>of</w:t>
      </w:r>
      <w:r w:rsidRPr="0028321B">
        <w:rPr>
          <w:spacing w:val="-5"/>
          <w:sz w:val="22"/>
          <w:szCs w:val="22"/>
        </w:rPr>
        <w:t xml:space="preserve"> </w:t>
      </w:r>
      <w:r w:rsidRPr="0028321B">
        <w:rPr>
          <w:sz w:val="22"/>
          <w:szCs w:val="22"/>
        </w:rPr>
        <w:t>Reference</w:t>
      </w:r>
      <w:r w:rsidRPr="0028321B">
        <w:rPr>
          <w:spacing w:val="-6"/>
          <w:sz w:val="22"/>
          <w:szCs w:val="22"/>
        </w:rPr>
        <w:t xml:space="preserve"> </w:t>
      </w:r>
      <w:r w:rsidRPr="0028321B">
        <w:rPr>
          <w:sz w:val="22"/>
          <w:szCs w:val="22"/>
        </w:rPr>
        <w:t>for</w:t>
      </w:r>
      <w:r w:rsidRPr="0028321B">
        <w:rPr>
          <w:spacing w:val="-4"/>
          <w:sz w:val="22"/>
          <w:szCs w:val="22"/>
        </w:rPr>
        <w:t xml:space="preserve"> </w:t>
      </w:r>
      <w:r w:rsidRPr="0028321B">
        <w:rPr>
          <w:sz w:val="22"/>
          <w:szCs w:val="22"/>
        </w:rPr>
        <w:t>the</w:t>
      </w:r>
      <w:r w:rsidRPr="0028321B">
        <w:rPr>
          <w:spacing w:val="-9"/>
          <w:sz w:val="22"/>
          <w:szCs w:val="22"/>
        </w:rPr>
        <w:t xml:space="preserve"> </w:t>
      </w:r>
      <w:r w:rsidRPr="0028321B">
        <w:rPr>
          <w:sz w:val="22"/>
          <w:szCs w:val="22"/>
        </w:rPr>
        <w:t>Management</w:t>
      </w:r>
      <w:r w:rsidRPr="0028321B">
        <w:rPr>
          <w:spacing w:val="-5"/>
          <w:sz w:val="22"/>
          <w:szCs w:val="22"/>
        </w:rPr>
        <w:t xml:space="preserve"> </w:t>
      </w:r>
      <w:r w:rsidRPr="0028321B">
        <w:rPr>
          <w:sz w:val="22"/>
          <w:szCs w:val="22"/>
        </w:rPr>
        <w:t>Board</w:t>
      </w:r>
      <w:r w:rsidRPr="0028321B">
        <w:rPr>
          <w:spacing w:val="-6"/>
          <w:sz w:val="22"/>
          <w:szCs w:val="22"/>
        </w:rPr>
        <w:t xml:space="preserve"> </w:t>
      </w:r>
      <w:r w:rsidRPr="0028321B">
        <w:rPr>
          <w:sz w:val="22"/>
          <w:szCs w:val="22"/>
        </w:rPr>
        <w:t>are</w:t>
      </w:r>
      <w:r w:rsidRPr="0028321B">
        <w:rPr>
          <w:spacing w:val="-9"/>
          <w:sz w:val="22"/>
          <w:szCs w:val="22"/>
        </w:rPr>
        <w:t xml:space="preserve"> </w:t>
      </w:r>
      <w:r w:rsidRPr="0028321B">
        <w:rPr>
          <w:sz w:val="22"/>
          <w:szCs w:val="22"/>
        </w:rPr>
        <w:t>set</w:t>
      </w:r>
      <w:r w:rsidRPr="0028321B">
        <w:rPr>
          <w:spacing w:val="-5"/>
          <w:sz w:val="22"/>
          <w:szCs w:val="22"/>
        </w:rPr>
        <w:t xml:space="preserve"> </w:t>
      </w:r>
      <w:r w:rsidRPr="0028321B">
        <w:rPr>
          <w:sz w:val="22"/>
          <w:szCs w:val="22"/>
        </w:rPr>
        <w:t>out</w:t>
      </w:r>
      <w:r w:rsidRPr="0028321B">
        <w:rPr>
          <w:spacing w:val="-4"/>
          <w:sz w:val="22"/>
          <w:szCs w:val="22"/>
        </w:rPr>
        <w:t xml:space="preserve"> </w:t>
      </w:r>
      <w:r w:rsidRPr="0028321B">
        <w:rPr>
          <w:sz w:val="22"/>
          <w:szCs w:val="22"/>
        </w:rPr>
        <w:t>in</w:t>
      </w:r>
      <w:r w:rsidRPr="0028321B">
        <w:rPr>
          <w:spacing w:val="-6"/>
          <w:sz w:val="22"/>
          <w:szCs w:val="22"/>
        </w:rPr>
        <w:t xml:space="preserve"> </w:t>
      </w:r>
      <w:r w:rsidRPr="0028321B">
        <w:rPr>
          <w:sz w:val="22"/>
          <w:szCs w:val="22"/>
        </w:rPr>
        <w:t>Schedule 4 of the Collaborative</w:t>
      </w:r>
      <w:r w:rsidRPr="0028321B">
        <w:rPr>
          <w:spacing w:val="-4"/>
          <w:sz w:val="22"/>
          <w:szCs w:val="22"/>
        </w:rPr>
        <w:t xml:space="preserve"> </w:t>
      </w:r>
      <w:r w:rsidRPr="0028321B">
        <w:rPr>
          <w:sz w:val="22"/>
          <w:szCs w:val="22"/>
        </w:rPr>
        <w:t>Agreement.</w:t>
      </w:r>
    </w:p>
    <w:p w:rsidR="0028321B" w:rsidP="0028321B" w:rsidRDefault="0028321B" w14:paraId="333019FE" w14:textId="77777777">
      <w:pPr>
        <w:pStyle w:val="BodyText"/>
        <w:spacing w:before="2"/>
      </w:pPr>
    </w:p>
    <w:p w:rsidR="0028321B" w:rsidP="0028321B" w:rsidRDefault="0028321B" w14:paraId="5761E21D" w14:textId="77777777">
      <w:pPr>
        <w:pStyle w:val="Heading2"/>
        <w:numPr>
          <w:ilvl w:val="0"/>
          <w:numId w:val="0"/>
        </w:numPr>
      </w:pPr>
      <w:r>
        <w:t>Operational Group</w:t>
      </w:r>
    </w:p>
    <w:p w:rsidRPr="0028321B" w:rsidR="0028321B" w:rsidP="0028321B" w:rsidRDefault="0028321B" w14:paraId="7E4F2FF4" w14:textId="16DC08AA">
      <w:pPr>
        <w:pStyle w:val="BodyText"/>
        <w:ind w:right="271"/>
        <w:rPr>
          <w:sz w:val="22"/>
          <w:szCs w:val="22"/>
        </w:rPr>
      </w:pPr>
      <w:r w:rsidRPr="0028321B">
        <w:rPr>
          <w:sz w:val="22"/>
          <w:szCs w:val="22"/>
        </w:rPr>
        <w:t>In 2016/17 a Best Value review of the service highlighted the need to develop a third tier of governance primarily to focus upon the operational delivery of the service and development of regional processes. The Deed of Variation undertaken in 2019 formalised this recommendation and established the third tier of governance.</w:t>
      </w:r>
    </w:p>
    <w:p w:rsidRPr="0028321B" w:rsidR="0028321B" w:rsidP="0028321B" w:rsidRDefault="0028321B" w14:paraId="3EEFA0B2" w14:textId="77777777">
      <w:pPr>
        <w:pStyle w:val="BodyText"/>
        <w:rPr>
          <w:sz w:val="22"/>
          <w:szCs w:val="22"/>
        </w:rPr>
      </w:pPr>
    </w:p>
    <w:p w:rsidRPr="0028321B" w:rsidR="0028321B" w:rsidP="0028321B" w:rsidRDefault="0028321B" w14:paraId="09F4ACA7" w14:textId="77777777">
      <w:pPr>
        <w:pStyle w:val="BodyText"/>
        <w:ind w:left="140" w:right="137"/>
        <w:jc w:val="both"/>
        <w:rPr>
          <w:sz w:val="22"/>
          <w:szCs w:val="22"/>
        </w:rPr>
      </w:pPr>
      <w:r w:rsidRPr="0028321B">
        <w:rPr>
          <w:sz w:val="22"/>
          <w:szCs w:val="22"/>
        </w:rPr>
        <w:t>The</w:t>
      </w:r>
      <w:r w:rsidRPr="0028321B">
        <w:rPr>
          <w:spacing w:val="-17"/>
          <w:sz w:val="22"/>
          <w:szCs w:val="22"/>
        </w:rPr>
        <w:t xml:space="preserve"> </w:t>
      </w:r>
      <w:r w:rsidRPr="0028321B">
        <w:rPr>
          <w:sz w:val="22"/>
          <w:szCs w:val="22"/>
        </w:rPr>
        <w:t>Operational</w:t>
      </w:r>
      <w:r w:rsidRPr="0028321B">
        <w:rPr>
          <w:spacing w:val="-19"/>
          <w:sz w:val="22"/>
          <w:szCs w:val="22"/>
        </w:rPr>
        <w:t xml:space="preserve"> </w:t>
      </w:r>
      <w:r w:rsidRPr="0028321B">
        <w:rPr>
          <w:sz w:val="22"/>
          <w:szCs w:val="22"/>
        </w:rPr>
        <w:t>Group</w:t>
      </w:r>
      <w:r w:rsidRPr="0028321B">
        <w:rPr>
          <w:spacing w:val="-16"/>
          <w:sz w:val="22"/>
          <w:szCs w:val="22"/>
        </w:rPr>
        <w:t xml:space="preserve"> </w:t>
      </w:r>
      <w:r w:rsidRPr="0028321B">
        <w:rPr>
          <w:sz w:val="22"/>
          <w:szCs w:val="22"/>
        </w:rPr>
        <w:t>is</w:t>
      </w:r>
      <w:r w:rsidRPr="0028321B">
        <w:rPr>
          <w:spacing w:val="-18"/>
          <w:sz w:val="22"/>
          <w:szCs w:val="22"/>
        </w:rPr>
        <w:t xml:space="preserve"> </w:t>
      </w:r>
      <w:r w:rsidRPr="0028321B">
        <w:rPr>
          <w:sz w:val="22"/>
          <w:szCs w:val="22"/>
        </w:rPr>
        <w:t>attended</w:t>
      </w:r>
      <w:r w:rsidRPr="0028321B">
        <w:rPr>
          <w:spacing w:val="-16"/>
          <w:sz w:val="22"/>
          <w:szCs w:val="22"/>
        </w:rPr>
        <w:t xml:space="preserve"> </w:t>
      </w:r>
      <w:r w:rsidRPr="0028321B">
        <w:rPr>
          <w:sz w:val="22"/>
          <w:szCs w:val="22"/>
        </w:rPr>
        <w:t>by</w:t>
      </w:r>
      <w:r w:rsidRPr="0028321B">
        <w:rPr>
          <w:spacing w:val="-17"/>
          <w:sz w:val="22"/>
          <w:szCs w:val="22"/>
        </w:rPr>
        <w:t xml:space="preserve"> </w:t>
      </w:r>
      <w:r w:rsidRPr="0028321B">
        <w:rPr>
          <w:sz w:val="22"/>
          <w:szCs w:val="22"/>
        </w:rPr>
        <w:t>an</w:t>
      </w:r>
      <w:r w:rsidRPr="0028321B">
        <w:rPr>
          <w:spacing w:val="-18"/>
          <w:sz w:val="22"/>
          <w:szCs w:val="22"/>
        </w:rPr>
        <w:t xml:space="preserve"> </w:t>
      </w:r>
      <w:r w:rsidRPr="0028321B">
        <w:rPr>
          <w:sz w:val="22"/>
          <w:szCs w:val="22"/>
        </w:rPr>
        <w:t>operational</w:t>
      </w:r>
      <w:r w:rsidRPr="0028321B">
        <w:rPr>
          <w:spacing w:val="-17"/>
          <w:sz w:val="22"/>
          <w:szCs w:val="22"/>
        </w:rPr>
        <w:t xml:space="preserve"> </w:t>
      </w:r>
      <w:r w:rsidRPr="0028321B">
        <w:rPr>
          <w:sz w:val="22"/>
          <w:szCs w:val="22"/>
        </w:rPr>
        <w:t>lead</w:t>
      </w:r>
      <w:r w:rsidRPr="0028321B">
        <w:rPr>
          <w:spacing w:val="-16"/>
          <w:sz w:val="22"/>
          <w:szCs w:val="22"/>
        </w:rPr>
        <w:t xml:space="preserve"> </w:t>
      </w:r>
      <w:r w:rsidRPr="0028321B">
        <w:rPr>
          <w:sz w:val="22"/>
          <w:szCs w:val="22"/>
        </w:rPr>
        <w:t>for</w:t>
      </w:r>
      <w:r w:rsidRPr="0028321B">
        <w:rPr>
          <w:spacing w:val="-15"/>
          <w:sz w:val="22"/>
          <w:szCs w:val="22"/>
        </w:rPr>
        <w:t xml:space="preserve"> </w:t>
      </w:r>
      <w:r w:rsidRPr="0028321B">
        <w:rPr>
          <w:sz w:val="22"/>
          <w:szCs w:val="22"/>
        </w:rPr>
        <w:t>adoption</w:t>
      </w:r>
      <w:r w:rsidRPr="0028321B">
        <w:rPr>
          <w:spacing w:val="-19"/>
          <w:sz w:val="22"/>
          <w:szCs w:val="22"/>
        </w:rPr>
        <w:t xml:space="preserve"> </w:t>
      </w:r>
      <w:r w:rsidRPr="0028321B">
        <w:rPr>
          <w:sz w:val="22"/>
          <w:szCs w:val="22"/>
        </w:rPr>
        <w:t>from</w:t>
      </w:r>
      <w:r w:rsidRPr="0028321B">
        <w:rPr>
          <w:spacing w:val="-18"/>
          <w:sz w:val="22"/>
          <w:szCs w:val="22"/>
        </w:rPr>
        <w:t xml:space="preserve"> </w:t>
      </w:r>
      <w:r w:rsidRPr="0028321B">
        <w:rPr>
          <w:sz w:val="22"/>
          <w:szCs w:val="22"/>
        </w:rPr>
        <w:t>each</w:t>
      </w:r>
      <w:r w:rsidRPr="0028321B">
        <w:rPr>
          <w:spacing w:val="-16"/>
          <w:sz w:val="22"/>
          <w:szCs w:val="22"/>
        </w:rPr>
        <w:t xml:space="preserve"> </w:t>
      </w:r>
      <w:r w:rsidRPr="0028321B">
        <w:rPr>
          <w:sz w:val="22"/>
          <w:szCs w:val="22"/>
        </w:rPr>
        <w:t>of</w:t>
      </w:r>
      <w:r w:rsidRPr="0028321B">
        <w:rPr>
          <w:spacing w:val="-19"/>
          <w:sz w:val="22"/>
          <w:szCs w:val="22"/>
        </w:rPr>
        <w:t xml:space="preserve"> </w:t>
      </w:r>
      <w:r w:rsidRPr="0028321B">
        <w:rPr>
          <w:sz w:val="22"/>
          <w:szCs w:val="22"/>
        </w:rPr>
        <w:t>the</w:t>
      </w:r>
      <w:r w:rsidRPr="0028321B">
        <w:rPr>
          <w:spacing w:val="-16"/>
          <w:sz w:val="22"/>
          <w:szCs w:val="22"/>
        </w:rPr>
        <w:t xml:space="preserve"> </w:t>
      </w:r>
      <w:r w:rsidRPr="0028321B">
        <w:rPr>
          <w:sz w:val="22"/>
          <w:szCs w:val="22"/>
        </w:rPr>
        <w:t>partner authorities</w:t>
      </w:r>
      <w:r w:rsidRPr="0028321B">
        <w:rPr>
          <w:spacing w:val="-17"/>
          <w:sz w:val="22"/>
          <w:szCs w:val="22"/>
        </w:rPr>
        <w:t xml:space="preserve"> </w:t>
      </w:r>
      <w:r w:rsidRPr="0028321B">
        <w:rPr>
          <w:sz w:val="22"/>
          <w:szCs w:val="22"/>
        </w:rPr>
        <w:t>alongside</w:t>
      </w:r>
      <w:r w:rsidRPr="0028321B">
        <w:rPr>
          <w:spacing w:val="-20"/>
          <w:sz w:val="22"/>
          <w:szCs w:val="22"/>
        </w:rPr>
        <w:t xml:space="preserve"> </w:t>
      </w:r>
      <w:r w:rsidRPr="0028321B">
        <w:rPr>
          <w:sz w:val="22"/>
          <w:szCs w:val="22"/>
        </w:rPr>
        <w:t>the</w:t>
      </w:r>
      <w:r w:rsidRPr="0028321B">
        <w:rPr>
          <w:spacing w:val="-19"/>
          <w:sz w:val="22"/>
          <w:szCs w:val="22"/>
        </w:rPr>
        <w:t xml:space="preserve"> </w:t>
      </w:r>
      <w:r w:rsidRPr="0028321B">
        <w:rPr>
          <w:sz w:val="22"/>
          <w:szCs w:val="22"/>
        </w:rPr>
        <w:t>Regional</w:t>
      </w:r>
      <w:r w:rsidRPr="0028321B">
        <w:rPr>
          <w:spacing w:val="-18"/>
          <w:sz w:val="22"/>
          <w:szCs w:val="22"/>
        </w:rPr>
        <w:t xml:space="preserve"> </w:t>
      </w:r>
      <w:r w:rsidRPr="0028321B">
        <w:rPr>
          <w:sz w:val="22"/>
          <w:szCs w:val="22"/>
        </w:rPr>
        <w:t>Adoption</w:t>
      </w:r>
      <w:r w:rsidRPr="0028321B">
        <w:rPr>
          <w:spacing w:val="-17"/>
          <w:sz w:val="22"/>
          <w:szCs w:val="22"/>
        </w:rPr>
        <w:t xml:space="preserve"> </w:t>
      </w:r>
      <w:r w:rsidRPr="0028321B">
        <w:rPr>
          <w:sz w:val="22"/>
          <w:szCs w:val="22"/>
        </w:rPr>
        <w:t>Manager</w:t>
      </w:r>
      <w:r w:rsidRPr="0028321B">
        <w:rPr>
          <w:spacing w:val="-16"/>
          <w:sz w:val="22"/>
          <w:szCs w:val="22"/>
        </w:rPr>
        <w:t xml:space="preserve"> </w:t>
      </w:r>
      <w:r w:rsidRPr="0028321B">
        <w:rPr>
          <w:sz w:val="22"/>
          <w:szCs w:val="22"/>
        </w:rPr>
        <w:t>and</w:t>
      </w:r>
      <w:r w:rsidRPr="0028321B">
        <w:rPr>
          <w:spacing w:val="-16"/>
          <w:sz w:val="22"/>
          <w:szCs w:val="22"/>
        </w:rPr>
        <w:t xml:space="preserve"> </w:t>
      </w:r>
      <w:r w:rsidRPr="0028321B">
        <w:rPr>
          <w:sz w:val="22"/>
          <w:szCs w:val="22"/>
        </w:rPr>
        <w:t>service</w:t>
      </w:r>
      <w:r w:rsidRPr="0028321B">
        <w:rPr>
          <w:spacing w:val="-17"/>
          <w:sz w:val="22"/>
          <w:szCs w:val="22"/>
        </w:rPr>
        <w:t xml:space="preserve"> </w:t>
      </w:r>
      <w:r w:rsidRPr="0028321B">
        <w:rPr>
          <w:sz w:val="22"/>
          <w:szCs w:val="22"/>
        </w:rPr>
        <w:t>leads</w:t>
      </w:r>
      <w:r w:rsidRPr="0028321B">
        <w:rPr>
          <w:spacing w:val="-19"/>
          <w:sz w:val="22"/>
          <w:szCs w:val="22"/>
        </w:rPr>
        <w:t xml:space="preserve"> </w:t>
      </w:r>
      <w:r w:rsidRPr="0028321B">
        <w:rPr>
          <w:sz w:val="22"/>
          <w:szCs w:val="22"/>
        </w:rPr>
        <w:t>from</w:t>
      </w:r>
      <w:r w:rsidRPr="0028321B">
        <w:rPr>
          <w:spacing w:val="-16"/>
          <w:sz w:val="22"/>
          <w:szCs w:val="22"/>
        </w:rPr>
        <w:t xml:space="preserve"> </w:t>
      </w:r>
      <w:r w:rsidRPr="0028321B">
        <w:rPr>
          <w:sz w:val="22"/>
          <w:szCs w:val="22"/>
        </w:rPr>
        <w:t>VVC.</w:t>
      </w:r>
      <w:r w:rsidRPr="0028321B">
        <w:rPr>
          <w:spacing w:val="-17"/>
          <w:sz w:val="22"/>
          <w:szCs w:val="22"/>
        </w:rPr>
        <w:t xml:space="preserve"> </w:t>
      </w:r>
      <w:r w:rsidRPr="0028321B">
        <w:rPr>
          <w:sz w:val="22"/>
          <w:szCs w:val="22"/>
        </w:rPr>
        <w:t>It</w:t>
      </w:r>
      <w:r w:rsidRPr="0028321B">
        <w:rPr>
          <w:spacing w:val="-18"/>
          <w:sz w:val="22"/>
          <w:szCs w:val="22"/>
        </w:rPr>
        <w:t xml:space="preserve"> </w:t>
      </w:r>
      <w:r w:rsidRPr="0028321B">
        <w:rPr>
          <w:sz w:val="22"/>
          <w:szCs w:val="22"/>
        </w:rPr>
        <w:t>is</w:t>
      </w:r>
      <w:r w:rsidRPr="0028321B">
        <w:rPr>
          <w:spacing w:val="-17"/>
          <w:sz w:val="22"/>
          <w:szCs w:val="22"/>
        </w:rPr>
        <w:t xml:space="preserve"> </w:t>
      </w:r>
      <w:r w:rsidRPr="0028321B">
        <w:rPr>
          <w:sz w:val="22"/>
          <w:szCs w:val="22"/>
        </w:rPr>
        <w:t>chaired by one of the partner Operational Managers on a rotational basis. Meetings are held on a quarterly basis.</w:t>
      </w:r>
    </w:p>
    <w:p w:rsidR="0028321B" w:rsidP="0028321B" w:rsidRDefault="0028321B" w14:paraId="0A9029EF" w14:textId="77777777">
      <w:pPr>
        <w:jc w:val="both"/>
        <w:sectPr w:rsidR="0028321B">
          <w:pgSz w:w="11910" w:h="16840"/>
          <w:pgMar w:top="1340" w:right="1300" w:bottom="280" w:left="1300" w:header="720" w:footer="720" w:gutter="0"/>
          <w:cols w:space="720"/>
        </w:sectPr>
      </w:pPr>
    </w:p>
    <w:p w:rsidRPr="0028321B" w:rsidR="0028321B" w:rsidP="0028321B" w:rsidRDefault="0028321B" w14:paraId="57A57031" w14:textId="77777777">
      <w:pPr>
        <w:pStyle w:val="BodyText"/>
        <w:spacing w:before="81"/>
        <w:ind w:left="140" w:right="124"/>
        <w:rPr>
          <w:sz w:val="22"/>
          <w:szCs w:val="22"/>
        </w:rPr>
      </w:pPr>
      <w:r w:rsidRPr="0028321B">
        <w:rPr>
          <w:sz w:val="22"/>
          <w:szCs w:val="22"/>
        </w:rPr>
        <w:lastRenderedPageBreak/>
        <w:t>The membership and Terms of Reference for the Operational Group are set out in Schedule 5 of the Collaborative Agreement.</w:t>
      </w:r>
    </w:p>
    <w:p w:rsidR="0028321B" w:rsidP="0028321B" w:rsidRDefault="0028321B" w14:paraId="00CDF4C0" w14:textId="77777777">
      <w:pPr>
        <w:pStyle w:val="BodyText"/>
        <w:rPr>
          <w:sz w:val="24"/>
        </w:rPr>
      </w:pPr>
    </w:p>
    <w:p w:rsidR="0028321B" w:rsidP="0028321B" w:rsidRDefault="0028321B" w14:paraId="78332145" w14:textId="77777777">
      <w:pPr>
        <w:pStyle w:val="BodyText"/>
        <w:spacing w:before="1"/>
      </w:pPr>
    </w:p>
    <w:p w:rsidR="0028321B" w:rsidP="0028321B" w:rsidRDefault="0028321B" w14:paraId="5C9044C2" w14:textId="77777777">
      <w:pPr>
        <w:pStyle w:val="Heading2"/>
        <w:numPr>
          <w:ilvl w:val="0"/>
          <w:numId w:val="0"/>
        </w:numPr>
        <w:jc w:val="left"/>
      </w:pPr>
      <w:r>
        <w:t>Financial Management</w:t>
      </w:r>
    </w:p>
    <w:p w:rsidR="0028321B" w:rsidP="0028321B" w:rsidRDefault="0028321B" w14:paraId="25AAB30D" w14:textId="77777777">
      <w:pPr>
        <w:pStyle w:val="BodyText"/>
        <w:spacing w:before="9"/>
        <w:rPr>
          <w:b/>
          <w:sz w:val="21"/>
        </w:rPr>
      </w:pPr>
    </w:p>
    <w:p w:rsidRPr="0028321B" w:rsidR="0028321B" w:rsidP="0028321B" w:rsidRDefault="0028321B" w14:paraId="20A3B4C5" w14:textId="77777777">
      <w:pPr>
        <w:pStyle w:val="BodyText"/>
        <w:ind w:left="140" w:right="75"/>
        <w:rPr>
          <w:sz w:val="22"/>
          <w:szCs w:val="22"/>
        </w:rPr>
      </w:pPr>
      <w:r w:rsidRPr="0028321B">
        <w:rPr>
          <w:sz w:val="22"/>
          <w:szCs w:val="22"/>
        </w:rPr>
        <w:t>Schedule 6 of the Collaborative Agreement outlines the Financial Protocol and the framework within which the finances of the Collaborative are administered.</w:t>
      </w:r>
    </w:p>
    <w:p w:rsidRPr="0028321B" w:rsidR="0028321B" w:rsidP="0028321B" w:rsidRDefault="0028321B" w14:paraId="435AA223" w14:textId="77777777">
      <w:pPr>
        <w:pStyle w:val="BodyText"/>
        <w:spacing w:before="2"/>
        <w:rPr>
          <w:sz w:val="22"/>
          <w:szCs w:val="22"/>
        </w:rPr>
      </w:pPr>
    </w:p>
    <w:p w:rsidRPr="0028321B" w:rsidR="0028321B" w:rsidP="0028321B" w:rsidRDefault="0028321B" w14:paraId="070AF7E1" w14:textId="77777777">
      <w:pPr>
        <w:pStyle w:val="BodyText"/>
        <w:ind w:left="140" w:right="124"/>
        <w:rPr>
          <w:sz w:val="22"/>
          <w:szCs w:val="22"/>
        </w:rPr>
      </w:pPr>
      <w:r w:rsidRPr="0028321B">
        <w:rPr>
          <w:sz w:val="22"/>
          <w:szCs w:val="22"/>
        </w:rPr>
        <w:t>Under the terms of the Collaborative Agreement the Joint Committee shall be presented with a proposed budget for the Collaborative for the following financial year by 31st December prior to the start of each financial year for agreement by 7th March in each year, subject to final approval in accordance with the financial procedures and constitutional arrangements of each partner.</w:t>
      </w:r>
    </w:p>
    <w:p w:rsidRPr="0028321B" w:rsidR="0028321B" w:rsidP="0028321B" w:rsidRDefault="0028321B" w14:paraId="4AD41A13" w14:textId="77777777">
      <w:pPr>
        <w:pStyle w:val="BodyText"/>
        <w:spacing w:before="120"/>
        <w:ind w:left="140" w:right="173"/>
        <w:rPr>
          <w:sz w:val="22"/>
          <w:szCs w:val="22"/>
        </w:rPr>
      </w:pPr>
      <w:r w:rsidRPr="0028321B">
        <w:rPr>
          <w:sz w:val="22"/>
          <w:szCs w:val="22"/>
        </w:rPr>
        <w:t>The formula for calculating partners contributions was reviewed during 2018/19 and a revised formula was agreed based on the activity and usage of each partner as it was considered to be a more realistic way of apportioning costs.   In order to avoid large swings in contributions between years, it was considered appropriate for part of the apportionment to be based on a fixed charge, which would be the same for each partner, with the remainder being based on activity to reflect the demands being placed on the service. It was agreed that 20% of the costs would be treated as fixed with 80% of the costs being classed as variable. The new methodology has been used since</w:t>
      </w:r>
      <w:r w:rsidRPr="0028321B">
        <w:rPr>
          <w:spacing w:val="-8"/>
          <w:sz w:val="22"/>
          <w:szCs w:val="22"/>
        </w:rPr>
        <w:t xml:space="preserve"> </w:t>
      </w:r>
      <w:r w:rsidRPr="0028321B">
        <w:rPr>
          <w:sz w:val="22"/>
          <w:szCs w:val="22"/>
        </w:rPr>
        <w:t>2019/20.</w:t>
      </w:r>
    </w:p>
    <w:p w:rsidRPr="0028321B" w:rsidR="0028321B" w:rsidP="0028321B" w:rsidRDefault="0028321B" w14:paraId="45F9329A" w14:textId="77777777">
      <w:pPr>
        <w:pStyle w:val="BodyText"/>
        <w:spacing w:before="119"/>
        <w:ind w:left="140"/>
        <w:rPr>
          <w:sz w:val="22"/>
          <w:szCs w:val="22"/>
        </w:rPr>
      </w:pPr>
      <w:r w:rsidRPr="0028321B">
        <w:rPr>
          <w:sz w:val="22"/>
          <w:szCs w:val="22"/>
        </w:rPr>
        <w:t>The following factors were agreed to be used to determine the variable element of the contribution as they were considered to be the main cost drivers for the service. It was also agreed that an average of the last 3 years activity would be used which has the intention of smoothing any peaks and troughs in activity.</w:t>
      </w:r>
    </w:p>
    <w:p w:rsidRPr="0028321B" w:rsidR="0028321B" w:rsidP="0028321B" w:rsidRDefault="0028321B" w14:paraId="041726C6" w14:textId="77777777">
      <w:pPr>
        <w:pStyle w:val="ListParagraph"/>
        <w:widowControl w:val="0"/>
        <w:numPr>
          <w:ilvl w:val="0"/>
          <w:numId w:val="34"/>
        </w:numPr>
        <w:tabs>
          <w:tab w:val="left" w:pos="278"/>
        </w:tabs>
        <w:autoSpaceDE w:val="0"/>
        <w:autoSpaceDN w:val="0"/>
        <w:spacing w:before="121" w:after="0" w:line="240" w:lineRule="auto"/>
        <w:ind w:hanging="138"/>
        <w:contextualSpacing w:val="0"/>
      </w:pPr>
      <w:r w:rsidRPr="0028321B">
        <w:t>Children Looked After (CLA)</w:t>
      </w:r>
      <w:r w:rsidRPr="0028321B">
        <w:rPr>
          <w:spacing w:val="-2"/>
        </w:rPr>
        <w:t xml:space="preserve"> </w:t>
      </w:r>
      <w:r w:rsidRPr="0028321B">
        <w:t>Numbers</w:t>
      </w:r>
    </w:p>
    <w:p w:rsidRPr="0028321B" w:rsidR="0028321B" w:rsidP="0028321B" w:rsidRDefault="0028321B" w14:paraId="073731D4" w14:textId="77777777">
      <w:pPr>
        <w:pStyle w:val="ListParagraph"/>
        <w:widowControl w:val="0"/>
        <w:numPr>
          <w:ilvl w:val="0"/>
          <w:numId w:val="34"/>
        </w:numPr>
        <w:tabs>
          <w:tab w:val="left" w:pos="278"/>
        </w:tabs>
        <w:autoSpaceDE w:val="0"/>
        <w:autoSpaceDN w:val="0"/>
        <w:spacing w:before="119" w:after="0" w:line="240" w:lineRule="auto"/>
        <w:ind w:hanging="138"/>
        <w:contextualSpacing w:val="0"/>
      </w:pPr>
      <w:r w:rsidRPr="0028321B">
        <w:t>Children referrals into the</w:t>
      </w:r>
      <w:r w:rsidRPr="0028321B">
        <w:rPr>
          <w:spacing w:val="-4"/>
        </w:rPr>
        <w:t xml:space="preserve"> </w:t>
      </w:r>
      <w:r w:rsidRPr="0028321B">
        <w:t>Service</w:t>
      </w:r>
    </w:p>
    <w:p w:rsidRPr="0028321B" w:rsidR="0028321B" w:rsidP="0028321B" w:rsidRDefault="0028321B" w14:paraId="6B7F58D2" w14:textId="77777777">
      <w:pPr>
        <w:pStyle w:val="ListParagraph"/>
        <w:widowControl w:val="0"/>
        <w:numPr>
          <w:ilvl w:val="0"/>
          <w:numId w:val="34"/>
        </w:numPr>
        <w:tabs>
          <w:tab w:val="left" w:pos="278"/>
        </w:tabs>
        <w:autoSpaceDE w:val="0"/>
        <w:autoSpaceDN w:val="0"/>
        <w:spacing w:before="119" w:after="0" w:line="240" w:lineRule="auto"/>
        <w:ind w:hanging="138"/>
        <w:contextualSpacing w:val="0"/>
      </w:pPr>
      <w:r w:rsidRPr="0028321B">
        <w:t>Children Placed for</w:t>
      </w:r>
      <w:r w:rsidRPr="0028321B">
        <w:rPr>
          <w:spacing w:val="-4"/>
        </w:rPr>
        <w:t xml:space="preserve"> </w:t>
      </w:r>
      <w:r w:rsidRPr="0028321B">
        <w:t>Adoption</w:t>
      </w:r>
    </w:p>
    <w:p w:rsidRPr="0028321B" w:rsidR="0028321B" w:rsidP="0028321B" w:rsidRDefault="0028321B" w14:paraId="0F7F6315" w14:textId="77777777">
      <w:pPr>
        <w:pStyle w:val="ListParagraph"/>
        <w:widowControl w:val="0"/>
        <w:numPr>
          <w:ilvl w:val="0"/>
          <w:numId w:val="34"/>
        </w:numPr>
        <w:tabs>
          <w:tab w:val="left" w:pos="278"/>
        </w:tabs>
        <w:autoSpaceDE w:val="0"/>
        <w:autoSpaceDN w:val="0"/>
        <w:spacing w:before="121" w:after="0" w:line="240" w:lineRule="auto"/>
        <w:ind w:hanging="138"/>
        <w:contextualSpacing w:val="0"/>
      </w:pPr>
      <w:r w:rsidRPr="0028321B">
        <w:t>Requests for Adoption</w:t>
      </w:r>
      <w:r w:rsidRPr="0028321B">
        <w:rPr>
          <w:spacing w:val="-6"/>
        </w:rPr>
        <w:t xml:space="preserve"> </w:t>
      </w:r>
      <w:r w:rsidRPr="0028321B">
        <w:t>Support</w:t>
      </w:r>
    </w:p>
    <w:p w:rsidRPr="0028321B" w:rsidR="0028321B" w:rsidP="0028321B" w:rsidRDefault="0028321B" w14:paraId="2508DA99" w14:textId="77777777">
      <w:pPr>
        <w:pStyle w:val="BodyText"/>
        <w:spacing w:before="119"/>
        <w:ind w:left="140" w:right="39"/>
        <w:rPr>
          <w:sz w:val="22"/>
          <w:szCs w:val="22"/>
        </w:rPr>
      </w:pPr>
      <w:r w:rsidRPr="0028321B">
        <w:rPr>
          <w:sz w:val="22"/>
          <w:szCs w:val="22"/>
        </w:rPr>
        <w:t>Financial monitoring reports are taken to Management Board on a quarterly basis and to Joint Committee twice a year.</w:t>
      </w:r>
    </w:p>
    <w:p w:rsidRPr="0028321B" w:rsidR="0028321B" w:rsidP="0028321B" w:rsidRDefault="0028321B" w14:paraId="5FB6DB60" w14:textId="77777777">
      <w:pPr>
        <w:pStyle w:val="BodyText"/>
        <w:rPr>
          <w:sz w:val="22"/>
          <w:szCs w:val="22"/>
        </w:rPr>
      </w:pPr>
    </w:p>
    <w:p w:rsidRPr="0028321B" w:rsidR="0028321B" w:rsidP="0028321B" w:rsidRDefault="0028321B" w14:paraId="050AC9C5" w14:textId="77777777">
      <w:pPr>
        <w:pStyle w:val="BodyText"/>
        <w:spacing w:before="1"/>
        <w:rPr>
          <w:sz w:val="22"/>
          <w:szCs w:val="22"/>
        </w:rPr>
      </w:pPr>
    </w:p>
    <w:p w:rsidR="0028321B" w:rsidP="0028321B" w:rsidRDefault="0028321B" w14:paraId="09EB4085" w14:textId="77777777">
      <w:pPr>
        <w:pStyle w:val="Heading2"/>
        <w:numPr>
          <w:ilvl w:val="0"/>
          <w:numId w:val="0"/>
        </w:numPr>
        <w:jc w:val="left"/>
      </w:pPr>
      <w:r>
        <w:t>Service Structure</w:t>
      </w:r>
    </w:p>
    <w:p w:rsidR="0028321B" w:rsidP="0028321B" w:rsidRDefault="0028321B" w14:paraId="2116D967" w14:textId="77777777">
      <w:pPr>
        <w:pStyle w:val="BodyText"/>
        <w:rPr>
          <w:b/>
        </w:rPr>
      </w:pPr>
    </w:p>
    <w:p w:rsidRPr="0028321B" w:rsidR="0028321B" w:rsidP="0028321B" w:rsidRDefault="0028321B" w14:paraId="049F08E8" w14:textId="77777777">
      <w:pPr>
        <w:pStyle w:val="BodyText"/>
        <w:ind w:left="140" w:right="134"/>
        <w:jc w:val="both"/>
        <w:rPr>
          <w:sz w:val="22"/>
          <w:szCs w:val="22"/>
        </w:rPr>
      </w:pPr>
      <w:r w:rsidRPr="0028321B">
        <w:rPr>
          <w:sz w:val="22"/>
          <w:szCs w:val="22"/>
        </w:rPr>
        <w:t>At</w:t>
      </w:r>
      <w:r w:rsidRPr="0028321B">
        <w:rPr>
          <w:spacing w:val="-12"/>
          <w:sz w:val="22"/>
          <w:szCs w:val="22"/>
        </w:rPr>
        <w:t xml:space="preserve"> </w:t>
      </w:r>
      <w:r w:rsidRPr="0028321B">
        <w:rPr>
          <w:sz w:val="22"/>
          <w:szCs w:val="22"/>
        </w:rPr>
        <w:t>the</w:t>
      </w:r>
      <w:r w:rsidRPr="0028321B">
        <w:rPr>
          <w:spacing w:val="-11"/>
          <w:sz w:val="22"/>
          <w:szCs w:val="22"/>
        </w:rPr>
        <w:t xml:space="preserve"> </w:t>
      </w:r>
      <w:r w:rsidRPr="0028321B">
        <w:rPr>
          <w:sz w:val="22"/>
          <w:szCs w:val="22"/>
        </w:rPr>
        <w:t>commencement</w:t>
      </w:r>
      <w:r w:rsidRPr="0028321B">
        <w:rPr>
          <w:spacing w:val="-11"/>
          <w:sz w:val="22"/>
          <w:szCs w:val="22"/>
        </w:rPr>
        <w:t xml:space="preserve"> </w:t>
      </w:r>
      <w:r w:rsidRPr="0028321B">
        <w:rPr>
          <w:sz w:val="22"/>
          <w:szCs w:val="22"/>
        </w:rPr>
        <w:t>of</w:t>
      </w:r>
      <w:r w:rsidRPr="0028321B">
        <w:rPr>
          <w:spacing w:val="-12"/>
          <w:sz w:val="22"/>
          <w:szCs w:val="22"/>
        </w:rPr>
        <w:t xml:space="preserve"> </w:t>
      </w:r>
      <w:r w:rsidRPr="0028321B">
        <w:rPr>
          <w:sz w:val="22"/>
          <w:szCs w:val="22"/>
        </w:rPr>
        <w:t>the</w:t>
      </w:r>
      <w:r w:rsidRPr="0028321B">
        <w:rPr>
          <w:spacing w:val="-13"/>
          <w:sz w:val="22"/>
          <w:szCs w:val="22"/>
        </w:rPr>
        <w:t xml:space="preserve"> </w:t>
      </w:r>
      <w:r w:rsidRPr="0028321B">
        <w:rPr>
          <w:sz w:val="22"/>
          <w:szCs w:val="22"/>
        </w:rPr>
        <w:t>service</w:t>
      </w:r>
      <w:r w:rsidRPr="0028321B">
        <w:rPr>
          <w:spacing w:val="-11"/>
          <w:sz w:val="22"/>
          <w:szCs w:val="22"/>
        </w:rPr>
        <w:t xml:space="preserve"> </w:t>
      </w:r>
      <w:r w:rsidRPr="0028321B">
        <w:rPr>
          <w:sz w:val="22"/>
          <w:szCs w:val="22"/>
        </w:rPr>
        <w:t>on</w:t>
      </w:r>
      <w:r w:rsidRPr="0028321B">
        <w:rPr>
          <w:spacing w:val="-13"/>
          <w:sz w:val="22"/>
          <w:szCs w:val="22"/>
        </w:rPr>
        <w:t xml:space="preserve"> </w:t>
      </w:r>
      <w:r w:rsidRPr="0028321B">
        <w:rPr>
          <w:sz w:val="22"/>
          <w:szCs w:val="22"/>
        </w:rPr>
        <w:t>1</w:t>
      </w:r>
      <w:r w:rsidRPr="0028321B">
        <w:rPr>
          <w:spacing w:val="-14"/>
          <w:sz w:val="22"/>
          <w:szCs w:val="22"/>
        </w:rPr>
        <w:t xml:space="preserve"> </w:t>
      </w:r>
      <w:r w:rsidRPr="0028321B">
        <w:rPr>
          <w:sz w:val="22"/>
          <w:szCs w:val="22"/>
        </w:rPr>
        <w:t>June</w:t>
      </w:r>
      <w:r w:rsidRPr="0028321B">
        <w:rPr>
          <w:spacing w:val="-10"/>
          <w:sz w:val="22"/>
          <w:szCs w:val="22"/>
        </w:rPr>
        <w:t xml:space="preserve"> </w:t>
      </w:r>
      <w:r w:rsidRPr="0028321B">
        <w:rPr>
          <w:sz w:val="22"/>
          <w:szCs w:val="22"/>
        </w:rPr>
        <w:t>2015</w:t>
      </w:r>
      <w:r w:rsidRPr="0028321B">
        <w:rPr>
          <w:spacing w:val="-11"/>
          <w:sz w:val="22"/>
          <w:szCs w:val="22"/>
        </w:rPr>
        <w:t xml:space="preserve"> </w:t>
      </w:r>
      <w:r w:rsidRPr="0028321B">
        <w:rPr>
          <w:sz w:val="22"/>
          <w:szCs w:val="22"/>
        </w:rPr>
        <w:t>a</w:t>
      </w:r>
      <w:r w:rsidRPr="0028321B">
        <w:rPr>
          <w:spacing w:val="-11"/>
          <w:sz w:val="22"/>
          <w:szCs w:val="22"/>
        </w:rPr>
        <w:t xml:space="preserve"> </w:t>
      </w:r>
      <w:r w:rsidRPr="0028321B">
        <w:rPr>
          <w:sz w:val="22"/>
          <w:szCs w:val="22"/>
        </w:rPr>
        <w:t>small</w:t>
      </w:r>
      <w:r w:rsidRPr="0028321B">
        <w:rPr>
          <w:spacing w:val="-11"/>
          <w:sz w:val="22"/>
          <w:szCs w:val="22"/>
        </w:rPr>
        <w:t xml:space="preserve"> </w:t>
      </w:r>
      <w:r w:rsidRPr="0028321B">
        <w:rPr>
          <w:sz w:val="22"/>
          <w:szCs w:val="22"/>
        </w:rPr>
        <w:t>number</w:t>
      </w:r>
      <w:r w:rsidRPr="0028321B">
        <w:rPr>
          <w:spacing w:val="-12"/>
          <w:sz w:val="22"/>
          <w:szCs w:val="22"/>
        </w:rPr>
        <w:t xml:space="preserve"> </w:t>
      </w:r>
      <w:r w:rsidRPr="0028321B">
        <w:rPr>
          <w:sz w:val="22"/>
          <w:szCs w:val="22"/>
        </w:rPr>
        <w:t>of</w:t>
      </w:r>
      <w:r w:rsidRPr="0028321B">
        <w:rPr>
          <w:spacing w:val="-11"/>
          <w:sz w:val="22"/>
          <w:szCs w:val="22"/>
        </w:rPr>
        <w:t xml:space="preserve"> </w:t>
      </w:r>
      <w:r w:rsidRPr="0028321B">
        <w:rPr>
          <w:sz w:val="22"/>
          <w:szCs w:val="22"/>
        </w:rPr>
        <w:t>staff</w:t>
      </w:r>
      <w:r w:rsidRPr="0028321B">
        <w:rPr>
          <w:spacing w:val="-12"/>
          <w:sz w:val="22"/>
          <w:szCs w:val="22"/>
        </w:rPr>
        <w:t xml:space="preserve"> </w:t>
      </w:r>
      <w:r w:rsidRPr="0028321B">
        <w:rPr>
          <w:sz w:val="22"/>
          <w:szCs w:val="22"/>
        </w:rPr>
        <w:t>transferred</w:t>
      </w:r>
      <w:r w:rsidRPr="0028321B">
        <w:rPr>
          <w:spacing w:val="-13"/>
          <w:sz w:val="22"/>
          <w:szCs w:val="22"/>
        </w:rPr>
        <w:t xml:space="preserve"> </w:t>
      </w:r>
      <w:r w:rsidRPr="0028321B">
        <w:rPr>
          <w:sz w:val="22"/>
          <w:szCs w:val="22"/>
        </w:rPr>
        <w:t>under TUPE transfer arrangements leaving the majority of staff to be appointed through an open recruitment</w:t>
      </w:r>
      <w:r w:rsidRPr="0028321B">
        <w:rPr>
          <w:spacing w:val="-6"/>
          <w:sz w:val="22"/>
          <w:szCs w:val="22"/>
        </w:rPr>
        <w:t xml:space="preserve"> </w:t>
      </w:r>
      <w:r w:rsidRPr="0028321B">
        <w:rPr>
          <w:sz w:val="22"/>
          <w:szCs w:val="22"/>
        </w:rPr>
        <w:t>process.</w:t>
      </w:r>
      <w:r w:rsidRPr="0028321B">
        <w:rPr>
          <w:spacing w:val="-4"/>
          <w:sz w:val="22"/>
          <w:szCs w:val="22"/>
        </w:rPr>
        <w:t xml:space="preserve"> </w:t>
      </w:r>
      <w:r w:rsidRPr="0028321B">
        <w:rPr>
          <w:sz w:val="22"/>
          <w:szCs w:val="22"/>
        </w:rPr>
        <w:t>Since</w:t>
      </w:r>
      <w:r w:rsidRPr="0028321B">
        <w:rPr>
          <w:spacing w:val="-5"/>
          <w:sz w:val="22"/>
          <w:szCs w:val="22"/>
        </w:rPr>
        <w:t xml:space="preserve"> </w:t>
      </w:r>
      <w:r w:rsidRPr="0028321B">
        <w:rPr>
          <w:sz w:val="22"/>
          <w:szCs w:val="22"/>
        </w:rPr>
        <w:t>this</w:t>
      </w:r>
      <w:r w:rsidRPr="0028321B">
        <w:rPr>
          <w:spacing w:val="-6"/>
          <w:sz w:val="22"/>
          <w:szCs w:val="22"/>
        </w:rPr>
        <w:t xml:space="preserve"> </w:t>
      </w:r>
      <w:r w:rsidRPr="0028321B">
        <w:rPr>
          <w:sz w:val="22"/>
          <w:szCs w:val="22"/>
        </w:rPr>
        <w:t>time</w:t>
      </w:r>
      <w:r w:rsidRPr="0028321B">
        <w:rPr>
          <w:spacing w:val="-8"/>
          <w:sz w:val="22"/>
          <w:szCs w:val="22"/>
        </w:rPr>
        <w:t xml:space="preserve"> </w:t>
      </w:r>
      <w:r w:rsidRPr="0028321B">
        <w:rPr>
          <w:sz w:val="22"/>
          <w:szCs w:val="22"/>
        </w:rPr>
        <w:t>the</w:t>
      </w:r>
      <w:r w:rsidRPr="0028321B">
        <w:rPr>
          <w:spacing w:val="-7"/>
          <w:sz w:val="22"/>
          <w:szCs w:val="22"/>
        </w:rPr>
        <w:t xml:space="preserve"> </w:t>
      </w:r>
      <w:r w:rsidRPr="0028321B">
        <w:rPr>
          <w:sz w:val="22"/>
          <w:szCs w:val="22"/>
        </w:rPr>
        <w:t>service</w:t>
      </w:r>
      <w:r w:rsidRPr="0028321B">
        <w:rPr>
          <w:spacing w:val="-7"/>
          <w:sz w:val="22"/>
          <w:szCs w:val="22"/>
        </w:rPr>
        <w:t xml:space="preserve"> </w:t>
      </w:r>
      <w:r w:rsidRPr="0028321B">
        <w:rPr>
          <w:sz w:val="22"/>
          <w:szCs w:val="22"/>
        </w:rPr>
        <w:t>has</w:t>
      </w:r>
      <w:r w:rsidRPr="0028321B">
        <w:rPr>
          <w:spacing w:val="-5"/>
          <w:sz w:val="22"/>
          <w:szCs w:val="22"/>
        </w:rPr>
        <w:t xml:space="preserve"> </w:t>
      </w:r>
      <w:r w:rsidRPr="0028321B">
        <w:rPr>
          <w:sz w:val="22"/>
          <w:szCs w:val="22"/>
        </w:rPr>
        <w:t>grown</w:t>
      </w:r>
      <w:r w:rsidRPr="0028321B">
        <w:rPr>
          <w:spacing w:val="-6"/>
          <w:sz w:val="22"/>
          <w:szCs w:val="22"/>
        </w:rPr>
        <w:t xml:space="preserve"> </w:t>
      </w:r>
      <w:r w:rsidRPr="0028321B">
        <w:rPr>
          <w:sz w:val="22"/>
          <w:szCs w:val="22"/>
        </w:rPr>
        <w:t>considerably</w:t>
      </w:r>
      <w:r w:rsidRPr="0028321B">
        <w:rPr>
          <w:spacing w:val="-7"/>
          <w:sz w:val="22"/>
          <w:szCs w:val="22"/>
        </w:rPr>
        <w:t xml:space="preserve"> </w:t>
      </w:r>
      <w:r w:rsidRPr="0028321B">
        <w:rPr>
          <w:sz w:val="22"/>
          <w:szCs w:val="22"/>
        </w:rPr>
        <w:t>and</w:t>
      </w:r>
      <w:r w:rsidRPr="0028321B">
        <w:rPr>
          <w:spacing w:val="-5"/>
          <w:sz w:val="22"/>
          <w:szCs w:val="22"/>
        </w:rPr>
        <w:t xml:space="preserve"> </w:t>
      </w:r>
      <w:r w:rsidRPr="0028321B">
        <w:rPr>
          <w:sz w:val="22"/>
          <w:szCs w:val="22"/>
        </w:rPr>
        <w:t>now</w:t>
      </w:r>
      <w:r w:rsidRPr="0028321B">
        <w:rPr>
          <w:spacing w:val="-5"/>
          <w:sz w:val="22"/>
          <w:szCs w:val="22"/>
        </w:rPr>
        <w:t xml:space="preserve"> </w:t>
      </w:r>
      <w:r w:rsidRPr="0028321B">
        <w:rPr>
          <w:sz w:val="22"/>
          <w:szCs w:val="22"/>
        </w:rPr>
        <w:t>employs</w:t>
      </w:r>
      <w:r w:rsidRPr="0028321B">
        <w:rPr>
          <w:spacing w:val="-5"/>
          <w:sz w:val="22"/>
          <w:szCs w:val="22"/>
        </w:rPr>
        <w:t xml:space="preserve"> </w:t>
      </w:r>
      <w:r w:rsidRPr="0028321B">
        <w:rPr>
          <w:sz w:val="22"/>
          <w:szCs w:val="22"/>
        </w:rPr>
        <w:t>48 full-time</w:t>
      </w:r>
      <w:r w:rsidRPr="0028321B">
        <w:rPr>
          <w:spacing w:val="-7"/>
          <w:sz w:val="22"/>
          <w:szCs w:val="22"/>
        </w:rPr>
        <w:t xml:space="preserve"> </w:t>
      </w:r>
      <w:r w:rsidRPr="0028321B">
        <w:rPr>
          <w:sz w:val="22"/>
          <w:szCs w:val="22"/>
        </w:rPr>
        <w:t>equivalent</w:t>
      </w:r>
      <w:r w:rsidRPr="0028321B">
        <w:rPr>
          <w:spacing w:val="-5"/>
          <w:sz w:val="22"/>
          <w:szCs w:val="22"/>
        </w:rPr>
        <w:t xml:space="preserve"> </w:t>
      </w:r>
      <w:r w:rsidRPr="0028321B">
        <w:rPr>
          <w:sz w:val="22"/>
          <w:szCs w:val="22"/>
        </w:rPr>
        <w:t>staff.</w:t>
      </w:r>
      <w:r w:rsidRPr="0028321B">
        <w:rPr>
          <w:spacing w:val="-8"/>
          <w:sz w:val="22"/>
          <w:szCs w:val="22"/>
        </w:rPr>
        <w:t xml:space="preserve"> </w:t>
      </w:r>
      <w:r w:rsidRPr="0028321B">
        <w:rPr>
          <w:sz w:val="22"/>
          <w:szCs w:val="22"/>
        </w:rPr>
        <w:t>The</w:t>
      </w:r>
      <w:r w:rsidRPr="0028321B">
        <w:rPr>
          <w:spacing w:val="-6"/>
          <w:sz w:val="22"/>
          <w:szCs w:val="22"/>
        </w:rPr>
        <w:t xml:space="preserve"> </w:t>
      </w:r>
      <w:r w:rsidRPr="0028321B">
        <w:rPr>
          <w:sz w:val="22"/>
          <w:szCs w:val="22"/>
        </w:rPr>
        <w:t>service</w:t>
      </w:r>
      <w:r w:rsidRPr="0028321B">
        <w:rPr>
          <w:spacing w:val="-7"/>
          <w:sz w:val="22"/>
          <w:szCs w:val="22"/>
        </w:rPr>
        <w:t xml:space="preserve"> </w:t>
      </w:r>
      <w:r w:rsidRPr="0028321B">
        <w:rPr>
          <w:sz w:val="22"/>
          <w:szCs w:val="22"/>
        </w:rPr>
        <w:t>is</w:t>
      </w:r>
      <w:r w:rsidRPr="0028321B">
        <w:rPr>
          <w:spacing w:val="-6"/>
          <w:sz w:val="22"/>
          <w:szCs w:val="22"/>
        </w:rPr>
        <w:t xml:space="preserve"> </w:t>
      </w:r>
      <w:r w:rsidRPr="0028321B">
        <w:rPr>
          <w:sz w:val="22"/>
          <w:szCs w:val="22"/>
        </w:rPr>
        <w:t>delivered</w:t>
      </w:r>
      <w:r w:rsidRPr="0028321B">
        <w:rPr>
          <w:spacing w:val="-9"/>
          <w:sz w:val="22"/>
          <w:szCs w:val="22"/>
        </w:rPr>
        <w:t xml:space="preserve"> </w:t>
      </w:r>
      <w:r w:rsidRPr="0028321B">
        <w:rPr>
          <w:sz w:val="22"/>
          <w:szCs w:val="22"/>
        </w:rPr>
        <w:t>via</w:t>
      </w:r>
      <w:r w:rsidRPr="0028321B">
        <w:rPr>
          <w:spacing w:val="-7"/>
          <w:sz w:val="22"/>
          <w:szCs w:val="22"/>
        </w:rPr>
        <w:t xml:space="preserve"> </w:t>
      </w:r>
      <w:r w:rsidRPr="0028321B">
        <w:rPr>
          <w:sz w:val="22"/>
          <w:szCs w:val="22"/>
        </w:rPr>
        <w:t>three</w:t>
      </w:r>
      <w:r w:rsidRPr="0028321B">
        <w:rPr>
          <w:spacing w:val="-6"/>
          <w:sz w:val="22"/>
          <w:szCs w:val="22"/>
        </w:rPr>
        <w:t xml:space="preserve"> </w:t>
      </w:r>
      <w:r w:rsidRPr="0028321B">
        <w:rPr>
          <w:sz w:val="22"/>
          <w:szCs w:val="22"/>
        </w:rPr>
        <w:t>functional</w:t>
      </w:r>
      <w:r w:rsidRPr="0028321B">
        <w:rPr>
          <w:spacing w:val="-8"/>
          <w:sz w:val="22"/>
          <w:szCs w:val="22"/>
        </w:rPr>
        <w:t xml:space="preserve"> </w:t>
      </w:r>
      <w:r w:rsidRPr="0028321B">
        <w:rPr>
          <w:sz w:val="22"/>
          <w:szCs w:val="22"/>
        </w:rPr>
        <w:t>teams</w:t>
      </w:r>
      <w:r w:rsidRPr="0028321B">
        <w:rPr>
          <w:spacing w:val="-6"/>
          <w:sz w:val="22"/>
          <w:szCs w:val="22"/>
        </w:rPr>
        <w:t xml:space="preserve"> </w:t>
      </w:r>
      <w:r w:rsidRPr="0028321B">
        <w:rPr>
          <w:sz w:val="22"/>
          <w:szCs w:val="22"/>
        </w:rPr>
        <w:t>which</w:t>
      </w:r>
      <w:r w:rsidRPr="0028321B">
        <w:rPr>
          <w:spacing w:val="-7"/>
          <w:sz w:val="22"/>
          <w:szCs w:val="22"/>
        </w:rPr>
        <w:t xml:space="preserve"> </w:t>
      </w:r>
      <w:r w:rsidRPr="0028321B">
        <w:rPr>
          <w:sz w:val="22"/>
          <w:szCs w:val="22"/>
        </w:rPr>
        <w:t>focus</w:t>
      </w:r>
      <w:r w:rsidRPr="0028321B">
        <w:rPr>
          <w:spacing w:val="-6"/>
          <w:sz w:val="22"/>
          <w:szCs w:val="22"/>
        </w:rPr>
        <w:t xml:space="preserve"> </w:t>
      </w:r>
      <w:r w:rsidRPr="0028321B">
        <w:rPr>
          <w:sz w:val="22"/>
          <w:szCs w:val="22"/>
        </w:rPr>
        <w:t>upon the recruitment of adopters, family finding for children referred into the service and the provision of adoption support services for adoptive families and adopted adults. The teams are supported by a dedicated Business Support</w:t>
      </w:r>
      <w:r w:rsidRPr="0028321B">
        <w:rPr>
          <w:spacing w:val="-6"/>
          <w:sz w:val="22"/>
          <w:szCs w:val="22"/>
        </w:rPr>
        <w:t xml:space="preserve"> </w:t>
      </w:r>
      <w:r w:rsidRPr="0028321B">
        <w:rPr>
          <w:sz w:val="22"/>
          <w:szCs w:val="22"/>
        </w:rPr>
        <w:t>Team.</w:t>
      </w:r>
    </w:p>
    <w:p w:rsidRPr="0028321B" w:rsidR="0028321B" w:rsidP="0028321B" w:rsidRDefault="0028321B" w14:paraId="64256081" w14:textId="77777777">
      <w:pPr>
        <w:pStyle w:val="BodyText"/>
        <w:spacing w:before="11"/>
        <w:rPr>
          <w:sz w:val="22"/>
          <w:szCs w:val="22"/>
        </w:rPr>
      </w:pPr>
    </w:p>
    <w:p w:rsidRPr="0028321B" w:rsidR="0028321B" w:rsidP="0028321B" w:rsidRDefault="0028321B" w14:paraId="08F425DC" w14:textId="77777777">
      <w:pPr>
        <w:pStyle w:val="BodyText"/>
        <w:ind w:left="140" w:right="136"/>
        <w:jc w:val="both"/>
        <w:rPr>
          <w:sz w:val="22"/>
          <w:szCs w:val="22"/>
        </w:rPr>
      </w:pPr>
      <w:r w:rsidRPr="0028321B">
        <w:rPr>
          <w:sz w:val="22"/>
          <w:szCs w:val="22"/>
        </w:rPr>
        <w:t>In</w:t>
      </w:r>
      <w:r w:rsidRPr="0028321B">
        <w:rPr>
          <w:spacing w:val="-5"/>
          <w:sz w:val="22"/>
          <w:szCs w:val="22"/>
        </w:rPr>
        <w:t xml:space="preserve"> </w:t>
      </w:r>
      <w:r w:rsidRPr="0028321B">
        <w:rPr>
          <w:sz w:val="22"/>
          <w:szCs w:val="22"/>
        </w:rPr>
        <w:t>2019</w:t>
      </w:r>
      <w:r w:rsidRPr="0028321B">
        <w:rPr>
          <w:spacing w:val="-4"/>
          <w:sz w:val="22"/>
          <w:szCs w:val="22"/>
        </w:rPr>
        <w:t xml:space="preserve"> </w:t>
      </w:r>
      <w:r w:rsidRPr="0028321B">
        <w:rPr>
          <w:sz w:val="22"/>
          <w:szCs w:val="22"/>
        </w:rPr>
        <w:t>the</w:t>
      </w:r>
      <w:r w:rsidRPr="0028321B">
        <w:rPr>
          <w:spacing w:val="-4"/>
          <w:sz w:val="22"/>
          <w:szCs w:val="22"/>
        </w:rPr>
        <w:t xml:space="preserve"> </w:t>
      </w:r>
      <w:r w:rsidRPr="0028321B">
        <w:rPr>
          <w:sz w:val="22"/>
          <w:szCs w:val="22"/>
        </w:rPr>
        <w:t>service</w:t>
      </w:r>
      <w:r w:rsidRPr="0028321B">
        <w:rPr>
          <w:spacing w:val="-4"/>
          <w:sz w:val="22"/>
          <w:szCs w:val="22"/>
        </w:rPr>
        <w:t xml:space="preserve"> </w:t>
      </w:r>
      <w:r w:rsidRPr="0028321B">
        <w:rPr>
          <w:sz w:val="22"/>
          <w:szCs w:val="22"/>
        </w:rPr>
        <w:t>received</w:t>
      </w:r>
      <w:r w:rsidRPr="0028321B">
        <w:rPr>
          <w:spacing w:val="-4"/>
          <w:sz w:val="22"/>
          <w:szCs w:val="22"/>
        </w:rPr>
        <w:t xml:space="preserve"> </w:t>
      </w:r>
      <w:r w:rsidRPr="0028321B">
        <w:rPr>
          <w:sz w:val="22"/>
          <w:szCs w:val="22"/>
        </w:rPr>
        <w:t>a</w:t>
      </w:r>
      <w:r w:rsidRPr="0028321B">
        <w:rPr>
          <w:spacing w:val="-4"/>
          <w:sz w:val="22"/>
          <w:szCs w:val="22"/>
        </w:rPr>
        <w:t xml:space="preserve"> </w:t>
      </w:r>
      <w:r w:rsidRPr="0028321B">
        <w:rPr>
          <w:sz w:val="22"/>
          <w:szCs w:val="22"/>
        </w:rPr>
        <w:t>grant</w:t>
      </w:r>
      <w:r w:rsidRPr="0028321B">
        <w:rPr>
          <w:spacing w:val="-3"/>
          <w:sz w:val="22"/>
          <w:szCs w:val="22"/>
        </w:rPr>
        <w:t xml:space="preserve"> </w:t>
      </w:r>
      <w:r w:rsidRPr="0028321B">
        <w:rPr>
          <w:sz w:val="22"/>
          <w:szCs w:val="22"/>
        </w:rPr>
        <w:t>as</w:t>
      </w:r>
      <w:r w:rsidRPr="0028321B">
        <w:rPr>
          <w:spacing w:val="-4"/>
          <w:sz w:val="22"/>
          <w:szCs w:val="22"/>
        </w:rPr>
        <w:t xml:space="preserve"> </w:t>
      </w:r>
      <w:r w:rsidRPr="0028321B">
        <w:rPr>
          <w:sz w:val="22"/>
          <w:szCs w:val="22"/>
        </w:rPr>
        <w:t>part</w:t>
      </w:r>
      <w:r w:rsidRPr="0028321B">
        <w:rPr>
          <w:spacing w:val="-3"/>
          <w:sz w:val="22"/>
          <w:szCs w:val="22"/>
        </w:rPr>
        <w:t xml:space="preserve"> </w:t>
      </w:r>
      <w:r w:rsidRPr="0028321B">
        <w:rPr>
          <w:sz w:val="22"/>
          <w:szCs w:val="22"/>
        </w:rPr>
        <w:t>of</w:t>
      </w:r>
      <w:r w:rsidRPr="0028321B">
        <w:rPr>
          <w:spacing w:val="-5"/>
          <w:sz w:val="22"/>
          <w:szCs w:val="22"/>
        </w:rPr>
        <w:t xml:space="preserve"> </w:t>
      </w:r>
      <w:r w:rsidRPr="0028321B">
        <w:rPr>
          <w:sz w:val="22"/>
          <w:szCs w:val="22"/>
        </w:rPr>
        <w:t>the</w:t>
      </w:r>
      <w:r w:rsidRPr="0028321B">
        <w:rPr>
          <w:spacing w:val="-6"/>
          <w:sz w:val="22"/>
          <w:szCs w:val="22"/>
        </w:rPr>
        <w:t xml:space="preserve"> </w:t>
      </w:r>
      <w:r w:rsidRPr="0028321B">
        <w:rPr>
          <w:sz w:val="22"/>
          <w:szCs w:val="22"/>
        </w:rPr>
        <w:t>Welsh</w:t>
      </w:r>
      <w:r w:rsidRPr="0028321B">
        <w:rPr>
          <w:spacing w:val="-4"/>
          <w:sz w:val="22"/>
          <w:szCs w:val="22"/>
        </w:rPr>
        <w:t xml:space="preserve"> </w:t>
      </w:r>
      <w:r w:rsidRPr="0028321B">
        <w:rPr>
          <w:sz w:val="22"/>
          <w:szCs w:val="22"/>
        </w:rPr>
        <w:t>Government</w:t>
      </w:r>
      <w:r w:rsidRPr="0028321B">
        <w:rPr>
          <w:spacing w:val="-3"/>
          <w:sz w:val="22"/>
          <w:szCs w:val="22"/>
        </w:rPr>
        <w:t xml:space="preserve"> </w:t>
      </w:r>
      <w:r w:rsidRPr="0028321B">
        <w:rPr>
          <w:sz w:val="22"/>
          <w:szCs w:val="22"/>
        </w:rPr>
        <w:t>investment</w:t>
      </w:r>
      <w:r w:rsidRPr="0028321B">
        <w:rPr>
          <w:spacing w:val="-3"/>
          <w:sz w:val="22"/>
          <w:szCs w:val="22"/>
        </w:rPr>
        <w:t xml:space="preserve"> </w:t>
      </w:r>
      <w:r w:rsidRPr="0028321B">
        <w:rPr>
          <w:sz w:val="22"/>
          <w:szCs w:val="22"/>
        </w:rPr>
        <w:t>in</w:t>
      </w:r>
      <w:r w:rsidRPr="0028321B">
        <w:rPr>
          <w:spacing w:val="-4"/>
          <w:sz w:val="22"/>
          <w:szCs w:val="22"/>
        </w:rPr>
        <w:t xml:space="preserve"> </w:t>
      </w:r>
      <w:r w:rsidRPr="0028321B">
        <w:rPr>
          <w:sz w:val="22"/>
          <w:szCs w:val="22"/>
        </w:rPr>
        <w:t>adoption services.</w:t>
      </w:r>
      <w:r w:rsidRPr="0028321B">
        <w:rPr>
          <w:spacing w:val="-16"/>
          <w:sz w:val="22"/>
          <w:szCs w:val="22"/>
        </w:rPr>
        <w:t xml:space="preserve"> </w:t>
      </w:r>
      <w:r w:rsidRPr="0028321B">
        <w:rPr>
          <w:sz w:val="22"/>
          <w:szCs w:val="22"/>
        </w:rPr>
        <w:t>The</w:t>
      </w:r>
      <w:r w:rsidRPr="0028321B">
        <w:rPr>
          <w:spacing w:val="-17"/>
          <w:sz w:val="22"/>
          <w:szCs w:val="22"/>
        </w:rPr>
        <w:t xml:space="preserve"> </w:t>
      </w:r>
      <w:r w:rsidRPr="0028321B">
        <w:rPr>
          <w:sz w:val="22"/>
          <w:szCs w:val="22"/>
        </w:rPr>
        <w:t>grant</w:t>
      </w:r>
      <w:r w:rsidRPr="0028321B">
        <w:rPr>
          <w:spacing w:val="-16"/>
          <w:sz w:val="22"/>
          <w:szCs w:val="22"/>
        </w:rPr>
        <w:t xml:space="preserve"> </w:t>
      </w:r>
      <w:r w:rsidRPr="0028321B">
        <w:rPr>
          <w:sz w:val="22"/>
          <w:szCs w:val="22"/>
        </w:rPr>
        <w:t>is</w:t>
      </w:r>
      <w:r w:rsidRPr="0028321B">
        <w:rPr>
          <w:spacing w:val="-16"/>
          <w:sz w:val="22"/>
          <w:szCs w:val="22"/>
        </w:rPr>
        <w:t xml:space="preserve"> </w:t>
      </w:r>
      <w:r w:rsidRPr="0028321B">
        <w:rPr>
          <w:sz w:val="22"/>
          <w:szCs w:val="22"/>
        </w:rPr>
        <w:t>split</w:t>
      </w:r>
      <w:r w:rsidRPr="0028321B">
        <w:rPr>
          <w:spacing w:val="-13"/>
          <w:sz w:val="22"/>
          <w:szCs w:val="22"/>
        </w:rPr>
        <w:t xml:space="preserve"> </w:t>
      </w:r>
      <w:r w:rsidRPr="0028321B">
        <w:rPr>
          <w:sz w:val="22"/>
          <w:szCs w:val="22"/>
        </w:rPr>
        <w:t>between</w:t>
      </w:r>
      <w:r w:rsidRPr="0028321B">
        <w:rPr>
          <w:spacing w:val="-17"/>
          <w:sz w:val="22"/>
          <w:szCs w:val="22"/>
        </w:rPr>
        <w:t xml:space="preserve"> </w:t>
      </w:r>
      <w:r w:rsidRPr="0028321B">
        <w:rPr>
          <w:sz w:val="22"/>
          <w:szCs w:val="22"/>
        </w:rPr>
        <w:t>VVC</w:t>
      </w:r>
      <w:r w:rsidRPr="0028321B">
        <w:rPr>
          <w:spacing w:val="-14"/>
          <w:sz w:val="22"/>
          <w:szCs w:val="22"/>
        </w:rPr>
        <w:t xml:space="preserve"> </w:t>
      </w:r>
      <w:r w:rsidRPr="0028321B">
        <w:rPr>
          <w:sz w:val="22"/>
          <w:szCs w:val="22"/>
        </w:rPr>
        <w:t>and</w:t>
      </w:r>
      <w:r w:rsidRPr="0028321B">
        <w:rPr>
          <w:spacing w:val="-19"/>
          <w:sz w:val="22"/>
          <w:szCs w:val="22"/>
        </w:rPr>
        <w:t xml:space="preserve"> </w:t>
      </w:r>
      <w:r w:rsidRPr="0028321B">
        <w:rPr>
          <w:sz w:val="22"/>
          <w:szCs w:val="22"/>
        </w:rPr>
        <w:t>the</w:t>
      </w:r>
      <w:r w:rsidRPr="0028321B">
        <w:rPr>
          <w:spacing w:val="-17"/>
          <w:sz w:val="22"/>
          <w:szCs w:val="22"/>
        </w:rPr>
        <w:t xml:space="preserve"> </w:t>
      </w:r>
      <w:r w:rsidRPr="0028321B">
        <w:rPr>
          <w:sz w:val="22"/>
          <w:szCs w:val="22"/>
        </w:rPr>
        <w:t>partner</w:t>
      </w:r>
      <w:r w:rsidRPr="0028321B">
        <w:rPr>
          <w:spacing w:val="-13"/>
          <w:sz w:val="22"/>
          <w:szCs w:val="22"/>
        </w:rPr>
        <w:t xml:space="preserve"> </w:t>
      </w:r>
      <w:r w:rsidRPr="0028321B">
        <w:rPr>
          <w:sz w:val="22"/>
          <w:szCs w:val="22"/>
        </w:rPr>
        <w:t>authorities.</w:t>
      </w:r>
      <w:r w:rsidRPr="0028321B">
        <w:rPr>
          <w:spacing w:val="-15"/>
          <w:sz w:val="22"/>
          <w:szCs w:val="22"/>
        </w:rPr>
        <w:t xml:space="preserve"> </w:t>
      </w:r>
      <w:r w:rsidRPr="0028321B">
        <w:rPr>
          <w:sz w:val="22"/>
          <w:szCs w:val="22"/>
        </w:rPr>
        <w:t>Five</w:t>
      </w:r>
      <w:r w:rsidRPr="0028321B">
        <w:rPr>
          <w:spacing w:val="-17"/>
          <w:sz w:val="22"/>
          <w:szCs w:val="22"/>
        </w:rPr>
        <w:t xml:space="preserve"> </w:t>
      </w:r>
      <w:r w:rsidRPr="0028321B">
        <w:rPr>
          <w:sz w:val="22"/>
          <w:szCs w:val="22"/>
        </w:rPr>
        <w:t>specialist</w:t>
      </w:r>
      <w:r w:rsidRPr="0028321B">
        <w:rPr>
          <w:spacing w:val="-13"/>
          <w:sz w:val="22"/>
          <w:szCs w:val="22"/>
        </w:rPr>
        <w:t xml:space="preserve"> </w:t>
      </w:r>
      <w:r w:rsidRPr="0028321B">
        <w:rPr>
          <w:sz w:val="22"/>
          <w:szCs w:val="22"/>
        </w:rPr>
        <w:t>posts</w:t>
      </w:r>
      <w:r w:rsidRPr="0028321B">
        <w:rPr>
          <w:spacing w:val="-16"/>
          <w:sz w:val="22"/>
          <w:szCs w:val="22"/>
        </w:rPr>
        <w:t xml:space="preserve"> </w:t>
      </w:r>
      <w:r w:rsidRPr="0028321B">
        <w:rPr>
          <w:sz w:val="22"/>
          <w:szCs w:val="22"/>
        </w:rPr>
        <w:t>have been recruited to VVC as a result of these</w:t>
      </w:r>
      <w:r w:rsidRPr="0028321B">
        <w:rPr>
          <w:spacing w:val="-12"/>
          <w:sz w:val="22"/>
          <w:szCs w:val="22"/>
        </w:rPr>
        <w:t xml:space="preserve"> </w:t>
      </w:r>
      <w:r w:rsidRPr="0028321B">
        <w:rPr>
          <w:sz w:val="22"/>
          <w:szCs w:val="22"/>
        </w:rPr>
        <w:t>monies.</w:t>
      </w:r>
    </w:p>
    <w:p w:rsidR="0028321B" w:rsidP="0028321B" w:rsidRDefault="0028321B" w14:paraId="195D191A" w14:textId="77777777">
      <w:pPr>
        <w:jc w:val="both"/>
        <w:sectPr w:rsidR="0028321B">
          <w:pgSz w:w="11910" w:h="16840"/>
          <w:pgMar w:top="1340" w:right="1300" w:bottom="280" w:left="1300" w:header="720" w:footer="720" w:gutter="0"/>
          <w:cols w:space="720"/>
        </w:sectPr>
      </w:pPr>
    </w:p>
    <w:p w:rsidR="0028321B" w:rsidP="0028321B" w:rsidRDefault="0028321B" w14:paraId="2398CC6B" w14:textId="77777777">
      <w:pPr>
        <w:pStyle w:val="Heading2"/>
        <w:numPr>
          <w:ilvl w:val="0"/>
          <w:numId w:val="0"/>
        </w:numPr>
        <w:spacing w:before="81"/>
      </w:pPr>
      <w:r>
        <w:lastRenderedPageBreak/>
        <w:t>Review of Effectiveness</w:t>
      </w:r>
    </w:p>
    <w:p w:rsidR="0028321B" w:rsidP="0028321B" w:rsidRDefault="0028321B" w14:paraId="37E6F3C5" w14:textId="77777777">
      <w:pPr>
        <w:pStyle w:val="BodyText"/>
        <w:rPr>
          <w:b/>
        </w:rPr>
      </w:pPr>
    </w:p>
    <w:p w:rsidRPr="0028321B" w:rsidR="0028321B" w:rsidP="0028321B" w:rsidRDefault="0028321B" w14:paraId="3222B0AC" w14:textId="77777777">
      <w:pPr>
        <w:pStyle w:val="BodyText"/>
        <w:spacing w:before="1"/>
        <w:ind w:left="139" w:right="136"/>
        <w:jc w:val="both"/>
        <w:rPr>
          <w:sz w:val="22"/>
          <w:szCs w:val="22"/>
        </w:rPr>
      </w:pPr>
      <w:r w:rsidRPr="0028321B">
        <w:rPr>
          <w:sz w:val="22"/>
          <w:szCs w:val="22"/>
        </w:rPr>
        <w:t>Schedule 6, of the Collaborative Agreement outlines the audit requirements in respect of the service. The Host’s external auditor (Wales Audit Office) is also the external auditor for VVC. The</w:t>
      </w:r>
      <w:r w:rsidRPr="0028321B">
        <w:rPr>
          <w:spacing w:val="-5"/>
          <w:sz w:val="22"/>
          <w:szCs w:val="22"/>
        </w:rPr>
        <w:t xml:space="preserve"> </w:t>
      </w:r>
      <w:r w:rsidRPr="0028321B">
        <w:rPr>
          <w:sz w:val="22"/>
          <w:szCs w:val="22"/>
        </w:rPr>
        <w:t>Schedule</w:t>
      </w:r>
      <w:r w:rsidRPr="0028321B">
        <w:rPr>
          <w:spacing w:val="-4"/>
          <w:sz w:val="22"/>
          <w:szCs w:val="22"/>
        </w:rPr>
        <w:t xml:space="preserve"> </w:t>
      </w:r>
      <w:r w:rsidRPr="0028321B">
        <w:rPr>
          <w:sz w:val="22"/>
          <w:szCs w:val="22"/>
        </w:rPr>
        <w:t>states</w:t>
      </w:r>
      <w:r w:rsidRPr="0028321B">
        <w:rPr>
          <w:spacing w:val="-8"/>
          <w:sz w:val="22"/>
          <w:szCs w:val="22"/>
        </w:rPr>
        <w:t xml:space="preserve"> </w:t>
      </w:r>
      <w:r w:rsidRPr="0028321B">
        <w:rPr>
          <w:sz w:val="22"/>
          <w:szCs w:val="22"/>
        </w:rPr>
        <w:t>that,</w:t>
      </w:r>
      <w:r w:rsidRPr="0028321B">
        <w:rPr>
          <w:spacing w:val="-5"/>
          <w:sz w:val="22"/>
          <w:szCs w:val="22"/>
        </w:rPr>
        <w:t xml:space="preserve"> </w:t>
      </w:r>
      <w:r w:rsidRPr="0028321B">
        <w:rPr>
          <w:sz w:val="22"/>
          <w:szCs w:val="22"/>
        </w:rPr>
        <w:t>following</w:t>
      </w:r>
      <w:r w:rsidRPr="0028321B">
        <w:rPr>
          <w:spacing w:val="-4"/>
          <w:sz w:val="22"/>
          <w:szCs w:val="22"/>
        </w:rPr>
        <w:t xml:space="preserve"> </w:t>
      </w:r>
      <w:r w:rsidRPr="0028321B">
        <w:rPr>
          <w:sz w:val="22"/>
          <w:szCs w:val="22"/>
        </w:rPr>
        <w:t>each</w:t>
      </w:r>
      <w:r w:rsidRPr="0028321B">
        <w:rPr>
          <w:spacing w:val="-4"/>
          <w:sz w:val="22"/>
          <w:szCs w:val="22"/>
        </w:rPr>
        <w:t xml:space="preserve"> </w:t>
      </w:r>
      <w:r w:rsidRPr="0028321B">
        <w:rPr>
          <w:sz w:val="22"/>
          <w:szCs w:val="22"/>
        </w:rPr>
        <w:t>year-end,</w:t>
      </w:r>
      <w:r w:rsidRPr="0028321B">
        <w:rPr>
          <w:spacing w:val="-5"/>
          <w:sz w:val="22"/>
          <w:szCs w:val="22"/>
        </w:rPr>
        <w:t xml:space="preserve"> </w:t>
      </w:r>
      <w:r w:rsidRPr="0028321B">
        <w:rPr>
          <w:sz w:val="22"/>
          <w:szCs w:val="22"/>
        </w:rPr>
        <w:t>the</w:t>
      </w:r>
      <w:r w:rsidRPr="0028321B">
        <w:rPr>
          <w:spacing w:val="-4"/>
          <w:sz w:val="22"/>
          <w:szCs w:val="22"/>
        </w:rPr>
        <w:t xml:space="preserve"> </w:t>
      </w:r>
      <w:r w:rsidRPr="0028321B">
        <w:rPr>
          <w:sz w:val="22"/>
          <w:szCs w:val="22"/>
        </w:rPr>
        <w:t>Host</w:t>
      </w:r>
      <w:r w:rsidRPr="0028321B">
        <w:rPr>
          <w:spacing w:val="-4"/>
          <w:sz w:val="22"/>
          <w:szCs w:val="22"/>
        </w:rPr>
        <w:t xml:space="preserve"> </w:t>
      </w:r>
      <w:r w:rsidRPr="0028321B">
        <w:rPr>
          <w:sz w:val="22"/>
          <w:szCs w:val="22"/>
        </w:rPr>
        <w:t>is</w:t>
      </w:r>
      <w:r w:rsidRPr="0028321B">
        <w:rPr>
          <w:spacing w:val="-6"/>
          <w:sz w:val="22"/>
          <w:szCs w:val="22"/>
        </w:rPr>
        <w:t xml:space="preserve"> </w:t>
      </w:r>
      <w:r w:rsidRPr="0028321B">
        <w:rPr>
          <w:sz w:val="22"/>
          <w:szCs w:val="22"/>
        </w:rPr>
        <w:t>required</w:t>
      </w:r>
      <w:r w:rsidRPr="0028321B">
        <w:rPr>
          <w:spacing w:val="-9"/>
          <w:sz w:val="22"/>
          <w:szCs w:val="22"/>
        </w:rPr>
        <w:t xml:space="preserve"> </w:t>
      </w:r>
      <w:r w:rsidRPr="0028321B">
        <w:rPr>
          <w:sz w:val="22"/>
          <w:szCs w:val="22"/>
        </w:rPr>
        <w:t>to</w:t>
      </w:r>
      <w:r w:rsidRPr="0028321B">
        <w:rPr>
          <w:spacing w:val="-4"/>
          <w:sz w:val="22"/>
          <w:szCs w:val="22"/>
        </w:rPr>
        <w:t xml:space="preserve"> </w:t>
      </w:r>
      <w:r w:rsidRPr="0028321B">
        <w:rPr>
          <w:sz w:val="22"/>
          <w:szCs w:val="22"/>
        </w:rPr>
        <w:t>prepare</w:t>
      </w:r>
      <w:r w:rsidRPr="0028321B">
        <w:rPr>
          <w:spacing w:val="-6"/>
          <w:sz w:val="22"/>
          <w:szCs w:val="22"/>
        </w:rPr>
        <w:t xml:space="preserve"> </w:t>
      </w:r>
      <w:r w:rsidRPr="0028321B">
        <w:rPr>
          <w:sz w:val="22"/>
          <w:szCs w:val="22"/>
        </w:rPr>
        <w:t>the</w:t>
      </w:r>
      <w:r w:rsidRPr="0028321B">
        <w:rPr>
          <w:spacing w:val="-6"/>
          <w:sz w:val="22"/>
          <w:szCs w:val="22"/>
        </w:rPr>
        <w:t xml:space="preserve"> </w:t>
      </w:r>
      <w:r w:rsidRPr="0028321B">
        <w:rPr>
          <w:sz w:val="22"/>
          <w:szCs w:val="22"/>
        </w:rPr>
        <w:t>annual accounts for the Joint Committee and Management Board and ensure that all relevant information is available for external</w:t>
      </w:r>
      <w:r w:rsidRPr="0028321B">
        <w:rPr>
          <w:spacing w:val="1"/>
          <w:sz w:val="22"/>
          <w:szCs w:val="22"/>
        </w:rPr>
        <w:t xml:space="preserve"> </w:t>
      </w:r>
      <w:r w:rsidRPr="0028321B">
        <w:rPr>
          <w:sz w:val="22"/>
          <w:szCs w:val="22"/>
        </w:rPr>
        <w:t>inspection.</w:t>
      </w:r>
    </w:p>
    <w:p w:rsidRPr="0028321B" w:rsidR="0028321B" w:rsidP="0028321B" w:rsidRDefault="0028321B" w14:paraId="77E083BB" w14:textId="77777777">
      <w:pPr>
        <w:pStyle w:val="BodyText"/>
        <w:spacing w:before="10"/>
        <w:rPr>
          <w:sz w:val="22"/>
          <w:szCs w:val="22"/>
        </w:rPr>
      </w:pPr>
    </w:p>
    <w:p w:rsidRPr="0028321B" w:rsidR="0028321B" w:rsidP="0028321B" w:rsidRDefault="0028321B" w14:paraId="7B2AA78C" w14:textId="77777777">
      <w:pPr>
        <w:pStyle w:val="BodyText"/>
        <w:ind w:left="140" w:right="135"/>
        <w:jc w:val="both"/>
        <w:rPr>
          <w:sz w:val="22"/>
          <w:szCs w:val="22"/>
        </w:rPr>
      </w:pPr>
      <w:r w:rsidRPr="0028321B">
        <w:rPr>
          <w:sz w:val="22"/>
          <w:szCs w:val="22"/>
        </w:rPr>
        <w:t xml:space="preserve">VVC is required to report on a range of performance measures to the National Adoption Service on a quarterly basis under a national Performance Management Framework. In addition, there is a legal requirement for the service to report on the quality of care provided on a </w:t>
      </w:r>
      <w:proofErr w:type="gramStart"/>
      <w:r w:rsidRPr="0028321B">
        <w:rPr>
          <w:sz w:val="22"/>
          <w:szCs w:val="22"/>
        </w:rPr>
        <w:t>six monthly</w:t>
      </w:r>
      <w:proofErr w:type="gramEnd"/>
      <w:r w:rsidRPr="0028321B">
        <w:rPr>
          <w:sz w:val="22"/>
          <w:szCs w:val="22"/>
        </w:rPr>
        <w:t xml:space="preserve"> basis and the Collaborative Agreement requires the service to prepare an annual</w:t>
      </w:r>
      <w:r w:rsidRPr="0028321B">
        <w:rPr>
          <w:spacing w:val="-7"/>
          <w:sz w:val="22"/>
          <w:szCs w:val="22"/>
        </w:rPr>
        <w:t xml:space="preserve"> </w:t>
      </w:r>
      <w:r w:rsidRPr="0028321B">
        <w:rPr>
          <w:sz w:val="22"/>
          <w:szCs w:val="22"/>
        </w:rPr>
        <w:t>report.</w:t>
      </w:r>
      <w:r w:rsidRPr="0028321B">
        <w:rPr>
          <w:spacing w:val="-7"/>
          <w:sz w:val="22"/>
          <w:szCs w:val="22"/>
        </w:rPr>
        <w:t xml:space="preserve"> </w:t>
      </w:r>
      <w:r w:rsidRPr="0028321B">
        <w:rPr>
          <w:sz w:val="22"/>
          <w:szCs w:val="22"/>
        </w:rPr>
        <w:t>This</w:t>
      </w:r>
      <w:r w:rsidRPr="0028321B">
        <w:rPr>
          <w:spacing w:val="-8"/>
          <w:sz w:val="22"/>
          <w:szCs w:val="22"/>
        </w:rPr>
        <w:t xml:space="preserve"> </w:t>
      </w:r>
      <w:r w:rsidRPr="0028321B">
        <w:rPr>
          <w:sz w:val="22"/>
          <w:szCs w:val="22"/>
        </w:rPr>
        <w:t>report</w:t>
      </w:r>
      <w:r w:rsidRPr="0028321B">
        <w:rPr>
          <w:spacing w:val="-7"/>
          <w:sz w:val="22"/>
          <w:szCs w:val="22"/>
        </w:rPr>
        <w:t xml:space="preserve"> </w:t>
      </w:r>
      <w:r w:rsidRPr="0028321B">
        <w:rPr>
          <w:sz w:val="22"/>
          <w:szCs w:val="22"/>
        </w:rPr>
        <w:t>is</w:t>
      </w:r>
      <w:r w:rsidRPr="0028321B">
        <w:rPr>
          <w:spacing w:val="-5"/>
          <w:sz w:val="22"/>
          <w:szCs w:val="22"/>
        </w:rPr>
        <w:t xml:space="preserve"> </w:t>
      </w:r>
      <w:r w:rsidRPr="0028321B">
        <w:rPr>
          <w:sz w:val="22"/>
          <w:szCs w:val="22"/>
        </w:rPr>
        <w:t>provided</w:t>
      </w:r>
      <w:r w:rsidRPr="0028321B">
        <w:rPr>
          <w:spacing w:val="-9"/>
          <w:sz w:val="22"/>
          <w:szCs w:val="22"/>
        </w:rPr>
        <w:t xml:space="preserve"> </w:t>
      </w:r>
      <w:r w:rsidRPr="0028321B">
        <w:rPr>
          <w:sz w:val="22"/>
          <w:szCs w:val="22"/>
        </w:rPr>
        <w:t>to</w:t>
      </w:r>
      <w:r w:rsidRPr="0028321B">
        <w:rPr>
          <w:spacing w:val="-9"/>
          <w:sz w:val="22"/>
          <w:szCs w:val="22"/>
        </w:rPr>
        <w:t xml:space="preserve"> </w:t>
      </w:r>
      <w:r w:rsidRPr="0028321B">
        <w:rPr>
          <w:sz w:val="22"/>
          <w:szCs w:val="22"/>
        </w:rPr>
        <w:t>the</w:t>
      </w:r>
      <w:r w:rsidRPr="0028321B">
        <w:rPr>
          <w:spacing w:val="-9"/>
          <w:sz w:val="22"/>
          <w:szCs w:val="22"/>
        </w:rPr>
        <w:t xml:space="preserve"> </w:t>
      </w:r>
      <w:r w:rsidRPr="0028321B">
        <w:rPr>
          <w:sz w:val="22"/>
          <w:szCs w:val="22"/>
        </w:rPr>
        <w:t>Joint</w:t>
      </w:r>
      <w:r w:rsidRPr="0028321B">
        <w:rPr>
          <w:spacing w:val="-6"/>
          <w:sz w:val="22"/>
          <w:szCs w:val="22"/>
        </w:rPr>
        <w:t xml:space="preserve"> </w:t>
      </w:r>
      <w:r w:rsidRPr="0028321B">
        <w:rPr>
          <w:sz w:val="22"/>
          <w:szCs w:val="22"/>
        </w:rPr>
        <w:t>Committee,</w:t>
      </w:r>
      <w:r w:rsidRPr="0028321B">
        <w:rPr>
          <w:spacing w:val="-5"/>
          <w:sz w:val="22"/>
          <w:szCs w:val="22"/>
        </w:rPr>
        <w:t xml:space="preserve"> </w:t>
      </w:r>
      <w:r w:rsidRPr="0028321B">
        <w:rPr>
          <w:sz w:val="22"/>
          <w:szCs w:val="22"/>
        </w:rPr>
        <w:t>VVC</w:t>
      </w:r>
      <w:r w:rsidRPr="0028321B">
        <w:rPr>
          <w:spacing w:val="-9"/>
          <w:sz w:val="22"/>
          <w:szCs w:val="22"/>
        </w:rPr>
        <w:t xml:space="preserve"> </w:t>
      </w:r>
      <w:r w:rsidRPr="0028321B">
        <w:rPr>
          <w:sz w:val="22"/>
          <w:szCs w:val="22"/>
        </w:rPr>
        <w:t>Management</w:t>
      </w:r>
      <w:r w:rsidRPr="0028321B">
        <w:rPr>
          <w:spacing w:val="-7"/>
          <w:sz w:val="22"/>
          <w:szCs w:val="22"/>
        </w:rPr>
        <w:t xml:space="preserve"> </w:t>
      </w:r>
      <w:r w:rsidRPr="0028321B">
        <w:rPr>
          <w:sz w:val="22"/>
          <w:szCs w:val="22"/>
        </w:rPr>
        <w:t>Board</w:t>
      </w:r>
      <w:r w:rsidRPr="0028321B">
        <w:rPr>
          <w:spacing w:val="-8"/>
          <w:sz w:val="22"/>
          <w:szCs w:val="22"/>
        </w:rPr>
        <w:t xml:space="preserve"> </w:t>
      </w:r>
      <w:r w:rsidRPr="0028321B">
        <w:rPr>
          <w:sz w:val="22"/>
          <w:szCs w:val="22"/>
        </w:rPr>
        <w:t>and</w:t>
      </w:r>
      <w:r w:rsidRPr="0028321B">
        <w:rPr>
          <w:spacing w:val="-9"/>
          <w:sz w:val="22"/>
          <w:szCs w:val="22"/>
        </w:rPr>
        <w:t xml:space="preserve"> </w:t>
      </w:r>
      <w:r w:rsidRPr="0028321B">
        <w:rPr>
          <w:sz w:val="22"/>
          <w:szCs w:val="22"/>
        </w:rPr>
        <w:t>to each of the partners’ Scrutiny</w:t>
      </w:r>
      <w:r w:rsidRPr="0028321B">
        <w:rPr>
          <w:spacing w:val="-3"/>
          <w:sz w:val="22"/>
          <w:szCs w:val="22"/>
        </w:rPr>
        <w:t xml:space="preserve"> </w:t>
      </w:r>
      <w:r w:rsidRPr="0028321B">
        <w:rPr>
          <w:sz w:val="22"/>
          <w:szCs w:val="22"/>
        </w:rPr>
        <w:t>Committees.</w:t>
      </w:r>
    </w:p>
    <w:p w:rsidRPr="0028321B" w:rsidR="0028321B" w:rsidP="0028321B" w:rsidRDefault="0028321B" w14:paraId="2E6AA790" w14:textId="77777777">
      <w:pPr>
        <w:pStyle w:val="BodyText"/>
        <w:rPr>
          <w:sz w:val="22"/>
          <w:szCs w:val="22"/>
        </w:rPr>
      </w:pPr>
    </w:p>
    <w:p w:rsidRPr="0028321B" w:rsidR="0028321B" w:rsidP="0028321B" w:rsidRDefault="0028321B" w14:paraId="4CAB02F9" w14:textId="77777777">
      <w:pPr>
        <w:pStyle w:val="BodyText"/>
        <w:ind w:left="140" w:right="140"/>
        <w:jc w:val="both"/>
        <w:rPr>
          <w:sz w:val="22"/>
          <w:szCs w:val="22"/>
        </w:rPr>
      </w:pPr>
      <w:r w:rsidRPr="0028321B">
        <w:rPr>
          <w:sz w:val="22"/>
          <w:szCs w:val="22"/>
        </w:rPr>
        <w:t xml:space="preserve">VVC is also required to report to the National Adoption Service on the performance of the grant funded posts within the region on a </w:t>
      </w:r>
      <w:proofErr w:type="gramStart"/>
      <w:r w:rsidRPr="0028321B">
        <w:rPr>
          <w:sz w:val="22"/>
          <w:szCs w:val="22"/>
        </w:rPr>
        <w:t>six monthly</w:t>
      </w:r>
      <w:proofErr w:type="gramEnd"/>
      <w:r w:rsidRPr="0028321B">
        <w:rPr>
          <w:sz w:val="22"/>
          <w:szCs w:val="22"/>
        </w:rPr>
        <w:t xml:space="preserve"> basis.</w:t>
      </w:r>
    </w:p>
    <w:p w:rsidR="0028321B" w:rsidP="0028321B" w:rsidRDefault="0028321B" w14:paraId="579DE51F" w14:textId="77777777">
      <w:pPr>
        <w:pStyle w:val="BodyText"/>
        <w:spacing w:before="10"/>
        <w:rPr>
          <w:sz w:val="21"/>
        </w:rPr>
      </w:pPr>
    </w:p>
    <w:p w:rsidR="0028321B" w:rsidP="0028321B" w:rsidRDefault="0028321B" w14:paraId="5F6BA7DB" w14:textId="77777777">
      <w:pPr>
        <w:pStyle w:val="Heading2"/>
        <w:numPr>
          <w:ilvl w:val="0"/>
          <w:numId w:val="0"/>
        </w:numPr>
        <w:spacing w:before="1"/>
      </w:pPr>
      <w:r>
        <w:t>Internal Audit</w:t>
      </w:r>
    </w:p>
    <w:p w:rsidR="0028321B" w:rsidP="0028321B" w:rsidRDefault="0028321B" w14:paraId="40137558" w14:textId="77777777">
      <w:pPr>
        <w:pStyle w:val="BodyText"/>
        <w:rPr>
          <w:b/>
        </w:rPr>
      </w:pPr>
    </w:p>
    <w:p w:rsidRPr="0028321B" w:rsidR="0028321B" w:rsidP="0028321B" w:rsidRDefault="0028321B" w14:paraId="45898351" w14:textId="77777777">
      <w:pPr>
        <w:pStyle w:val="BodyText"/>
        <w:ind w:left="140" w:right="135"/>
        <w:jc w:val="both"/>
        <w:rPr>
          <w:sz w:val="22"/>
          <w:szCs w:val="22"/>
        </w:rPr>
      </w:pPr>
      <w:r w:rsidRPr="0028321B">
        <w:rPr>
          <w:sz w:val="22"/>
          <w:szCs w:val="22"/>
        </w:rPr>
        <w:t>Since its’ inception VVC has been subject to an annual audit process undertaken by the internal auditor for the Host authority. The objective of the audit is to provide the necessary assurance that the financial controls and governance framework for the service is operating effectively and in compliance with the Council’s Financial Procedure Rules.</w:t>
      </w:r>
    </w:p>
    <w:p w:rsidRPr="0028321B" w:rsidR="0028321B" w:rsidP="0028321B" w:rsidRDefault="0028321B" w14:paraId="477F85CE" w14:textId="77777777">
      <w:pPr>
        <w:pStyle w:val="BodyText"/>
        <w:spacing w:before="11"/>
        <w:rPr>
          <w:sz w:val="22"/>
          <w:szCs w:val="22"/>
        </w:rPr>
      </w:pPr>
    </w:p>
    <w:p w:rsidRPr="0028321B" w:rsidR="0028321B" w:rsidP="0028321B" w:rsidRDefault="0028321B" w14:paraId="023CFF57" w14:textId="77777777">
      <w:pPr>
        <w:pStyle w:val="BodyText"/>
        <w:ind w:left="139" w:right="135"/>
        <w:jc w:val="both"/>
        <w:rPr>
          <w:sz w:val="22"/>
          <w:szCs w:val="22"/>
        </w:rPr>
      </w:pPr>
      <w:r w:rsidRPr="0028321B">
        <w:rPr>
          <w:sz w:val="22"/>
          <w:szCs w:val="22"/>
        </w:rPr>
        <w:t xml:space="preserve">The audit undertaken relating to the 2021/22 financial year highlighted a number of strengths and areas of good practice. Two issues of concern were identified relating to the status of VVC’s WASPI and the audit trail in respect of </w:t>
      </w:r>
      <w:proofErr w:type="spellStart"/>
      <w:r w:rsidRPr="0028321B">
        <w:rPr>
          <w:sz w:val="22"/>
          <w:szCs w:val="22"/>
        </w:rPr>
        <w:t>Pcard</w:t>
      </w:r>
      <w:proofErr w:type="spellEnd"/>
      <w:r w:rsidRPr="0028321B">
        <w:rPr>
          <w:sz w:val="22"/>
          <w:szCs w:val="22"/>
        </w:rPr>
        <w:t xml:space="preserve"> purchases and non-order invoices. As a result of these matters the auditor determined that the system of controls in place were felt to provide “ Reasonable Assurance”. A Management Action Plan was developed as a result of the audit and updates have been provided during the year to the auditor on the progression of the plan.</w:t>
      </w:r>
    </w:p>
    <w:p w:rsidRPr="0028321B" w:rsidR="0028321B" w:rsidP="0028321B" w:rsidRDefault="0028321B" w14:paraId="791C555D" w14:textId="77777777">
      <w:pPr>
        <w:pStyle w:val="BodyText"/>
        <w:spacing w:before="10"/>
        <w:rPr>
          <w:sz w:val="22"/>
          <w:szCs w:val="22"/>
        </w:rPr>
      </w:pPr>
    </w:p>
    <w:p w:rsidRPr="0028321B" w:rsidR="0028321B" w:rsidP="0028321B" w:rsidRDefault="0028321B" w14:paraId="4F03C9CC" w14:textId="77777777">
      <w:pPr>
        <w:pStyle w:val="BodyText"/>
        <w:ind w:left="140" w:right="136"/>
        <w:jc w:val="both"/>
        <w:rPr>
          <w:sz w:val="22"/>
          <w:szCs w:val="22"/>
        </w:rPr>
      </w:pPr>
      <w:r w:rsidRPr="0028321B">
        <w:rPr>
          <w:sz w:val="22"/>
          <w:szCs w:val="22"/>
        </w:rPr>
        <w:t>The</w:t>
      </w:r>
      <w:r w:rsidRPr="0028321B">
        <w:rPr>
          <w:spacing w:val="-10"/>
          <w:sz w:val="22"/>
          <w:szCs w:val="22"/>
        </w:rPr>
        <w:t xml:space="preserve"> </w:t>
      </w:r>
      <w:r w:rsidRPr="0028321B">
        <w:rPr>
          <w:sz w:val="22"/>
          <w:szCs w:val="22"/>
        </w:rPr>
        <w:t>audit</w:t>
      </w:r>
      <w:r w:rsidRPr="0028321B">
        <w:rPr>
          <w:spacing w:val="-8"/>
          <w:sz w:val="22"/>
          <w:szCs w:val="22"/>
        </w:rPr>
        <w:t xml:space="preserve"> </w:t>
      </w:r>
      <w:r w:rsidRPr="0028321B">
        <w:rPr>
          <w:sz w:val="22"/>
          <w:szCs w:val="22"/>
        </w:rPr>
        <w:t>undertaken</w:t>
      </w:r>
      <w:r w:rsidRPr="0028321B">
        <w:rPr>
          <w:spacing w:val="-12"/>
          <w:sz w:val="22"/>
          <w:szCs w:val="22"/>
        </w:rPr>
        <w:t xml:space="preserve"> </w:t>
      </w:r>
      <w:r w:rsidRPr="0028321B">
        <w:rPr>
          <w:sz w:val="22"/>
          <w:szCs w:val="22"/>
        </w:rPr>
        <w:t>for</w:t>
      </w:r>
      <w:r w:rsidRPr="0028321B">
        <w:rPr>
          <w:spacing w:val="-10"/>
          <w:sz w:val="22"/>
          <w:szCs w:val="22"/>
        </w:rPr>
        <w:t xml:space="preserve"> </w:t>
      </w:r>
      <w:r w:rsidRPr="0028321B">
        <w:rPr>
          <w:sz w:val="22"/>
          <w:szCs w:val="22"/>
        </w:rPr>
        <w:t>2022/23</w:t>
      </w:r>
      <w:r w:rsidRPr="0028321B">
        <w:rPr>
          <w:spacing w:val="-12"/>
          <w:sz w:val="22"/>
          <w:szCs w:val="22"/>
        </w:rPr>
        <w:t xml:space="preserve"> </w:t>
      </w:r>
      <w:r w:rsidRPr="0028321B">
        <w:rPr>
          <w:sz w:val="22"/>
          <w:szCs w:val="22"/>
        </w:rPr>
        <w:t>financial</w:t>
      </w:r>
      <w:r w:rsidRPr="0028321B">
        <w:rPr>
          <w:spacing w:val="-10"/>
          <w:sz w:val="22"/>
          <w:szCs w:val="22"/>
        </w:rPr>
        <w:t xml:space="preserve"> </w:t>
      </w:r>
      <w:r w:rsidRPr="0028321B">
        <w:rPr>
          <w:sz w:val="22"/>
          <w:szCs w:val="22"/>
        </w:rPr>
        <w:t>year</w:t>
      </w:r>
      <w:r w:rsidRPr="0028321B">
        <w:rPr>
          <w:spacing w:val="-9"/>
          <w:sz w:val="22"/>
          <w:szCs w:val="22"/>
        </w:rPr>
        <w:t xml:space="preserve"> </w:t>
      </w:r>
      <w:r w:rsidRPr="0028321B">
        <w:rPr>
          <w:sz w:val="22"/>
          <w:szCs w:val="22"/>
        </w:rPr>
        <w:t>has</w:t>
      </w:r>
      <w:r w:rsidRPr="0028321B">
        <w:rPr>
          <w:spacing w:val="-8"/>
          <w:sz w:val="22"/>
          <w:szCs w:val="22"/>
        </w:rPr>
        <w:t xml:space="preserve"> </w:t>
      </w:r>
      <w:r w:rsidRPr="0028321B">
        <w:rPr>
          <w:sz w:val="22"/>
          <w:szCs w:val="22"/>
        </w:rPr>
        <w:t>recently</w:t>
      </w:r>
      <w:r w:rsidRPr="0028321B">
        <w:rPr>
          <w:spacing w:val="-9"/>
          <w:sz w:val="22"/>
          <w:szCs w:val="22"/>
        </w:rPr>
        <w:t xml:space="preserve"> </w:t>
      </w:r>
      <w:r w:rsidRPr="0028321B">
        <w:rPr>
          <w:sz w:val="22"/>
          <w:szCs w:val="22"/>
        </w:rPr>
        <w:t>been</w:t>
      </w:r>
      <w:r w:rsidRPr="0028321B">
        <w:rPr>
          <w:spacing w:val="-12"/>
          <w:sz w:val="22"/>
          <w:szCs w:val="22"/>
        </w:rPr>
        <w:t xml:space="preserve"> </w:t>
      </w:r>
      <w:r w:rsidRPr="0028321B">
        <w:rPr>
          <w:sz w:val="22"/>
          <w:szCs w:val="22"/>
        </w:rPr>
        <w:t>concluded</w:t>
      </w:r>
      <w:r w:rsidRPr="0028321B">
        <w:rPr>
          <w:spacing w:val="-10"/>
          <w:sz w:val="22"/>
          <w:szCs w:val="22"/>
        </w:rPr>
        <w:t xml:space="preserve"> </w:t>
      </w:r>
      <w:r w:rsidRPr="0028321B">
        <w:rPr>
          <w:sz w:val="22"/>
          <w:szCs w:val="22"/>
        </w:rPr>
        <w:t>and</w:t>
      </w:r>
      <w:r w:rsidRPr="0028321B">
        <w:rPr>
          <w:spacing w:val="-9"/>
          <w:sz w:val="22"/>
          <w:szCs w:val="22"/>
        </w:rPr>
        <w:t xml:space="preserve"> </w:t>
      </w:r>
      <w:r w:rsidRPr="0028321B">
        <w:rPr>
          <w:sz w:val="22"/>
          <w:szCs w:val="22"/>
        </w:rPr>
        <w:t>a</w:t>
      </w:r>
      <w:r w:rsidRPr="0028321B">
        <w:rPr>
          <w:spacing w:val="-10"/>
          <w:sz w:val="22"/>
          <w:szCs w:val="22"/>
        </w:rPr>
        <w:t xml:space="preserve"> </w:t>
      </w:r>
      <w:r w:rsidRPr="0028321B">
        <w:rPr>
          <w:sz w:val="22"/>
          <w:szCs w:val="22"/>
        </w:rPr>
        <w:t>draft</w:t>
      </w:r>
      <w:r w:rsidRPr="0028321B">
        <w:rPr>
          <w:spacing w:val="-8"/>
          <w:sz w:val="22"/>
          <w:szCs w:val="22"/>
        </w:rPr>
        <w:t xml:space="preserve"> </w:t>
      </w:r>
      <w:r w:rsidRPr="0028321B">
        <w:rPr>
          <w:sz w:val="22"/>
          <w:szCs w:val="22"/>
        </w:rPr>
        <w:t xml:space="preserve">audit report has been received by the service. A number of strengths and areas of good practice were </w:t>
      </w:r>
      <w:proofErr w:type="gramStart"/>
      <w:r w:rsidRPr="0028321B">
        <w:rPr>
          <w:sz w:val="22"/>
          <w:szCs w:val="22"/>
        </w:rPr>
        <w:t>identified</w:t>
      </w:r>
      <w:proofErr w:type="gramEnd"/>
      <w:r w:rsidRPr="0028321B">
        <w:rPr>
          <w:sz w:val="22"/>
          <w:szCs w:val="22"/>
        </w:rPr>
        <w:t xml:space="preserve"> and the auditor determined that the system of controls in place were felt to provide “Substantial</w:t>
      </w:r>
      <w:r w:rsidRPr="0028321B">
        <w:rPr>
          <w:spacing w:val="-1"/>
          <w:sz w:val="22"/>
          <w:szCs w:val="22"/>
        </w:rPr>
        <w:t xml:space="preserve"> </w:t>
      </w:r>
      <w:r w:rsidRPr="0028321B">
        <w:rPr>
          <w:sz w:val="22"/>
          <w:szCs w:val="22"/>
        </w:rPr>
        <w:t>Assurance”.</w:t>
      </w:r>
    </w:p>
    <w:p w:rsidRPr="0028321B" w:rsidR="0028321B" w:rsidP="0028321B" w:rsidRDefault="0028321B" w14:paraId="5F616F00" w14:textId="77777777">
      <w:pPr>
        <w:pStyle w:val="BodyText"/>
        <w:rPr>
          <w:sz w:val="22"/>
          <w:szCs w:val="22"/>
        </w:rPr>
      </w:pPr>
    </w:p>
    <w:p w:rsidRPr="0028321B" w:rsidR="0028321B" w:rsidP="0028321B" w:rsidRDefault="0028321B" w14:paraId="37EC2F50" w14:textId="77777777">
      <w:pPr>
        <w:pStyle w:val="BodyText"/>
        <w:ind w:left="140" w:right="134"/>
        <w:jc w:val="both"/>
        <w:rPr>
          <w:sz w:val="22"/>
          <w:szCs w:val="22"/>
        </w:rPr>
      </w:pPr>
      <w:r w:rsidRPr="0028321B">
        <w:rPr>
          <w:sz w:val="22"/>
          <w:szCs w:val="22"/>
        </w:rPr>
        <w:t xml:space="preserve">Three issues of concern were identified, two of which related to compliance with the Collaborative Agreement which ended on 31 May 2023. The Auditor highlighted the requirement to meet with Directors of Social Services on a bi-annual basis and noted the change to the billing of the partner agencies from quarterly to six-monthly. A meeting was held between Management Board and Directors in July </w:t>
      </w:r>
      <w:proofErr w:type="gramStart"/>
      <w:r w:rsidRPr="0028321B">
        <w:rPr>
          <w:sz w:val="22"/>
          <w:szCs w:val="22"/>
        </w:rPr>
        <w:t>2022</w:t>
      </w:r>
      <w:proofErr w:type="gramEnd"/>
      <w:r w:rsidRPr="0028321B">
        <w:rPr>
          <w:sz w:val="22"/>
          <w:szCs w:val="22"/>
        </w:rPr>
        <w:t xml:space="preserve"> but it was agreed that these meetings were not required on an ongoing basis as internal communications mechanisms were already in place in the respective partner authorities. The six-monthly billing process had already been in place for some time as agreed by all partners. The revised Collaborative Agreement has formally removed the requirement to meet with Directors of Social Services and has formalised the billing process to six monthly.</w:t>
      </w:r>
    </w:p>
    <w:p w:rsidR="0028321B" w:rsidP="0028321B" w:rsidRDefault="0028321B" w14:paraId="7ADFE182" w14:textId="77777777">
      <w:pPr>
        <w:pStyle w:val="BodyText"/>
      </w:pPr>
    </w:p>
    <w:p w:rsidRPr="0028321B" w:rsidR="0028321B" w:rsidP="0028321B" w:rsidRDefault="0028321B" w14:paraId="79DB2312" w14:textId="5B86668B">
      <w:pPr>
        <w:pStyle w:val="BodyText"/>
        <w:spacing w:before="1"/>
        <w:ind w:left="140" w:right="135"/>
        <w:jc w:val="both"/>
        <w:rPr>
          <w:sz w:val="22"/>
          <w:szCs w:val="22"/>
        </w:rPr>
      </w:pPr>
      <w:r w:rsidRPr="0028321B">
        <w:rPr>
          <w:sz w:val="22"/>
          <w:szCs w:val="22"/>
        </w:rPr>
        <w:t xml:space="preserve">The other issue of concern identified by the audit related to quoracy of Management Board meetings. There were two instances which occurred and due to short notice, it was not possible to arrange a substitute representative. A Management Action Plan will </w:t>
      </w:r>
      <w:r w:rsidR="00E01F0F">
        <w:rPr>
          <w:sz w:val="22"/>
          <w:szCs w:val="22"/>
        </w:rPr>
        <w:t xml:space="preserve">be </w:t>
      </w:r>
      <w:r w:rsidRPr="0028321B">
        <w:rPr>
          <w:sz w:val="22"/>
          <w:szCs w:val="22"/>
        </w:rPr>
        <w:t>developed in response</w:t>
      </w:r>
      <w:r w:rsidRPr="0028321B">
        <w:rPr>
          <w:spacing w:val="-9"/>
          <w:sz w:val="22"/>
          <w:szCs w:val="22"/>
        </w:rPr>
        <w:t xml:space="preserve"> </w:t>
      </w:r>
      <w:r w:rsidRPr="0028321B">
        <w:rPr>
          <w:sz w:val="22"/>
          <w:szCs w:val="22"/>
        </w:rPr>
        <w:t>to</w:t>
      </w:r>
      <w:r w:rsidRPr="0028321B">
        <w:rPr>
          <w:spacing w:val="-9"/>
          <w:sz w:val="22"/>
          <w:szCs w:val="22"/>
        </w:rPr>
        <w:t xml:space="preserve"> </w:t>
      </w:r>
      <w:r w:rsidRPr="0028321B">
        <w:rPr>
          <w:sz w:val="22"/>
          <w:szCs w:val="22"/>
        </w:rPr>
        <w:t>the</w:t>
      </w:r>
      <w:r w:rsidRPr="0028321B">
        <w:rPr>
          <w:spacing w:val="-10"/>
          <w:sz w:val="22"/>
          <w:szCs w:val="22"/>
        </w:rPr>
        <w:t xml:space="preserve"> </w:t>
      </w:r>
      <w:r w:rsidRPr="0028321B">
        <w:rPr>
          <w:sz w:val="22"/>
          <w:szCs w:val="22"/>
        </w:rPr>
        <w:t>findings</w:t>
      </w:r>
      <w:r w:rsidRPr="0028321B">
        <w:rPr>
          <w:spacing w:val="-8"/>
          <w:sz w:val="22"/>
          <w:szCs w:val="22"/>
        </w:rPr>
        <w:t xml:space="preserve"> </w:t>
      </w:r>
      <w:r w:rsidRPr="0028321B">
        <w:rPr>
          <w:sz w:val="22"/>
          <w:szCs w:val="22"/>
        </w:rPr>
        <w:t>and</w:t>
      </w:r>
      <w:r w:rsidRPr="0028321B">
        <w:rPr>
          <w:spacing w:val="-6"/>
          <w:sz w:val="22"/>
          <w:szCs w:val="22"/>
        </w:rPr>
        <w:t xml:space="preserve"> </w:t>
      </w:r>
      <w:r w:rsidRPr="0028321B">
        <w:rPr>
          <w:sz w:val="22"/>
          <w:szCs w:val="22"/>
        </w:rPr>
        <w:t>the</w:t>
      </w:r>
      <w:r w:rsidRPr="0028321B">
        <w:rPr>
          <w:spacing w:val="-11"/>
          <w:sz w:val="22"/>
          <w:szCs w:val="22"/>
        </w:rPr>
        <w:t xml:space="preserve"> </w:t>
      </w:r>
      <w:r w:rsidRPr="0028321B">
        <w:rPr>
          <w:sz w:val="22"/>
          <w:szCs w:val="22"/>
        </w:rPr>
        <w:t>finalised</w:t>
      </w:r>
      <w:r w:rsidRPr="0028321B">
        <w:rPr>
          <w:spacing w:val="-6"/>
          <w:sz w:val="22"/>
          <w:szCs w:val="22"/>
        </w:rPr>
        <w:t xml:space="preserve"> </w:t>
      </w:r>
      <w:r w:rsidRPr="0028321B">
        <w:rPr>
          <w:sz w:val="22"/>
          <w:szCs w:val="22"/>
        </w:rPr>
        <w:t>report</w:t>
      </w:r>
      <w:r w:rsidRPr="0028321B">
        <w:rPr>
          <w:spacing w:val="-6"/>
          <w:sz w:val="22"/>
          <w:szCs w:val="22"/>
        </w:rPr>
        <w:t xml:space="preserve"> </w:t>
      </w:r>
      <w:r w:rsidRPr="0028321B">
        <w:rPr>
          <w:sz w:val="22"/>
          <w:szCs w:val="22"/>
        </w:rPr>
        <w:t>will</w:t>
      </w:r>
      <w:r w:rsidRPr="0028321B">
        <w:rPr>
          <w:spacing w:val="-7"/>
          <w:sz w:val="22"/>
          <w:szCs w:val="22"/>
        </w:rPr>
        <w:t xml:space="preserve"> </w:t>
      </w:r>
      <w:r w:rsidRPr="0028321B">
        <w:rPr>
          <w:sz w:val="22"/>
          <w:szCs w:val="22"/>
        </w:rPr>
        <w:t>be</w:t>
      </w:r>
      <w:r w:rsidRPr="0028321B">
        <w:rPr>
          <w:spacing w:val="-6"/>
          <w:sz w:val="22"/>
          <w:szCs w:val="22"/>
        </w:rPr>
        <w:t xml:space="preserve"> </w:t>
      </w:r>
      <w:r w:rsidRPr="0028321B">
        <w:rPr>
          <w:sz w:val="22"/>
          <w:szCs w:val="22"/>
        </w:rPr>
        <w:t>presented</w:t>
      </w:r>
      <w:r w:rsidRPr="0028321B">
        <w:rPr>
          <w:spacing w:val="-8"/>
          <w:sz w:val="22"/>
          <w:szCs w:val="22"/>
        </w:rPr>
        <w:t xml:space="preserve"> </w:t>
      </w:r>
      <w:r w:rsidRPr="0028321B">
        <w:rPr>
          <w:sz w:val="22"/>
          <w:szCs w:val="22"/>
        </w:rPr>
        <w:t>to</w:t>
      </w:r>
      <w:r w:rsidRPr="0028321B">
        <w:rPr>
          <w:spacing w:val="-9"/>
          <w:sz w:val="22"/>
          <w:szCs w:val="22"/>
        </w:rPr>
        <w:t xml:space="preserve"> </w:t>
      </w:r>
      <w:r w:rsidRPr="0028321B">
        <w:rPr>
          <w:sz w:val="22"/>
          <w:szCs w:val="22"/>
        </w:rPr>
        <w:t>VVC</w:t>
      </w:r>
      <w:r w:rsidRPr="0028321B">
        <w:rPr>
          <w:spacing w:val="-8"/>
          <w:sz w:val="22"/>
          <w:szCs w:val="22"/>
        </w:rPr>
        <w:t xml:space="preserve"> </w:t>
      </w:r>
      <w:r w:rsidRPr="0028321B">
        <w:rPr>
          <w:sz w:val="22"/>
          <w:szCs w:val="22"/>
        </w:rPr>
        <w:t>Management</w:t>
      </w:r>
      <w:r w:rsidRPr="0028321B">
        <w:rPr>
          <w:spacing w:val="-7"/>
          <w:sz w:val="22"/>
          <w:szCs w:val="22"/>
        </w:rPr>
        <w:t xml:space="preserve"> </w:t>
      </w:r>
      <w:r w:rsidRPr="0028321B">
        <w:rPr>
          <w:sz w:val="22"/>
          <w:szCs w:val="22"/>
        </w:rPr>
        <w:t>Board in July 2023.</w:t>
      </w:r>
    </w:p>
    <w:p w:rsidR="0028321B" w:rsidP="0028321B" w:rsidRDefault="0028321B" w14:paraId="66DD6AA3" w14:textId="77777777">
      <w:pPr>
        <w:jc w:val="both"/>
        <w:sectPr w:rsidR="0028321B">
          <w:pgSz w:w="11910" w:h="16840"/>
          <w:pgMar w:top="1340" w:right="1300" w:bottom="280" w:left="1300" w:header="720" w:footer="720" w:gutter="0"/>
          <w:cols w:space="720"/>
        </w:sectPr>
      </w:pPr>
    </w:p>
    <w:p w:rsidRPr="0028321B" w:rsidR="0028321B" w:rsidP="0028321B" w:rsidRDefault="0028321B" w14:paraId="5750EE38" w14:textId="77777777">
      <w:pPr>
        <w:pStyle w:val="BodyText"/>
        <w:spacing w:before="81"/>
        <w:ind w:left="140" w:right="136"/>
        <w:jc w:val="both"/>
        <w:rPr>
          <w:sz w:val="22"/>
          <w:szCs w:val="22"/>
        </w:rPr>
      </w:pPr>
      <w:r w:rsidRPr="0028321B">
        <w:rPr>
          <w:sz w:val="22"/>
          <w:szCs w:val="22"/>
        </w:rPr>
        <w:lastRenderedPageBreak/>
        <w:t>The 2022/23 Statement of the Accounts will be audited by the Vale of Glamorgan’s External Auditors (Wales Audit Office) and reported to the Joint Committee in accordance with the Collaborative Agreement.</w:t>
      </w:r>
    </w:p>
    <w:p w:rsidR="0028321B" w:rsidP="0028321B" w:rsidRDefault="0028321B" w14:paraId="56CFAF9C" w14:textId="77777777">
      <w:pPr>
        <w:pStyle w:val="BodyText"/>
        <w:spacing w:before="1"/>
      </w:pPr>
    </w:p>
    <w:p w:rsidR="0028321B" w:rsidP="0028321B" w:rsidRDefault="0028321B" w14:paraId="7890E8A2" w14:textId="77777777">
      <w:pPr>
        <w:pStyle w:val="Heading2"/>
        <w:numPr>
          <w:ilvl w:val="0"/>
          <w:numId w:val="0"/>
        </w:numPr>
      </w:pPr>
      <w:r>
        <w:t>Significant Governance Issues</w:t>
      </w:r>
    </w:p>
    <w:p w:rsidR="0028321B" w:rsidP="0028321B" w:rsidRDefault="0028321B" w14:paraId="6A397D72" w14:textId="77777777">
      <w:pPr>
        <w:pStyle w:val="BodyText"/>
        <w:spacing w:before="9"/>
        <w:rPr>
          <w:b/>
          <w:sz w:val="21"/>
        </w:rPr>
      </w:pPr>
    </w:p>
    <w:p w:rsidRPr="0028321B" w:rsidR="0028321B" w:rsidP="0028321B" w:rsidRDefault="0028321B" w14:paraId="3A8E5C26" w14:textId="77777777">
      <w:pPr>
        <w:pStyle w:val="BodyText"/>
        <w:ind w:left="140"/>
        <w:jc w:val="both"/>
        <w:rPr>
          <w:sz w:val="22"/>
          <w:szCs w:val="22"/>
        </w:rPr>
      </w:pPr>
      <w:r w:rsidRPr="0028321B">
        <w:rPr>
          <w:sz w:val="22"/>
          <w:szCs w:val="22"/>
        </w:rPr>
        <w:t>There were no significant governance issues to raise during 2022/23.</w:t>
      </w:r>
    </w:p>
    <w:p w:rsidR="0028321B" w:rsidP="0028321B" w:rsidRDefault="0028321B" w14:paraId="02720090" w14:textId="77777777">
      <w:pPr>
        <w:pStyle w:val="BodyText"/>
        <w:rPr>
          <w:sz w:val="24"/>
        </w:rPr>
      </w:pPr>
    </w:p>
    <w:p w:rsidR="0028321B" w:rsidP="0028321B" w:rsidRDefault="0028321B" w14:paraId="6A8C5739" w14:textId="77777777">
      <w:pPr>
        <w:pStyle w:val="BodyText"/>
        <w:spacing w:before="2"/>
      </w:pPr>
    </w:p>
    <w:p w:rsidR="0028321B" w:rsidP="0028321B" w:rsidRDefault="0028321B" w14:paraId="24FB076B" w14:textId="77777777">
      <w:pPr>
        <w:spacing w:before="1"/>
        <w:ind w:left="140"/>
        <w:rPr>
          <w:b/>
          <w:i/>
        </w:rPr>
      </w:pPr>
      <w:r>
        <w:rPr>
          <w:b/>
          <w:i/>
          <w:u w:val="thick"/>
        </w:rPr>
        <w:t>Definitions</w:t>
      </w:r>
    </w:p>
    <w:p w:rsidR="0028321B" w:rsidP="0028321B" w:rsidRDefault="0028321B" w14:paraId="4D5858F4" w14:textId="77777777">
      <w:pPr>
        <w:pStyle w:val="BodyText"/>
        <w:rPr>
          <w:b/>
          <w:i/>
        </w:rPr>
      </w:pPr>
    </w:p>
    <w:p w:rsidR="0028321B" w:rsidP="0028321B" w:rsidRDefault="0028321B" w14:paraId="5159749D" w14:textId="77777777">
      <w:pPr>
        <w:pStyle w:val="BodyText"/>
        <w:spacing w:before="9"/>
        <w:rPr>
          <w:b/>
          <w:i/>
          <w:sz w:val="15"/>
        </w:rPr>
      </w:pPr>
    </w:p>
    <w:p w:rsidR="0028321B" w:rsidP="0028321B" w:rsidRDefault="0028321B" w14:paraId="6FDB7B0E" w14:textId="77777777">
      <w:pPr>
        <w:spacing w:before="93"/>
        <w:ind w:left="140" w:right="138"/>
        <w:jc w:val="both"/>
        <w:rPr>
          <w:i/>
        </w:rPr>
      </w:pPr>
      <w:r>
        <w:rPr>
          <w:b/>
          <w:i/>
        </w:rPr>
        <w:t>Definition of Governance</w:t>
      </w:r>
      <w:r>
        <w:rPr>
          <w:i/>
        </w:rPr>
        <w:t>: A series of policies, roles, responsibilities and processes that set the way an organisation is directed, administrated and controlled.</w:t>
      </w:r>
    </w:p>
    <w:p w:rsidR="0028321B" w:rsidP="0028321B" w:rsidRDefault="0028321B" w14:paraId="520CC7FD" w14:textId="77777777">
      <w:pPr>
        <w:pStyle w:val="BodyText"/>
        <w:rPr>
          <w:i/>
        </w:rPr>
      </w:pPr>
    </w:p>
    <w:p w:rsidR="0028321B" w:rsidP="0028321B" w:rsidRDefault="0028321B" w14:paraId="4F611125" w14:textId="77777777">
      <w:pPr>
        <w:ind w:left="140" w:right="136"/>
        <w:jc w:val="both"/>
        <w:rPr>
          <w:i/>
        </w:rPr>
      </w:pPr>
      <w:r>
        <w:rPr>
          <w:b/>
          <w:i/>
        </w:rPr>
        <w:t>Definition of a Significant Governance Issue</w:t>
      </w:r>
      <w:r>
        <w:rPr>
          <w:i/>
        </w:rPr>
        <w:t>: A specific area of the Organisation’s work that requires Senior Management attention to ensure that it is doing the right things, in the right</w:t>
      </w:r>
      <w:r>
        <w:rPr>
          <w:i/>
          <w:spacing w:val="-7"/>
        </w:rPr>
        <w:t xml:space="preserve"> </w:t>
      </w:r>
      <w:r>
        <w:rPr>
          <w:i/>
        </w:rPr>
        <w:t>way,</w:t>
      </w:r>
      <w:r>
        <w:rPr>
          <w:i/>
          <w:spacing w:val="-8"/>
        </w:rPr>
        <w:t xml:space="preserve"> </w:t>
      </w:r>
      <w:r>
        <w:rPr>
          <w:i/>
        </w:rPr>
        <w:t>for</w:t>
      </w:r>
      <w:r>
        <w:rPr>
          <w:i/>
          <w:spacing w:val="-9"/>
        </w:rPr>
        <w:t xml:space="preserve"> </w:t>
      </w:r>
      <w:r>
        <w:rPr>
          <w:i/>
        </w:rPr>
        <w:t>the</w:t>
      </w:r>
      <w:r>
        <w:rPr>
          <w:i/>
          <w:spacing w:val="-10"/>
        </w:rPr>
        <w:t xml:space="preserve"> </w:t>
      </w:r>
      <w:r>
        <w:rPr>
          <w:i/>
        </w:rPr>
        <w:t>right</w:t>
      </w:r>
      <w:r>
        <w:rPr>
          <w:i/>
          <w:spacing w:val="-6"/>
        </w:rPr>
        <w:t xml:space="preserve"> </w:t>
      </w:r>
      <w:r>
        <w:rPr>
          <w:i/>
        </w:rPr>
        <w:t>people,</w:t>
      </w:r>
      <w:r>
        <w:rPr>
          <w:i/>
          <w:spacing w:val="-6"/>
        </w:rPr>
        <w:t xml:space="preserve"> </w:t>
      </w:r>
      <w:r>
        <w:rPr>
          <w:i/>
        </w:rPr>
        <w:t>in</w:t>
      </w:r>
      <w:r>
        <w:rPr>
          <w:i/>
          <w:spacing w:val="-7"/>
        </w:rPr>
        <w:t xml:space="preserve"> </w:t>
      </w:r>
      <w:r>
        <w:rPr>
          <w:i/>
        </w:rPr>
        <w:t>a</w:t>
      </w:r>
      <w:r>
        <w:rPr>
          <w:i/>
          <w:spacing w:val="-10"/>
        </w:rPr>
        <w:t xml:space="preserve"> </w:t>
      </w:r>
      <w:r>
        <w:rPr>
          <w:i/>
        </w:rPr>
        <w:t>timely,</w:t>
      </w:r>
      <w:r>
        <w:rPr>
          <w:i/>
          <w:spacing w:val="-6"/>
        </w:rPr>
        <w:t xml:space="preserve"> </w:t>
      </w:r>
      <w:r>
        <w:rPr>
          <w:i/>
        </w:rPr>
        <w:t>inclusive,</w:t>
      </w:r>
      <w:r>
        <w:rPr>
          <w:i/>
          <w:spacing w:val="-6"/>
        </w:rPr>
        <w:t xml:space="preserve"> </w:t>
      </w:r>
      <w:r>
        <w:rPr>
          <w:i/>
        </w:rPr>
        <w:t>open,</w:t>
      </w:r>
      <w:r>
        <w:rPr>
          <w:i/>
          <w:spacing w:val="-7"/>
        </w:rPr>
        <w:t xml:space="preserve"> </w:t>
      </w:r>
      <w:r>
        <w:rPr>
          <w:i/>
        </w:rPr>
        <w:t>honest</w:t>
      </w:r>
      <w:r>
        <w:rPr>
          <w:i/>
          <w:spacing w:val="-8"/>
        </w:rPr>
        <w:t xml:space="preserve"> </w:t>
      </w:r>
      <w:r>
        <w:rPr>
          <w:i/>
        </w:rPr>
        <w:t>and</w:t>
      </w:r>
      <w:r>
        <w:rPr>
          <w:i/>
          <w:spacing w:val="-7"/>
        </w:rPr>
        <w:t xml:space="preserve"> </w:t>
      </w:r>
      <w:r>
        <w:rPr>
          <w:i/>
        </w:rPr>
        <w:t>accountable</w:t>
      </w:r>
      <w:r>
        <w:rPr>
          <w:i/>
          <w:spacing w:val="-7"/>
        </w:rPr>
        <w:t xml:space="preserve"> </w:t>
      </w:r>
      <w:r>
        <w:rPr>
          <w:i/>
        </w:rPr>
        <w:t>manner,</w:t>
      </w:r>
      <w:r>
        <w:rPr>
          <w:i/>
          <w:spacing w:val="-11"/>
        </w:rPr>
        <w:t xml:space="preserve"> </w:t>
      </w:r>
      <w:r>
        <w:rPr>
          <w:i/>
        </w:rPr>
        <w:t>to support improved outcomes for local</w:t>
      </w:r>
      <w:r>
        <w:rPr>
          <w:i/>
          <w:spacing w:val="-5"/>
        </w:rPr>
        <w:t xml:space="preserve"> </w:t>
      </w:r>
      <w:r>
        <w:rPr>
          <w:i/>
        </w:rPr>
        <w:t>people.</w:t>
      </w:r>
    </w:p>
    <w:p w:rsidR="0028321B" w:rsidP="0028321B" w:rsidRDefault="0028321B" w14:paraId="59DBA948" w14:textId="77777777">
      <w:pPr>
        <w:jc w:val="both"/>
        <w:sectPr w:rsidR="0028321B">
          <w:pgSz w:w="11910" w:h="16840"/>
          <w:pgMar w:top="1340" w:right="1300" w:bottom="280" w:left="1300" w:header="720" w:footer="720" w:gutter="0"/>
          <w:cols w:space="720"/>
        </w:sectPr>
      </w:pPr>
    </w:p>
    <w:p w:rsidR="0028321B" w:rsidP="0028321B" w:rsidRDefault="0028321B" w14:paraId="5AFA1E20" w14:textId="77777777">
      <w:pPr>
        <w:pStyle w:val="Heading2"/>
        <w:numPr>
          <w:ilvl w:val="0"/>
          <w:numId w:val="0"/>
        </w:numPr>
        <w:spacing w:before="81"/>
        <w:jc w:val="left"/>
      </w:pPr>
      <w:r>
        <w:lastRenderedPageBreak/>
        <w:t>Certification of Annual Governance Statement</w:t>
      </w:r>
    </w:p>
    <w:p w:rsidR="0028321B" w:rsidP="0028321B" w:rsidRDefault="0028321B" w14:paraId="48628BD7" w14:textId="77777777">
      <w:pPr>
        <w:pStyle w:val="BodyText"/>
        <w:rPr>
          <w:b/>
        </w:rPr>
      </w:pPr>
    </w:p>
    <w:p w:rsidRPr="0028321B" w:rsidR="0028321B" w:rsidP="0028321B" w:rsidRDefault="0028321B" w14:paraId="079B8542" w14:textId="77777777">
      <w:pPr>
        <w:pStyle w:val="BodyText"/>
        <w:spacing w:before="1"/>
        <w:ind w:left="140" w:right="125"/>
        <w:rPr>
          <w:sz w:val="22"/>
          <w:szCs w:val="22"/>
        </w:rPr>
      </w:pPr>
      <w:r w:rsidRPr="0028321B">
        <w:rPr>
          <w:sz w:val="22"/>
          <w:szCs w:val="22"/>
        </w:rPr>
        <w:t>We can confirm, to the best of our knowledge and belief, this statement provides an accurate and fair view of the overall governance arrangements for the Regional Adoption Services.</w:t>
      </w:r>
    </w:p>
    <w:p w:rsidR="0028321B" w:rsidP="0028321B" w:rsidRDefault="0028321B" w14:paraId="7453F9C2" w14:textId="77777777">
      <w:pPr>
        <w:pStyle w:val="BodyText"/>
      </w:pPr>
    </w:p>
    <w:p w:rsidR="0028321B" w:rsidP="0028321B" w:rsidRDefault="0028321B" w14:paraId="54A17DF0" w14:textId="77777777">
      <w:pPr>
        <w:pStyle w:val="BodyText"/>
      </w:pPr>
    </w:p>
    <w:p w:rsidR="0028321B" w:rsidP="0028321B" w:rsidRDefault="0028321B" w14:paraId="526940C5" w14:textId="77777777">
      <w:pPr>
        <w:pStyle w:val="BodyText"/>
      </w:pPr>
    </w:p>
    <w:p w:rsidR="0028321B" w:rsidP="0028321B" w:rsidRDefault="0028321B" w14:paraId="2AE6A494" w14:textId="77777777">
      <w:pPr>
        <w:pStyle w:val="BodyText"/>
        <w:spacing w:before="10"/>
        <w:rPr>
          <w:sz w:val="16"/>
        </w:rPr>
      </w:pPr>
      <w:r>
        <w:rPr>
          <w:noProof/>
        </w:rPr>
        <w:drawing>
          <wp:anchor distT="0" distB="0" distL="0" distR="0" simplePos="0" relativeHeight="251660288" behindDoc="0" locked="0" layoutInCell="1" allowOverlap="1" wp14:editId="4E780D60" wp14:anchorId="25C69613">
            <wp:simplePos x="0" y="0"/>
            <wp:positionH relativeFrom="page">
              <wp:posOffset>3075277</wp:posOffset>
            </wp:positionH>
            <wp:positionV relativeFrom="paragraph">
              <wp:posOffset>148284</wp:posOffset>
            </wp:positionV>
            <wp:extent cx="3020918" cy="670559"/>
            <wp:effectExtent l="0" t="0" r="0" b="0"/>
            <wp:wrapTopAndBottom/>
            <wp:docPr id="11" name="image1.jpeg" descr="C:\Users\abobbett.VALEOFGLAMORGAN\AppData\Local\Microsoft\Windows\Temporary Internet Files\Content.Outlook\1809GYX0\Ed Williams Signature.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7" cstate="print"/>
                    <a:stretch>
                      <a:fillRect/>
                    </a:stretch>
                  </pic:blipFill>
                  <pic:spPr>
                    <a:xfrm>
                      <a:off x="0" y="0"/>
                      <a:ext cx="3020918" cy="670559"/>
                    </a:xfrm>
                    <a:prstGeom prst="rect">
                      <a:avLst/>
                    </a:prstGeom>
                  </pic:spPr>
                </pic:pic>
              </a:graphicData>
            </a:graphic>
          </wp:anchor>
        </w:drawing>
      </w:r>
    </w:p>
    <w:p w:rsidRPr="0028321B" w:rsidR="0028321B" w:rsidP="0028321B" w:rsidRDefault="0028321B" w14:paraId="6D448187" w14:textId="77777777">
      <w:pPr>
        <w:pStyle w:val="BodyText"/>
        <w:spacing w:before="60"/>
        <w:ind w:left="1219"/>
        <w:rPr>
          <w:sz w:val="22"/>
          <w:szCs w:val="22"/>
        </w:rPr>
      </w:pPr>
      <w:r w:rsidRPr="0028321B">
        <w:rPr>
          <w:sz w:val="22"/>
          <w:szCs w:val="22"/>
        </w:rPr>
        <w:t>Signed:</w:t>
      </w:r>
    </w:p>
    <w:p w:rsidRPr="0028321B" w:rsidR="0028321B" w:rsidP="0028321B" w:rsidRDefault="0028321B" w14:paraId="782A07FC" w14:textId="77777777">
      <w:pPr>
        <w:pStyle w:val="BodyText"/>
        <w:rPr>
          <w:sz w:val="22"/>
          <w:szCs w:val="22"/>
        </w:rPr>
      </w:pPr>
    </w:p>
    <w:p w:rsidRPr="0028321B" w:rsidR="0028321B" w:rsidP="0028321B" w:rsidRDefault="0028321B" w14:paraId="7F8136C5" w14:textId="77777777">
      <w:pPr>
        <w:pStyle w:val="BodyText"/>
        <w:rPr>
          <w:sz w:val="22"/>
          <w:szCs w:val="22"/>
        </w:rPr>
      </w:pPr>
    </w:p>
    <w:p w:rsidRPr="0028321B" w:rsidR="0028321B" w:rsidP="0028321B" w:rsidRDefault="0028321B" w14:paraId="1B1F16E2" w14:textId="77777777">
      <w:pPr>
        <w:pStyle w:val="BodyText"/>
        <w:spacing w:before="208"/>
        <w:ind w:left="1219"/>
        <w:rPr>
          <w:sz w:val="22"/>
          <w:szCs w:val="22"/>
        </w:rPr>
      </w:pPr>
      <w:r w:rsidRPr="0028321B">
        <w:rPr>
          <w:sz w:val="22"/>
          <w:szCs w:val="22"/>
        </w:rPr>
        <w:t>Councillor Eddie Williams – Chair of the VVC Joint Committee</w:t>
      </w:r>
    </w:p>
    <w:p w:rsidRPr="0028321B" w:rsidR="0028321B" w:rsidP="0028321B" w:rsidRDefault="0028321B" w14:paraId="12BDA48F" w14:textId="77777777">
      <w:pPr>
        <w:pStyle w:val="BodyText"/>
        <w:rPr>
          <w:sz w:val="22"/>
          <w:szCs w:val="22"/>
        </w:rPr>
      </w:pPr>
    </w:p>
    <w:p w:rsidR="0028321B" w:rsidP="0028321B" w:rsidRDefault="0028321B" w14:paraId="105ECE3B" w14:textId="77777777">
      <w:pPr>
        <w:pStyle w:val="BodyText"/>
        <w:rPr>
          <w:sz w:val="24"/>
        </w:rPr>
      </w:pPr>
    </w:p>
    <w:p w:rsidR="0028321B" w:rsidP="0028321B" w:rsidRDefault="0028321B" w14:paraId="201A5D77" w14:textId="77777777">
      <w:pPr>
        <w:pStyle w:val="BodyText"/>
        <w:rPr>
          <w:sz w:val="24"/>
        </w:rPr>
      </w:pPr>
    </w:p>
    <w:p w:rsidR="0028321B" w:rsidP="0028321B" w:rsidRDefault="0028321B" w14:paraId="2E806244" w14:textId="77777777">
      <w:pPr>
        <w:pStyle w:val="BodyText"/>
        <w:tabs>
          <w:tab w:val="left" w:pos="2331"/>
        </w:tabs>
        <w:spacing w:before="184"/>
        <w:ind w:left="1220"/>
      </w:pPr>
      <w:r w:rsidRPr="0028321B">
        <w:rPr>
          <w:spacing w:val="-1"/>
          <w:sz w:val="22"/>
          <w:szCs w:val="22"/>
        </w:rPr>
        <w:t>Signed:</w:t>
      </w:r>
      <w:r>
        <w:rPr>
          <w:spacing w:val="-1"/>
        </w:rPr>
        <w:tab/>
      </w:r>
      <w:r>
        <w:rPr>
          <w:noProof/>
          <w:position w:val="-7"/>
        </w:rPr>
        <w:drawing>
          <wp:inline distT="0" distB="0" distL="0" distR="0" wp14:anchorId="6EA5F7BC" wp14:editId="701DDBA8">
            <wp:extent cx="1007779" cy="155187"/>
            <wp:effectExtent l="0" t="0" r="0" b="0"/>
            <wp:docPr id="12" name="image2.png" descr="A black line drawing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descr="A black line drawing of a triangle&#10;&#10;Description automatically generated with medium confidence"/>
                    <pic:cNvPicPr/>
                  </pic:nvPicPr>
                  <pic:blipFill>
                    <a:blip r:embed="rId22" cstate="print"/>
                    <a:stretch>
                      <a:fillRect/>
                    </a:stretch>
                  </pic:blipFill>
                  <pic:spPr>
                    <a:xfrm>
                      <a:off x="0" y="0"/>
                      <a:ext cx="1007779" cy="155187"/>
                    </a:xfrm>
                    <a:prstGeom prst="rect">
                      <a:avLst/>
                    </a:prstGeom>
                  </pic:spPr>
                </pic:pic>
              </a:graphicData>
            </a:graphic>
          </wp:inline>
        </w:drawing>
      </w:r>
    </w:p>
    <w:p w:rsidR="0028321B" w:rsidP="0028321B" w:rsidRDefault="0028321B" w14:paraId="0E46A1D9" w14:textId="77777777">
      <w:pPr>
        <w:pStyle w:val="BodyText"/>
        <w:spacing w:before="9"/>
        <w:rPr>
          <w:sz w:val="40"/>
        </w:rPr>
      </w:pPr>
    </w:p>
    <w:p w:rsidRPr="0028321B" w:rsidR="0028321B" w:rsidP="0028321B" w:rsidRDefault="0028321B" w14:paraId="46BBBED3" w14:textId="77777777">
      <w:pPr>
        <w:pStyle w:val="BodyText"/>
        <w:ind w:left="1220"/>
        <w:rPr>
          <w:sz w:val="22"/>
          <w:szCs w:val="22"/>
        </w:rPr>
      </w:pPr>
      <w:r w:rsidRPr="0028321B">
        <w:rPr>
          <w:sz w:val="22"/>
          <w:szCs w:val="22"/>
        </w:rPr>
        <w:t>Matthew Bowmer – Section 151 Officer</w:t>
      </w:r>
    </w:p>
    <w:p w:rsidR="0028321B" w:rsidP="0028321B" w:rsidRDefault="0028321B" w14:paraId="2B9478F3" w14:textId="77777777">
      <w:pPr>
        <w:pStyle w:val="BodyText"/>
      </w:pPr>
    </w:p>
    <w:p w:rsidR="0028321B" w:rsidP="0028321B" w:rsidRDefault="0028321B" w14:paraId="79F0C303" w14:textId="77777777">
      <w:pPr>
        <w:pStyle w:val="BodyText"/>
      </w:pPr>
    </w:p>
    <w:p w:rsidR="0028321B" w:rsidP="0028321B" w:rsidRDefault="0028321B" w14:paraId="247647E5" w14:textId="77777777">
      <w:pPr>
        <w:pStyle w:val="BodyText"/>
      </w:pPr>
    </w:p>
    <w:p w:rsidR="0028321B" w:rsidP="0028321B" w:rsidRDefault="0028321B" w14:paraId="68B0F521" w14:textId="77777777">
      <w:pPr>
        <w:pStyle w:val="BodyText"/>
      </w:pPr>
    </w:p>
    <w:p w:rsidR="0028321B" w:rsidP="0028321B" w:rsidRDefault="0028321B" w14:paraId="67B8E421" w14:textId="77777777">
      <w:pPr>
        <w:pStyle w:val="BodyText"/>
        <w:rPr>
          <w:sz w:val="19"/>
        </w:rPr>
      </w:pPr>
      <w:r>
        <w:rPr>
          <w:noProof/>
        </w:rPr>
        <w:drawing>
          <wp:anchor distT="0" distB="0" distL="0" distR="0" simplePos="0" relativeHeight="251659264" behindDoc="0" locked="0" layoutInCell="1" allowOverlap="1" wp14:editId="1A465599" wp14:anchorId="4480BFAE">
            <wp:simplePos x="0" y="0"/>
            <wp:positionH relativeFrom="page">
              <wp:posOffset>2995215</wp:posOffset>
            </wp:positionH>
            <wp:positionV relativeFrom="paragraph">
              <wp:posOffset>164083</wp:posOffset>
            </wp:positionV>
            <wp:extent cx="1745908" cy="623792"/>
            <wp:effectExtent l="0" t="0" r="0" b="0"/>
            <wp:wrapTopAndBottom/>
            <wp:docPr id="5" name="image3.png" descr="A black line dra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black line drawn on a white background&#10;&#10;Description automatically generated"/>
                    <pic:cNvPicPr/>
                  </pic:nvPicPr>
                  <pic:blipFill>
                    <a:blip r:embed="rId28" cstate="print"/>
                    <a:stretch>
                      <a:fillRect/>
                    </a:stretch>
                  </pic:blipFill>
                  <pic:spPr>
                    <a:xfrm>
                      <a:off x="0" y="0"/>
                      <a:ext cx="1745908" cy="623792"/>
                    </a:xfrm>
                    <a:prstGeom prst="rect">
                      <a:avLst/>
                    </a:prstGeom>
                  </pic:spPr>
                </pic:pic>
              </a:graphicData>
            </a:graphic>
          </wp:anchor>
        </w:drawing>
      </w:r>
    </w:p>
    <w:p w:rsidRPr="0028321B" w:rsidR="0028321B" w:rsidP="0028321B" w:rsidRDefault="0028321B" w14:paraId="3B14AA78" w14:textId="77777777">
      <w:pPr>
        <w:pStyle w:val="BodyText"/>
        <w:spacing w:before="56"/>
        <w:ind w:left="1220"/>
        <w:rPr>
          <w:sz w:val="22"/>
          <w:szCs w:val="22"/>
        </w:rPr>
      </w:pPr>
      <w:r w:rsidRPr="0028321B">
        <w:rPr>
          <w:sz w:val="22"/>
          <w:szCs w:val="22"/>
        </w:rPr>
        <w:t>Signed:</w:t>
      </w:r>
    </w:p>
    <w:p w:rsidR="0028321B" w:rsidP="0028321B" w:rsidRDefault="0028321B" w14:paraId="22DC8753" w14:textId="77777777">
      <w:pPr>
        <w:pStyle w:val="BodyText"/>
        <w:rPr>
          <w:sz w:val="24"/>
        </w:rPr>
      </w:pPr>
    </w:p>
    <w:p w:rsidR="0028321B" w:rsidP="0028321B" w:rsidRDefault="0028321B" w14:paraId="01404ACE" w14:textId="77777777">
      <w:pPr>
        <w:pStyle w:val="BodyText"/>
        <w:rPr>
          <w:sz w:val="24"/>
        </w:rPr>
      </w:pPr>
    </w:p>
    <w:p w:rsidRPr="0028321B" w:rsidR="0028321B" w:rsidP="0028321B" w:rsidRDefault="0028321B" w14:paraId="1A827789" w14:textId="77777777">
      <w:pPr>
        <w:pStyle w:val="BodyText"/>
        <w:spacing w:before="210"/>
        <w:ind w:left="1220"/>
        <w:rPr>
          <w:sz w:val="22"/>
          <w:szCs w:val="22"/>
        </w:rPr>
      </w:pPr>
      <w:r w:rsidRPr="0028321B">
        <w:rPr>
          <w:sz w:val="22"/>
          <w:szCs w:val="22"/>
        </w:rPr>
        <w:t>Lance Carver – Chair VVC Management Board</w:t>
      </w:r>
    </w:p>
    <w:p w:rsidR="0028321B" w:rsidP="0028321B" w:rsidRDefault="0028321B" w14:paraId="1A308D2D" w14:textId="77777777">
      <w:pPr>
        <w:pStyle w:val="BodyText"/>
        <w:rPr>
          <w:sz w:val="24"/>
        </w:rPr>
      </w:pPr>
    </w:p>
    <w:p w:rsidR="0028321B" w:rsidP="0028321B" w:rsidRDefault="0028321B" w14:paraId="53A4C47C" w14:textId="77777777">
      <w:pPr>
        <w:pStyle w:val="BodyText"/>
        <w:rPr>
          <w:sz w:val="24"/>
        </w:rPr>
      </w:pPr>
    </w:p>
    <w:p w:rsidR="0028321B" w:rsidP="0028321B" w:rsidRDefault="0028321B" w14:paraId="7312B607" w14:textId="77777777">
      <w:pPr>
        <w:pStyle w:val="BodyText"/>
        <w:rPr>
          <w:sz w:val="24"/>
        </w:rPr>
      </w:pPr>
    </w:p>
    <w:p w:rsidR="0028321B" w:rsidP="0028321B" w:rsidRDefault="0028321B" w14:paraId="2FDE1F22" w14:textId="4497A043">
      <w:pPr>
        <w:pStyle w:val="BodyText"/>
        <w:tabs>
          <w:tab w:val="left" w:pos="3019"/>
        </w:tabs>
        <w:spacing w:before="167" w:line="482" w:lineRule="auto"/>
        <w:ind w:left="1220" w:right="3718"/>
      </w:pPr>
      <w:r w:rsidRPr="0028321B">
        <w:rPr>
          <w:spacing w:val="-1"/>
          <w:sz w:val="22"/>
          <w:szCs w:val="22"/>
        </w:rPr>
        <w:t>Signed:</w:t>
      </w:r>
      <w:r>
        <w:rPr>
          <w:spacing w:val="-1"/>
        </w:rPr>
        <w:tab/>
      </w:r>
      <w:r>
        <w:rPr>
          <w:noProof/>
        </w:rPr>
        <w:drawing>
          <wp:inline distT="0" distB="0" distL="0" distR="0" wp14:anchorId="174E8AD4" wp14:editId="3B309BFE">
            <wp:extent cx="1289050" cy="287019"/>
            <wp:effectExtent l="0" t="0" r="0" b="0"/>
            <wp:docPr id="7" name="image4.png" descr="C:\Users\tdkadach\Pictures\Saved Pictures\screenshot (2).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9" cstate="print"/>
                    <a:stretch>
                      <a:fillRect/>
                    </a:stretch>
                  </pic:blipFill>
                  <pic:spPr>
                    <a:xfrm>
                      <a:off x="0" y="0"/>
                      <a:ext cx="1289050" cy="287019"/>
                    </a:xfrm>
                    <a:prstGeom prst="rect">
                      <a:avLst/>
                    </a:prstGeom>
                  </pic:spPr>
                </pic:pic>
              </a:graphicData>
            </a:graphic>
          </wp:inline>
        </w:drawing>
      </w:r>
      <w:r>
        <w:rPr>
          <w:rFonts w:ascii="Times New Roman" w:hAnsi="Times New Roman"/>
        </w:rPr>
        <w:t xml:space="preserve"> </w:t>
      </w:r>
      <w:r w:rsidRPr="0028321B">
        <w:rPr>
          <w:sz w:val="22"/>
          <w:szCs w:val="22"/>
        </w:rPr>
        <w:t>Angela Harris – Regional Adoptio</w:t>
      </w:r>
      <w:r>
        <w:rPr>
          <w:sz w:val="22"/>
          <w:szCs w:val="22"/>
        </w:rPr>
        <w:t xml:space="preserve">n </w:t>
      </w:r>
      <w:r w:rsidRPr="0028321B">
        <w:rPr>
          <w:sz w:val="22"/>
          <w:szCs w:val="22"/>
        </w:rPr>
        <w:t>Manager</w:t>
      </w:r>
    </w:p>
    <w:p w:rsidRPr="00614894" w:rsidR="00266FA3" w:rsidP="0028321B" w:rsidRDefault="00266FA3" w14:paraId="6D3C4503" w14:textId="024CC2B3">
      <w:pPr>
        <w:tabs>
          <w:tab w:val="left" w:pos="1530"/>
        </w:tabs>
        <w:rPr>
          <w:rFonts w:cs="Arial"/>
          <w:b/>
          <w:highlight w:val="yellow"/>
          <w:lang w:val="en-US"/>
        </w:rPr>
      </w:pPr>
    </w:p>
    <w:sectPr w:rsidRPr="00614894" w:rsidR="00266FA3" w:rsidSect="00144870">
      <w:pgSz w:w="11906" w:h="16838" w:code="9"/>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4116" w14:textId="77777777" w:rsidR="00602BED" w:rsidRDefault="00602BED" w:rsidP="005174F7">
      <w:pPr>
        <w:spacing w:after="0" w:line="240" w:lineRule="auto"/>
      </w:pPr>
      <w:r>
        <w:separator/>
      </w:r>
    </w:p>
  </w:endnote>
  <w:endnote w:type="continuationSeparator" w:id="0">
    <w:p w14:paraId="4B133816" w14:textId="77777777" w:rsidR="00602BED" w:rsidRDefault="00602BED" w:rsidP="0051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DC75" w14:textId="77777777" w:rsidR="00D9064A" w:rsidRDefault="00D9064A" w:rsidP="00B32087"/>
  <w:p w14:paraId="39994C19" w14:textId="77777777" w:rsidR="00D9064A" w:rsidRDefault="00D9064A" w:rsidP="00B32087">
    <w:r>
      <w:fldChar w:fldCharType="begin"/>
    </w:r>
    <w:r>
      <w:instrText xml:space="preserve"> PAGE   \* MERGEFORMAT </w:instrText>
    </w:r>
    <w:r>
      <w:fldChar w:fldCharType="separate"/>
    </w:r>
    <w:r>
      <w:rPr>
        <w:noProof/>
      </w:rPr>
      <w:t>57</w:t>
    </w:r>
    <w:r>
      <w:rPr>
        <w:noProof/>
      </w:rPr>
      <w:fldChar w:fldCharType="end"/>
    </w:r>
    <w:r>
      <w:t xml:space="preserve"> </w:t>
    </w:r>
    <w:r>
      <w:rPr>
        <w:color w:val="9BBB59" w:themeColor="accent3"/>
      </w:rPr>
      <w:sym w:font="Wingdings 2" w:char="F097"/>
    </w:r>
    <w:r>
      <w:t xml:space="preserve"> </w:t>
    </w:r>
  </w:p>
  <w:p w14:paraId="49091B85" w14:textId="77777777" w:rsidR="00D9064A" w:rsidRDefault="00D9064A" w:rsidP="00B32087">
    <w:r>
      <w:rPr>
        <w:noProof/>
        <w:lang w:eastAsia="en-GB"/>
      </w:rPr>
      <mc:AlternateContent>
        <mc:Choice Requires="wpg">
          <w:drawing>
            <wp:inline distT="0" distB="0" distL="0" distR="0" wp14:anchorId="6CACF52E" wp14:editId="4246D67A">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104D82"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7D719F3F" w14:textId="77777777" w:rsidR="00D9064A" w:rsidRDefault="00D9064A">
    <w:pPr>
      <w:pStyle w:val="NoSpacing"/>
      <w:rPr>
        <w:sz w:val="2"/>
        <w:szCs w:val="2"/>
      </w:rPr>
    </w:pPr>
  </w:p>
  <w:p w14:paraId="0AF71D3D" w14:textId="77777777" w:rsidR="00D9064A" w:rsidRDefault="00D9064A" w:rsidP="00B32087"/>
  <w:p w14:paraId="45296F9F" w14:textId="77777777" w:rsidR="00D9064A" w:rsidRDefault="00D9064A" w:rsidP="00B32087"/>
  <w:p w14:paraId="61AC0505" w14:textId="77777777" w:rsidR="00D9064A" w:rsidRDefault="00D9064A" w:rsidP="00B32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31B" w14:textId="77777777" w:rsidR="00B51999" w:rsidRDefault="00B51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1F56" w14:textId="77777777" w:rsidR="00D9064A" w:rsidRDefault="00D9064A">
    <w:pPr>
      <w:pStyle w:val="Footer"/>
      <w:jc w:val="center"/>
    </w:pPr>
  </w:p>
  <w:p w14:paraId="18860A93" w14:textId="77777777" w:rsidR="00D9064A" w:rsidRDefault="00D9064A" w:rsidP="00B320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35621"/>
      <w:docPartObj>
        <w:docPartGallery w:val="Page Numbers (Bottom of Page)"/>
        <w:docPartUnique/>
      </w:docPartObj>
    </w:sdtPr>
    <w:sdtEndPr>
      <w:rPr>
        <w:noProof/>
      </w:rPr>
    </w:sdtEndPr>
    <w:sdtContent>
      <w:p w14:paraId="073C2FED" w14:textId="4EE2CA71" w:rsidR="00D9064A" w:rsidRDefault="00D9064A">
        <w:pPr>
          <w:pStyle w:val="Footer"/>
          <w:jc w:val="center"/>
        </w:pPr>
        <w:r>
          <w:fldChar w:fldCharType="begin"/>
        </w:r>
        <w:r>
          <w:instrText xml:space="preserve"> PAGE   \* MERGEFORMAT </w:instrText>
        </w:r>
        <w:r>
          <w:fldChar w:fldCharType="separate"/>
        </w:r>
        <w:r w:rsidR="00400628">
          <w:rPr>
            <w:noProof/>
          </w:rPr>
          <w:t>49</w:t>
        </w:r>
        <w:r>
          <w:rPr>
            <w:noProof/>
          </w:rPr>
          <w:fldChar w:fldCharType="end"/>
        </w:r>
      </w:p>
    </w:sdtContent>
  </w:sdt>
  <w:p w14:paraId="2B073B71" w14:textId="77777777" w:rsidR="00D9064A" w:rsidRDefault="00D906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818825"/>
      <w:docPartObj>
        <w:docPartGallery w:val="Page Numbers (Bottom of Page)"/>
        <w:docPartUnique/>
      </w:docPartObj>
    </w:sdtPr>
    <w:sdtEndPr>
      <w:rPr>
        <w:noProof/>
      </w:rPr>
    </w:sdtEndPr>
    <w:sdtContent>
      <w:p w14:paraId="7FBA1360" w14:textId="0875E11A" w:rsidR="00D9064A" w:rsidRDefault="00D9064A">
        <w:pPr>
          <w:pStyle w:val="Footer"/>
          <w:jc w:val="center"/>
        </w:pPr>
        <w:r>
          <w:fldChar w:fldCharType="begin"/>
        </w:r>
        <w:r>
          <w:instrText xml:space="preserve"> PAGE   \* MERGEFORMAT </w:instrText>
        </w:r>
        <w:r>
          <w:fldChar w:fldCharType="separate"/>
        </w:r>
        <w:r w:rsidR="00400628">
          <w:rPr>
            <w:noProof/>
          </w:rPr>
          <w:t>35</w:t>
        </w:r>
        <w:r>
          <w:rPr>
            <w:noProof/>
          </w:rPr>
          <w:fldChar w:fldCharType="end"/>
        </w:r>
      </w:p>
    </w:sdtContent>
  </w:sdt>
  <w:p w14:paraId="20863F84" w14:textId="77777777" w:rsidR="00D9064A" w:rsidRDefault="00D9064A" w:rsidP="00B32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D796" w14:textId="77777777" w:rsidR="00602BED" w:rsidRDefault="00602BED" w:rsidP="005174F7">
      <w:pPr>
        <w:spacing w:after="0" w:line="240" w:lineRule="auto"/>
      </w:pPr>
      <w:r>
        <w:separator/>
      </w:r>
    </w:p>
  </w:footnote>
  <w:footnote w:type="continuationSeparator" w:id="0">
    <w:p w14:paraId="0F42306B" w14:textId="77777777" w:rsidR="00602BED" w:rsidRDefault="00602BED" w:rsidP="00517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4B0" w14:textId="77777777" w:rsidR="00B51999" w:rsidRDefault="00B51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963D" w14:textId="77777777" w:rsidR="00B51999" w:rsidRDefault="00B51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9B42" w14:textId="77777777" w:rsidR="00B51999" w:rsidRDefault="00B519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070E" w14:textId="5366FA90" w:rsidR="00D9064A" w:rsidRDefault="00F35A1A">
    <w:pPr>
      <w:pStyle w:val="Header"/>
    </w:pPr>
    <w:r w:rsidRPr="00F35A1A">
      <w:rPr>
        <w:bCs/>
      </w:rPr>
      <w:t xml:space="preserve">VVC </w:t>
    </w:r>
    <w:r w:rsidRPr="00F35A1A">
      <w:rPr>
        <w:rFonts w:cs="Arial"/>
        <w:bCs/>
      </w:rPr>
      <w:t xml:space="preserve">Regional Adoption </w:t>
    </w:r>
    <w:r w:rsidR="00CA6738">
      <w:rPr>
        <w:rFonts w:cs="Arial"/>
        <w:bCs/>
      </w:rPr>
      <w:t>Collaborative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C129" w14:textId="77777777" w:rsidR="00A26D72" w:rsidRDefault="00A26D72" w:rsidP="00A26D72">
    <w:pPr>
      <w:pStyle w:val="Header"/>
    </w:pPr>
    <w:r w:rsidRPr="00F35A1A">
      <w:rPr>
        <w:bCs/>
      </w:rPr>
      <w:t xml:space="preserve">VVC </w:t>
    </w:r>
    <w:r w:rsidRPr="00F35A1A">
      <w:rPr>
        <w:rFonts w:cs="Arial"/>
        <w:bCs/>
      </w:rPr>
      <w:t xml:space="preserve">Regional Adoption </w:t>
    </w:r>
    <w:r>
      <w:rPr>
        <w:rFonts w:cs="Arial"/>
        <w:bCs/>
      </w:rPr>
      <w:t>Collaborative</w:t>
    </w:r>
  </w:p>
  <w:p w14:paraId="34D89A81" w14:textId="1DCC3BD9" w:rsidR="00D9064A" w:rsidRPr="00A26D72" w:rsidRDefault="00D9064A" w:rsidP="00A2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20C9498"/>
    <w:lvl w:ilvl="0">
      <w:start w:val="1"/>
      <w:numFmt w:val="decimal"/>
      <w:pStyle w:val="ListNumber"/>
      <w:lvlText w:val="%1."/>
      <w:lvlJc w:val="left"/>
      <w:pPr>
        <w:tabs>
          <w:tab w:val="num" w:pos="567"/>
        </w:tabs>
        <w:ind w:left="567" w:hanging="567"/>
      </w:pPr>
      <w:rPr>
        <w:rFonts w:hint="default"/>
      </w:rPr>
    </w:lvl>
  </w:abstractNum>
  <w:abstractNum w:abstractNumId="1" w15:restartNumberingAfterBreak="0">
    <w:nsid w:val="011367E7"/>
    <w:multiLevelType w:val="hybridMultilevel"/>
    <w:tmpl w:val="99B64E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027A58"/>
    <w:multiLevelType w:val="hybridMultilevel"/>
    <w:tmpl w:val="CE169D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700297"/>
    <w:multiLevelType w:val="hybridMultilevel"/>
    <w:tmpl w:val="03925226"/>
    <w:lvl w:ilvl="0" w:tplc="2F403B0A">
      <w:start w:val="1"/>
      <w:numFmt w:val="bullet"/>
      <w:pStyle w:val="Sub-bullet"/>
      <w:lvlText w:val="‒"/>
      <w:lvlJc w:val="left"/>
      <w:pPr>
        <w:ind w:left="1701" w:hanging="567"/>
      </w:pPr>
      <w:rPr>
        <w:rFonts w:ascii="Arial" w:hAnsi="Arial" w:hint="default"/>
        <w:color w:val="262626" w:themeColor="text1" w:themeTint="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0674"/>
    <w:multiLevelType w:val="hybridMultilevel"/>
    <w:tmpl w:val="86FE50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7B9465C"/>
    <w:multiLevelType w:val="hybridMultilevel"/>
    <w:tmpl w:val="E542C3AA"/>
    <w:lvl w:ilvl="0" w:tplc="4ADA185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94584"/>
    <w:multiLevelType w:val="hybridMultilevel"/>
    <w:tmpl w:val="392001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D181F16"/>
    <w:multiLevelType w:val="hybridMultilevel"/>
    <w:tmpl w:val="EB581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9430D9"/>
    <w:multiLevelType w:val="hybridMultilevel"/>
    <w:tmpl w:val="7A6289BC"/>
    <w:lvl w:ilvl="0" w:tplc="83480808">
      <w:numFmt w:val="bullet"/>
      <w:lvlText w:val="-"/>
      <w:lvlJc w:val="left"/>
      <w:pPr>
        <w:ind w:left="277" w:hanging="137"/>
      </w:pPr>
      <w:rPr>
        <w:rFonts w:ascii="Arial" w:eastAsia="Arial" w:hAnsi="Arial" w:cs="Arial" w:hint="default"/>
        <w:w w:val="100"/>
        <w:sz w:val="22"/>
        <w:szCs w:val="22"/>
        <w:lang w:val="en-GB" w:eastAsia="en-GB" w:bidi="en-GB"/>
      </w:rPr>
    </w:lvl>
    <w:lvl w:ilvl="1" w:tplc="827C6F32">
      <w:numFmt w:val="bullet"/>
      <w:lvlText w:val="•"/>
      <w:lvlJc w:val="left"/>
      <w:pPr>
        <w:ind w:left="4380" w:hanging="137"/>
      </w:pPr>
      <w:rPr>
        <w:rFonts w:hint="default"/>
        <w:lang w:val="en-GB" w:eastAsia="en-GB" w:bidi="en-GB"/>
      </w:rPr>
    </w:lvl>
    <w:lvl w:ilvl="2" w:tplc="6712AD90">
      <w:numFmt w:val="bullet"/>
      <w:lvlText w:val="•"/>
      <w:lvlJc w:val="left"/>
      <w:pPr>
        <w:ind w:left="4927" w:hanging="137"/>
      </w:pPr>
      <w:rPr>
        <w:rFonts w:hint="default"/>
        <w:lang w:val="en-GB" w:eastAsia="en-GB" w:bidi="en-GB"/>
      </w:rPr>
    </w:lvl>
    <w:lvl w:ilvl="3" w:tplc="0032D65E">
      <w:numFmt w:val="bullet"/>
      <w:lvlText w:val="•"/>
      <w:lvlJc w:val="left"/>
      <w:pPr>
        <w:ind w:left="5474" w:hanging="137"/>
      </w:pPr>
      <w:rPr>
        <w:rFonts w:hint="default"/>
        <w:lang w:val="en-GB" w:eastAsia="en-GB" w:bidi="en-GB"/>
      </w:rPr>
    </w:lvl>
    <w:lvl w:ilvl="4" w:tplc="646A9232">
      <w:numFmt w:val="bullet"/>
      <w:lvlText w:val="•"/>
      <w:lvlJc w:val="left"/>
      <w:pPr>
        <w:ind w:left="6022" w:hanging="137"/>
      </w:pPr>
      <w:rPr>
        <w:rFonts w:hint="default"/>
        <w:lang w:val="en-GB" w:eastAsia="en-GB" w:bidi="en-GB"/>
      </w:rPr>
    </w:lvl>
    <w:lvl w:ilvl="5" w:tplc="135634F2">
      <w:numFmt w:val="bullet"/>
      <w:lvlText w:val="•"/>
      <w:lvlJc w:val="left"/>
      <w:pPr>
        <w:ind w:left="6569" w:hanging="137"/>
      </w:pPr>
      <w:rPr>
        <w:rFonts w:hint="default"/>
        <w:lang w:val="en-GB" w:eastAsia="en-GB" w:bidi="en-GB"/>
      </w:rPr>
    </w:lvl>
    <w:lvl w:ilvl="6" w:tplc="7FE29522">
      <w:numFmt w:val="bullet"/>
      <w:lvlText w:val="•"/>
      <w:lvlJc w:val="left"/>
      <w:pPr>
        <w:ind w:left="7116" w:hanging="137"/>
      </w:pPr>
      <w:rPr>
        <w:rFonts w:hint="default"/>
        <w:lang w:val="en-GB" w:eastAsia="en-GB" w:bidi="en-GB"/>
      </w:rPr>
    </w:lvl>
    <w:lvl w:ilvl="7" w:tplc="DD8AB312">
      <w:numFmt w:val="bullet"/>
      <w:lvlText w:val="•"/>
      <w:lvlJc w:val="left"/>
      <w:pPr>
        <w:ind w:left="7664" w:hanging="137"/>
      </w:pPr>
      <w:rPr>
        <w:rFonts w:hint="default"/>
        <w:lang w:val="en-GB" w:eastAsia="en-GB" w:bidi="en-GB"/>
      </w:rPr>
    </w:lvl>
    <w:lvl w:ilvl="8" w:tplc="60F4F664">
      <w:numFmt w:val="bullet"/>
      <w:lvlText w:val="•"/>
      <w:lvlJc w:val="left"/>
      <w:pPr>
        <w:ind w:left="8211" w:hanging="137"/>
      </w:pPr>
      <w:rPr>
        <w:rFonts w:hint="default"/>
        <w:lang w:val="en-GB" w:eastAsia="en-GB" w:bidi="en-GB"/>
      </w:rPr>
    </w:lvl>
  </w:abstractNum>
  <w:abstractNum w:abstractNumId="9" w15:restartNumberingAfterBreak="0">
    <w:nsid w:val="34D62A99"/>
    <w:multiLevelType w:val="hybridMultilevel"/>
    <w:tmpl w:val="89A4E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D01AA"/>
    <w:multiLevelType w:val="hybridMultilevel"/>
    <w:tmpl w:val="482AE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02067"/>
    <w:multiLevelType w:val="hybridMultilevel"/>
    <w:tmpl w:val="553C4432"/>
    <w:lvl w:ilvl="0" w:tplc="7E3E72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2B706E"/>
    <w:multiLevelType w:val="hybridMultilevel"/>
    <w:tmpl w:val="C96CF28A"/>
    <w:lvl w:ilvl="0" w:tplc="1DC2E0A6">
      <w:start w:val="1"/>
      <w:numFmt w:val="decimal"/>
      <w:pStyle w:val="Heading2"/>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96100"/>
    <w:multiLevelType w:val="hybridMultilevel"/>
    <w:tmpl w:val="83F49616"/>
    <w:lvl w:ilvl="0" w:tplc="5E600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F0EEE"/>
    <w:multiLevelType w:val="hybridMultilevel"/>
    <w:tmpl w:val="FB7080E8"/>
    <w:lvl w:ilvl="0" w:tplc="B03CA374">
      <w:numFmt w:val="bullet"/>
      <w:lvlText w:val=""/>
      <w:lvlJc w:val="left"/>
      <w:pPr>
        <w:ind w:left="1940" w:hanging="361"/>
      </w:pPr>
      <w:rPr>
        <w:rFonts w:ascii="Symbol" w:eastAsia="Symbol" w:hAnsi="Symbol" w:cs="Symbol" w:hint="default"/>
        <w:w w:val="100"/>
        <w:sz w:val="22"/>
        <w:szCs w:val="22"/>
        <w:lang w:val="en-GB" w:eastAsia="en-GB" w:bidi="en-GB"/>
      </w:rPr>
    </w:lvl>
    <w:lvl w:ilvl="1" w:tplc="3F12EA10">
      <w:numFmt w:val="bullet"/>
      <w:lvlText w:val="•"/>
      <w:lvlJc w:val="left"/>
      <w:pPr>
        <w:ind w:left="4380" w:hanging="361"/>
      </w:pPr>
      <w:rPr>
        <w:rFonts w:hint="default"/>
        <w:lang w:val="en-GB" w:eastAsia="en-GB" w:bidi="en-GB"/>
      </w:rPr>
    </w:lvl>
    <w:lvl w:ilvl="2" w:tplc="269475F8">
      <w:numFmt w:val="bullet"/>
      <w:lvlText w:val="•"/>
      <w:lvlJc w:val="left"/>
      <w:pPr>
        <w:ind w:left="4927" w:hanging="361"/>
      </w:pPr>
      <w:rPr>
        <w:rFonts w:hint="default"/>
        <w:lang w:val="en-GB" w:eastAsia="en-GB" w:bidi="en-GB"/>
      </w:rPr>
    </w:lvl>
    <w:lvl w:ilvl="3" w:tplc="1A5A6428">
      <w:numFmt w:val="bullet"/>
      <w:lvlText w:val="•"/>
      <w:lvlJc w:val="left"/>
      <w:pPr>
        <w:ind w:left="5474" w:hanging="361"/>
      </w:pPr>
      <w:rPr>
        <w:rFonts w:hint="default"/>
        <w:lang w:val="en-GB" w:eastAsia="en-GB" w:bidi="en-GB"/>
      </w:rPr>
    </w:lvl>
    <w:lvl w:ilvl="4" w:tplc="A9AEEB7A">
      <w:numFmt w:val="bullet"/>
      <w:lvlText w:val="•"/>
      <w:lvlJc w:val="left"/>
      <w:pPr>
        <w:ind w:left="6022" w:hanging="361"/>
      </w:pPr>
      <w:rPr>
        <w:rFonts w:hint="default"/>
        <w:lang w:val="en-GB" w:eastAsia="en-GB" w:bidi="en-GB"/>
      </w:rPr>
    </w:lvl>
    <w:lvl w:ilvl="5" w:tplc="5C22DC98">
      <w:numFmt w:val="bullet"/>
      <w:lvlText w:val="•"/>
      <w:lvlJc w:val="left"/>
      <w:pPr>
        <w:ind w:left="6569" w:hanging="361"/>
      </w:pPr>
      <w:rPr>
        <w:rFonts w:hint="default"/>
        <w:lang w:val="en-GB" w:eastAsia="en-GB" w:bidi="en-GB"/>
      </w:rPr>
    </w:lvl>
    <w:lvl w:ilvl="6" w:tplc="3A0C7050">
      <w:numFmt w:val="bullet"/>
      <w:lvlText w:val="•"/>
      <w:lvlJc w:val="left"/>
      <w:pPr>
        <w:ind w:left="7116" w:hanging="361"/>
      </w:pPr>
      <w:rPr>
        <w:rFonts w:hint="default"/>
        <w:lang w:val="en-GB" w:eastAsia="en-GB" w:bidi="en-GB"/>
      </w:rPr>
    </w:lvl>
    <w:lvl w:ilvl="7" w:tplc="06A680D4">
      <w:numFmt w:val="bullet"/>
      <w:lvlText w:val="•"/>
      <w:lvlJc w:val="left"/>
      <w:pPr>
        <w:ind w:left="7664" w:hanging="361"/>
      </w:pPr>
      <w:rPr>
        <w:rFonts w:hint="default"/>
        <w:lang w:val="en-GB" w:eastAsia="en-GB" w:bidi="en-GB"/>
      </w:rPr>
    </w:lvl>
    <w:lvl w:ilvl="8" w:tplc="C0C277B2">
      <w:numFmt w:val="bullet"/>
      <w:lvlText w:val="•"/>
      <w:lvlJc w:val="left"/>
      <w:pPr>
        <w:ind w:left="8211" w:hanging="361"/>
      </w:pPr>
      <w:rPr>
        <w:rFonts w:hint="default"/>
        <w:lang w:val="en-GB" w:eastAsia="en-GB" w:bidi="en-GB"/>
      </w:rPr>
    </w:lvl>
  </w:abstractNum>
  <w:abstractNum w:abstractNumId="15" w15:restartNumberingAfterBreak="0">
    <w:nsid w:val="484D65B2"/>
    <w:multiLevelType w:val="hybridMultilevel"/>
    <w:tmpl w:val="C668FB52"/>
    <w:lvl w:ilvl="0" w:tplc="377636D4">
      <w:numFmt w:val="bullet"/>
      <w:lvlText w:val="-"/>
      <w:lvlJc w:val="left"/>
      <w:pPr>
        <w:ind w:left="1494" w:hanging="360"/>
      </w:pPr>
      <w:rPr>
        <w:rFonts w:ascii="Arial" w:eastAsia="Calibr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9406EFF"/>
    <w:multiLevelType w:val="hybridMultilevel"/>
    <w:tmpl w:val="009A4D12"/>
    <w:lvl w:ilvl="0" w:tplc="0D58526E">
      <w:numFmt w:val="bullet"/>
      <w:lvlText w:val=""/>
      <w:lvlJc w:val="left"/>
      <w:pPr>
        <w:ind w:left="838" w:hanging="567"/>
      </w:pPr>
      <w:rPr>
        <w:rFonts w:ascii="Symbol" w:eastAsia="Symbol" w:hAnsi="Symbol" w:cs="Symbol" w:hint="default"/>
        <w:color w:val="F46239"/>
        <w:w w:val="99"/>
        <w:sz w:val="20"/>
        <w:szCs w:val="20"/>
        <w:lang w:val="en-GB" w:eastAsia="en-GB" w:bidi="en-GB"/>
      </w:rPr>
    </w:lvl>
    <w:lvl w:ilvl="1" w:tplc="C2B4FC60">
      <w:numFmt w:val="bullet"/>
      <w:lvlText w:val="–"/>
      <w:lvlJc w:val="left"/>
      <w:pPr>
        <w:ind w:left="1405" w:hanging="567"/>
      </w:pPr>
      <w:rPr>
        <w:rFonts w:ascii="Arial" w:eastAsia="Arial" w:hAnsi="Arial" w:cs="Arial" w:hint="default"/>
        <w:w w:val="99"/>
        <w:sz w:val="20"/>
        <w:szCs w:val="20"/>
        <w:lang w:val="en-GB" w:eastAsia="en-GB" w:bidi="en-GB"/>
      </w:rPr>
    </w:lvl>
    <w:lvl w:ilvl="2" w:tplc="A55E94BA">
      <w:numFmt w:val="bullet"/>
      <w:lvlText w:val="•"/>
      <w:lvlJc w:val="left"/>
      <w:pPr>
        <w:ind w:left="2342" w:hanging="567"/>
      </w:pPr>
      <w:rPr>
        <w:rFonts w:hint="default"/>
        <w:lang w:val="en-GB" w:eastAsia="en-GB" w:bidi="en-GB"/>
      </w:rPr>
    </w:lvl>
    <w:lvl w:ilvl="3" w:tplc="14402A52">
      <w:numFmt w:val="bullet"/>
      <w:lvlText w:val="•"/>
      <w:lvlJc w:val="left"/>
      <w:pPr>
        <w:ind w:left="3285" w:hanging="567"/>
      </w:pPr>
      <w:rPr>
        <w:rFonts w:hint="default"/>
        <w:lang w:val="en-GB" w:eastAsia="en-GB" w:bidi="en-GB"/>
      </w:rPr>
    </w:lvl>
    <w:lvl w:ilvl="4" w:tplc="1B202326">
      <w:numFmt w:val="bullet"/>
      <w:lvlText w:val="•"/>
      <w:lvlJc w:val="left"/>
      <w:pPr>
        <w:ind w:left="4228" w:hanging="567"/>
      </w:pPr>
      <w:rPr>
        <w:rFonts w:hint="default"/>
        <w:lang w:val="en-GB" w:eastAsia="en-GB" w:bidi="en-GB"/>
      </w:rPr>
    </w:lvl>
    <w:lvl w:ilvl="5" w:tplc="DD70B772">
      <w:numFmt w:val="bullet"/>
      <w:lvlText w:val="•"/>
      <w:lvlJc w:val="left"/>
      <w:pPr>
        <w:ind w:left="5171" w:hanging="567"/>
      </w:pPr>
      <w:rPr>
        <w:rFonts w:hint="default"/>
        <w:lang w:val="en-GB" w:eastAsia="en-GB" w:bidi="en-GB"/>
      </w:rPr>
    </w:lvl>
    <w:lvl w:ilvl="6" w:tplc="2ED04512">
      <w:numFmt w:val="bullet"/>
      <w:lvlText w:val="•"/>
      <w:lvlJc w:val="left"/>
      <w:pPr>
        <w:ind w:left="6114" w:hanging="567"/>
      </w:pPr>
      <w:rPr>
        <w:rFonts w:hint="default"/>
        <w:lang w:val="en-GB" w:eastAsia="en-GB" w:bidi="en-GB"/>
      </w:rPr>
    </w:lvl>
    <w:lvl w:ilvl="7" w:tplc="10F4E1D0">
      <w:numFmt w:val="bullet"/>
      <w:lvlText w:val="•"/>
      <w:lvlJc w:val="left"/>
      <w:pPr>
        <w:ind w:left="7057" w:hanging="567"/>
      </w:pPr>
      <w:rPr>
        <w:rFonts w:hint="default"/>
        <w:lang w:val="en-GB" w:eastAsia="en-GB" w:bidi="en-GB"/>
      </w:rPr>
    </w:lvl>
    <w:lvl w:ilvl="8" w:tplc="6F86DD70">
      <w:numFmt w:val="bullet"/>
      <w:lvlText w:val="•"/>
      <w:lvlJc w:val="left"/>
      <w:pPr>
        <w:ind w:left="8000" w:hanging="567"/>
      </w:pPr>
      <w:rPr>
        <w:rFonts w:hint="default"/>
        <w:lang w:val="en-GB" w:eastAsia="en-GB" w:bidi="en-GB"/>
      </w:rPr>
    </w:lvl>
  </w:abstractNum>
  <w:abstractNum w:abstractNumId="17" w15:restartNumberingAfterBreak="0">
    <w:nsid w:val="51F57BE9"/>
    <w:multiLevelType w:val="hybridMultilevel"/>
    <w:tmpl w:val="E2DE0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720D26"/>
    <w:multiLevelType w:val="multilevel"/>
    <w:tmpl w:val="F656C384"/>
    <w:lvl w:ilvl="0">
      <w:start w:val="1"/>
      <w:numFmt w:val="decimal"/>
      <w:lvlText w:val="%1."/>
      <w:lvlJc w:val="left"/>
      <w:pPr>
        <w:ind w:left="720" w:hanging="360"/>
      </w:pPr>
      <w:rPr>
        <w:rFonts w:asciiTheme="minorHAnsi" w:eastAsiaTheme="majorEastAsia" w:hAnsiTheme="minorHAnsi" w:cstheme="majorBidi"/>
        <w:b/>
        <w:color w:val="auto"/>
      </w:rPr>
    </w:lvl>
    <w:lvl w:ilvl="1">
      <w:start w:val="1"/>
      <w:numFmt w:val="decimal"/>
      <w:pStyle w:val="Style1"/>
      <w:isLgl/>
      <w:lvlText w:val="%1.%2"/>
      <w:lvlJc w:val="left"/>
      <w:pPr>
        <w:ind w:left="1080" w:hanging="720"/>
      </w:pPr>
      <w:rPr>
        <w:rFonts w:asciiTheme="minorHAnsi" w:hAnsiTheme="minorHAnsi"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4B14EC1"/>
    <w:multiLevelType w:val="hybridMultilevel"/>
    <w:tmpl w:val="B288A850"/>
    <w:lvl w:ilvl="0" w:tplc="618485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046891"/>
    <w:multiLevelType w:val="hybridMultilevel"/>
    <w:tmpl w:val="9CA853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D317DE4"/>
    <w:multiLevelType w:val="hybridMultilevel"/>
    <w:tmpl w:val="DEE6DC4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E430005"/>
    <w:multiLevelType w:val="hybridMultilevel"/>
    <w:tmpl w:val="EDA6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63C8F"/>
    <w:multiLevelType w:val="hybridMultilevel"/>
    <w:tmpl w:val="103E72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1F002F2"/>
    <w:multiLevelType w:val="hybridMultilevel"/>
    <w:tmpl w:val="5B7285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63F325D8"/>
    <w:multiLevelType w:val="hybridMultilevel"/>
    <w:tmpl w:val="2C20416E"/>
    <w:lvl w:ilvl="0" w:tplc="AD32DB80">
      <w:start w:val="1"/>
      <w:numFmt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5F774ED"/>
    <w:multiLevelType w:val="multilevel"/>
    <w:tmpl w:val="F0CED604"/>
    <w:lvl w:ilvl="0">
      <w:start w:val="1"/>
      <w:numFmt w:val="bullet"/>
      <w:pStyle w:val="Bullet"/>
      <w:lvlText w:val=""/>
      <w:lvlJc w:val="left"/>
      <w:pPr>
        <w:ind w:left="720" w:hanging="360"/>
      </w:pPr>
      <w:rPr>
        <w:rFonts w:ascii="Symbol" w:hAnsi="Symbol" w:hint="default"/>
        <w:b/>
        <w:color w:val="auto"/>
      </w:rPr>
    </w:lvl>
    <w:lvl w:ilvl="1">
      <w:start w:val="1"/>
      <w:numFmt w:val="bullet"/>
      <w:lvlText w:val=""/>
      <w:lvlJc w:val="left"/>
      <w:pPr>
        <w:ind w:left="1080" w:hanging="720"/>
      </w:pPr>
      <w:rPr>
        <w:rFonts w:ascii="Symbol" w:hAnsi="Symbol"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2271AC"/>
    <w:multiLevelType w:val="hybridMultilevel"/>
    <w:tmpl w:val="64E039E4"/>
    <w:lvl w:ilvl="0" w:tplc="4FDACE9A">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B41DE"/>
    <w:multiLevelType w:val="hybridMultilevel"/>
    <w:tmpl w:val="4162DF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B141E2F"/>
    <w:multiLevelType w:val="hybridMultilevel"/>
    <w:tmpl w:val="5AD870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D6A4247"/>
    <w:multiLevelType w:val="hybridMultilevel"/>
    <w:tmpl w:val="FE464DEE"/>
    <w:lvl w:ilvl="0" w:tplc="2A58D4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872A88"/>
    <w:multiLevelType w:val="hybridMultilevel"/>
    <w:tmpl w:val="E37CB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8E78C8"/>
    <w:multiLevelType w:val="hybridMultilevel"/>
    <w:tmpl w:val="8DBC0D76"/>
    <w:lvl w:ilvl="0" w:tplc="EEB0907C">
      <w:start w:val="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3543B"/>
    <w:multiLevelType w:val="hybridMultilevel"/>
    <w:tmpl w:val="FC7CD808"/>
    <w:lvl w:ilvl="0" w:tplc="FBA4824E">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61CD9"/>
    <w:multiLevelType w:val="hybridMultilevel"/>
    <w:tmpl w:val="27C07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BB02FA"/>
    <w:multiLevelType w:val="hybridMultilevel"/>
    <w:tmpl w:val="407AD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4264310">
    <w:abstractNumId w:val="5"/>
  </w:num>
  <w:num w:numId="2" w16cid:durableId="172914683">
    <w:abstractNumId w:val="31"/>
  </w:num>
  <w:num w:numId="3" w16cid:durableId="1459102666">
    <w:abstractNumId w:val="30"/>
  </w:num>
  <w:num w:numId="4" w16cid:durableId="1254898825">
    <w:abstractNumId w:val="20"/>
  </w:num>
  <w:num w:numId="5" w16cid:durableId="349573717">
    <w:abstractNumId w:val="6"/>
  </w:num>
  <w:num w:numId="6" w16cid:durableId="1641960210">
    <w:abstractNumId w:val="21"/>
  </w:num>
  <w:num w:numId="7" w16cid:durableId="938223543">
    <w:abstractNumId w:val="24"/>
  </w:num>
  <w:num w:numId="8" w16cid:durableId="1778057292">
    <w:abstractNumId w:val="4"/>
  </w:num>
  <w:num w:numId="9" w16cid:durableId="2005085659">
    <w:abstractNumId w:val="1"/>
  </w:num>
  <w:num w:numId="10" w16cid:durableId="1057584594">
    <w:abstractNumId w:val="2"/>
  </w:num>
  <w:num w:numId="11" w16cid:durableId="481967979">
    <w:abstractNumId w:val="29"/>
  </w:num>
  <w:num w:numId="12" w16cid:durableId="1053654420">
    <w:abstractNumId w:val="23"/>
  </w:num>
  <w:num w:numId="13" w16cid:durableId="1348406607">
    <w:abstractNumId w:val="28"/>
  </w:num>
  <w:num w:numId="14" w16cid:durableId="66391201">
    <w:abstractNumId w:val="12"/>
  </w:num>
  <w:num w:numId="15" w16cid:durableId="544753660">
    <w:abstractNumId w:val="32"/>
  </w:num>
  <w:num w:numId="16" w16cid:durableId="62145258">
    <w:abstractNumId w:val="26"/>
  </w:num>
  <w:num w:numId="17" w16cid:durableId="1356731311">
    <w:abstractNumId w:val="18"/>
  </w:num>
  <w:num w:numId="18" w16cid:durableId="1254633669">
    <w:abstractNumId w:val="12"/>
    <w:lvlOverride w:ilvl="0">
      <w:startOverride w:val="1"/>
    </w:lvlOverride>
  </w:num>
  <w:num w:numId="19" w16cid:durableId="2122603541">
    <w:abstractNumId w:val="19"/>
  </w:num>
  <w:num w:numId="20" w16cid:durableId="199586660">
    <w:abstractNumId w:val="13"/>
  </w:num>
  <w:num w:numId="21" w16cid:durableId="1384674626">
    <w:abstractNumId w:val="35"/>
  </w:num>
  <w:num w:numId="22" w16cid:durableId="1432772623">
    <w:abstractNumId w:val="11"/>
  </w:num>
  <w:num w:numId="23" w16cid:durableId="193421994">
    <w:abstractNumId w:val="16"/>
  </w:num>
  <w:num w:numId="24" w16cid:durableId="504629833">
    <w:abstractNumId w:val="22"/>
  </w:num>
  <w:num w:numId="25" w16cid:durableId="626818400">
    <w:abstractNumId w:val="17"/>
  </w:num>
  <w:num w:numId="26" w16cid:durableId="1590313550">
    <w:abstractNumId w:val="7"/>
  </w:num>
  <w:num w:numId="27" w16cid:durableId="841895260">
    <w:abstractNumId w:val="15"/>
  </w:num>
  <w:num w:numId="28" w16cid:durableId="1429814669">
    <w:abstractNumId w:val="0"/>
  </w:num>
  <w:num w:numId="29" w16cid:durableId="441919312">
    <w:abstractNumId w:val="0"/>
  </w:num>
  <w:num w:numId="30" w16cid:durableId="1874227416">
    <w:abstractNumId w:val="34"/>
  </w:num>
  <w:num w:numId="31" w16cid:durableId="1917669025">
    <w:abstractNumId w:val="9"/>
  </w:num>
  <w:num w:numId="32" w16cid:durableId="1092240014">
    <w:abstractNumId w:val="10"/>
  </w:num>
  <w:num w:numId="33" w16cid:durableId="720517916">
    <w:abstractNumId w:val="18"/>
  </w:num>
  <w:num w:numId="34" w16cid:durableId="699161492">
    <w:abstractNumId w:val="8"/>
  </w:num>
  <w:num w:numId="35" w16cid:durableId="1967851592">
    <w:abstractNumId w:val="14"/>
  </w:num>
  <w:num w:numId="36" w16cid:durableId="1164977529">
    <w:abstractNumId w:val="12"/>
  </w:num>
  <w:num w:numId="37" w16cid:durableId="1092318119">
    <w:abstractNumId w:val="27"/>
  </w:num>
  <w:num w:numId="38" w16cid:durableId="615985910">
    <w:abstractNumId w:val="33"/>
  </w:num>
  <w:num w:numId="39" w16cid:durableId="2029523714">
    <w:abstractNumId w:val="3"/>
  </w:num>
  <w:num w:numId="40" w16cid:durableId="193332192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FF"/>
    <w:rsid w:val="0000168C"/>
    <w:rsid w:val="00002007"/>
    <w:rsid w:val="0000234E"/>
    <w:rsid w:val="0000365F"/>
    <w:rsid w:val="00003A30"/>
    <w:rsid w:val="00004146"/>
    <w:rsid w:val="00004436"/>
    <w:rsid w:val="0000535A"/>
    <w:rsid w:val="000054CF"/>
    <w:rsid w:val="00005A95"/>
    <w:rsid w:val="00005BED"/>
    <w:rsid w:val="00010BC4"/>
    <w:rsid w:val="00011844"/>
    <w:rsid w:val="0001300F"/>
    <w:rsid w:val="00013BE0"/>
    <w:rsid w:val="00014973"/>
    <w:rsid w:val="0001577A"/>
    <w:rsid w:val="00015A0B"/>
    <w:rsid w:val="00015A8C"/>
    <w:rsid w:val="00015AEF"/>
    <w:rsid w:val="00015B6B"/>
    <w:rsid w:val="00016076"/>
    <w:rsid w:val="00017949"/>
    <w:rsid w:val="000201ED"/>
    <w:rsid w:val="000202EB"/>
    <w:rsid w:val="000208DE"/>
    <w:rsid w:val="00020D8B"/>
    <w:rsid w:val="00021BFC"/>
    <w:rsid w:val="000223A2"/>
    <w:rsid w:val="00023DA5"/>
    <w:rsid w:val="00024ED8"/>
    <w:rsid w:val="000258CA"/>
    <w:rsid w:val="00025917"/>
    <w:rsid w:val="00025999"/>
    <w:rsid w:val="00025B79"/>
    <w:rsid w:val="00026681"/>
    <w:rsid w:val="00026A19"/>
    <w:rsid w:val="00027C5F"/>
    <w:rsid w:val="000334F1"/>
    <w:rsid w:val="0003355D"/>
    <w:rsid w:val="000335FA"/>
    <w:rsid w:val="00033E92"/>
    <w:rsid w:val="00033F3D"/>
    <w:rsid w:val="000341D2"/>
    <w:rsid w:val="00034BEF"/>
    <w:rsid w:val="00034DED"/>
    <w:rsid w:val="00034F84"/>
    <w:rsid w:val="00035556"/>
    <w:rsid w:val="00035C9C"/>
    <w:rsid w:val="00035E83"/>
    <w:rsid w:val="00035EC9"/>
    <w:rsid w:val="000369DF"/>
    <w:rsid w:val="00037165"/>
    <w:rsid w:val="000376A1"/>
    <w:rsid w:val="00037CD8"/>
    <w:rsid w:val="00037D85"/>
    <w:rsid w:val="00040733"/>
    <w:rsid w:val="000409D8"/>
    <w:rsid w:val="00040E27"/>
    <w:rsid w:val="00041CFC"/>
    <w:rsid w:val="00042242"/>
    <w:rsid w:val="0004291E"/>
    <w:rsid w:val="00043B29"/>
    <w:rsid w:val="0004415D"/>
    <w:rsid w:val="0004470D"/>
    <w:rsid w:val="00044A88"/>
    <w:rsid w:val="00045530"/>
    <w:rsid w:val="00046180"/>
    <w:rsid w:val="000463B7"/>
    <w:rsid w:val="00050355"/>
    <w:rsid w:val="00050DF7"/>
    <w:rsid w:val="00051E82"/>
    <w:rsid w:val="0005224D"/>
    <w:rsid w:val="00052529"/>
    <w:rsid w:val="0005283F"/>
    <w:rsid w:val="00052AF6"/>
    <w:rsid w:val="00052DBB"/>
    <w:rsid w:val="00053A0B"/>
    <w:rsid w:val="0005447C"/>
    <w:rsid w:val="000547D3"/>
    <w:rsid w:val="0005648D"/>
    <w:rsid w:val="00056F6B"/>
    <w:rsid w:val="0005775D"/>
    <w:rsid w:val="0005782D"/>
    <w:rsid w:val="00061234"/>
    <w:rsid w:val="000620A9"/>
    <w:rsid w:val="00063BFD"/>
    <w:rsid w:val="0006475C"/>
    <w:rsid w:val="00065D1B"/>
    <w:rsid w:val="00066984"/>
    <w:rsid w:val="000676FB"/>
    <w:rsid w:val="000704B5"/>
    <w:rsid w:val="00071CEF"/>
    <w:rsid w:val="00072648"/>
    <w:rsid w:val="00072B57"/>
    <w:rsid w:val="00072FF9"/>
    <w:rsid w:val="000739AA"/>
    <w:rsid w:val="00073ED8"/>
    <w:rsid w:val="00074132"/>
    <w:rsid w:val="000746B4"/>
    <w:rsid w:val="00074F14"/>
    <w:rsid w:val="00075189"/>
    <w:rsid w:val="0007519D"/>
    <w:rsid w:val="00075418"/>
    <w:rsid w:val="00076E2B"/>
    <w:rsid w:val="0007706B"/>
    <w:rsid w:val="00077570"/>
    <w:rsid w:val="000777D2"/>
    <w:rsid w:val="000801E9"/>
    <w:rsid w:val="00081A17"/>
    <w:rsid w:val="00082252"/>
    <w:rsid w:val="000836B4"/>
    <w:rsid w:val="00086543"/>
    <w:rsid w:val="00086C49"/>
    <w:rsid w:val="000903D7"/>
    <w:rsid w:val="00091021"/>
    <w:rsid w:val="00091821"/>
    <w:rsid w:val="00091A89"/>
    <w:rsid w:val="00092649"/>
    <w:rsid w:val="000942A9"/>
    <w:rsid w:val="0009440A"/>
    <w:rsid w:val="00097C0E"/>
    <w:rsid w:val="00097D7D"/>
    <w:rsid w:val="000A0137"/>
    <w:rsid w:val="000A1ABA"/>
    <w:rsid w:val="000A2286"/>
    <w:rsid w:val="000A2A0F"/>
    <w:rsid w:val="000A2E02"/>
    <w:rsid w:val="000A32BB"/>
    <w:rsid w:val="000A38C3"/>
    <w:rsid w:val="000A48EA"/>
    <w:rsid w:val="000A5B57"/>
    <w:rsid w:val="000A5EEA"/>
    <w:rsid w:val="000B0680"/>
    <w:rsid w:val="000B1104"/>
    <w:rsid w:val="000B1133"/>
    <w:rsid w:val="000B1965"/>
    <w:rsid w:val="000B2E4C"/>
    <w:rsid w:val="000B36A4"/>
    <w:rsid w:val="000B3799"/>
    <w:rsid w:val="000B444C"/>
    <w:rsid w:val="000B6FE2"/>
    <w:rsid w:val="000B77D2"/>
    <w:rsid w:val="000C1922"/>
    <w:rsid w:val="000C1C0B"/>
    <w:rsid w:val="000C231D"/>
    <w:rsid w:val="000C2546"/>
    <w:rsid w:val="000C476E"/>
    <w:rsid w:val="000C523A"/>
    <w:rsid w:val="000C56AD"/>
    <w:rsid w:val="000C5762"/>
    <w:rsid w:val="000C57E4"/>
    <w:rsid w:val="000C654D"/>
    <w:rsid w:val="000C6BE2"/>
    <w:rsid w:val="000C6E49"/>
    <w:rsid w:val="000C7BD9"/>
    <w:rsid w:val="000C7E34"/>
    <w:rsid w:val="000D14F4"/>
    <w:rsid w:val="000D25BB"/>
    <w:rsid w:val="000D4406"/>
    <w:rsid w:val="000D5D1C"/>
    <w:rsid w:val="000D5FB5"/>
    <w:rsid w:val="000E0018"/>
    <w:rsid w:val="000E09B4"/>
    <w:rsid w:val="000E1783"/>
    <w:rsid w:val="000E34D2"/>
    <w:rsid w:val="000E63D7"/>
    <w:rsid w:val="000E70A2"/>
    <w:rsid w:val="000E7A45"/>
    <w:rsid w:val="000F05ED"/>
    <w:rsid w:val="000F06D2"/>
    <w:rsid w:val="000F0B39"/>
    <w:rsid w:val="000F0FF4"/>
    <w:rsid w:val="000F1036"/>
    <w:rsid w:val="000F1597"/>
    <w:rsid w:val="000F19E4"/>
    <w:rsid w:val="000F1AAF"/>
    <w:rsid w:val="000F25B6"/>
    <w:rsid w:val="000F28EB"/>
    <w:rsid w:val="000F2C77"/>
    <w:rsid w:val="000F3082"/>
    <w:rsid w:val="000F3627"/>
    <w:rsid w:val="000F510C"/>
    <w:rsid w:val="000F63FD"/>
    <w:rsid w:val="000F6C0B"/>
    <w:rsid w:val="000F6E69"/>
    <w:rsid w:val="000F6EB6"/>
    <w:rsid w:val="00100A73"/>
    <w:rsid w:val="001024C8"/>
    <w:rsid w:val="001030EF"/>
    <w:rsid w:val="001032AA"/>
    <w:rsid w:val="00103374"/>
    <w:rsid w:val="00103524"/>
    <w:rsid w:val="00103626"/>
    <w:rsid w:val="00103F1C"/>
    <w:rsid w:val="001045DC"/>
    <w:rsid w:val="00104745"/>
    <w:rsid w:val="00104DA5"/>
    <w:rsid w:val="001075EA"/>
    <w:rsid w:val="0011052C"/>
    <w:rsid w:val="001106A1"/>
    <w:rsid w:val="00110DCB"/>
    <w:rsid w:val="00111E86"/>
    <w:rsid w:val="00112D2A"/>
    <w:rsid w:val="0011470C"/>
    <w:rsid w:val="00114BBF"/>
    <w:rsid w:val="00114FA6"/>
    <w:rsid w:val="001153B7"/>
    <w:rsid w:val="0011596C"/>
    <w:rsid w:val="001163A2"/>
    <w:rsid w:val="00116BD8"/>
    <w:rsid w:val="0011750A"/>
    <w:rsid w:val="0012054F"/>
    <w:rsid w:val="00121C94"/>
    <w:rsid w:val="00122014"/>
    <w:rsid w:val="0012332B"/>
    <w:rsid w:val="0012538E"/>
    <w:rsid w:val="00125E83"/>
    <w:rsid w:val="00131162"/>
    <w:rsid w:val="00131292"/>
    <w:rsid w:val="001339DA"/>
    <w:rsid w:val="00133B82"/>
    <w:rsid w:val="00134E79"/>
    <w:rsid w:val="00135838"/>
    <w:rsid w:val="00135F00"/>
    <w:rsid w:val="001360AE"/>
    <w:rsid w:val="00136A62"/>
    <w:rsid w:val="00136A7E"/>
    <w:rsid w:val="001373D9"/>
    <w:rsid w:val="00140BB8"/>
    <w:rsid w:val="00140BC8"/>
    <w:rsid w:val="0014104A"/>
    <w:rsid w:val="001414BC"/>
    <w:rsid w:val="00143052"/>
    <w:rsid w:val="001432A5"/>
    <w:rsid w:val="00143F1C"/>
    <w:rsid w:val="00144298"/>
    <w:rsid w:val="00144870"/>
    <w:rsid w:val="0014531C"/>
    <w:rsid w:val="001455FE"/>
    <w:rsid w:val="0014616E"/>
    <w:rsid w:val="00146239"/>
    <w:rsid w:val="00146859"/>
    <w:rsid w:val="00147111"/>
    <w:rsid w:val="00150485"/>
    <w:rsid w:val="00150C99"/>
    <w:rsid w:val="00154743"/>
    <w:rsid w:val="00155E96"/>
    <w:rsid w:val="0015624F"/>
    <w:rsid w:val="00156747"/>
    <w:rsid w:val="00157405"/>
    <w:rsid w:val="0015748A"/>
    <w:rsid w:val="00157EC9"/>
    <w:rsid w:val="00160DD1"/>
    <w:rsid w:val="00160EEF"/>
    <w:rsid w:val="00161212"/>
    <w:rsid w:val="001614C8"/>
    <w:rsid w:val="00162CC7"/>
    <w:rsid w:val="00162F31"/>
    <w:rsid w:val="0016409C"/>
    <w:rsid w:val="001646A8"/>
    <w:rsid w:val="00165E30"/>
    <w:rsid w:val="00166D45"/>
    <w:rsid w:val="00167F5F"/>
    <w:rsid w:val="001703DF"/>
    <w:rsid w:val="0017110F"/>
    <w:rsid w:val="001724E0"/>
    <w:rsid w:val="00172D5F"/>
    <w:rsid w:val="001743BE"/>
    <w:rsid w:val="00174417"/>
    <w:rsid w:val="00174640"/>
    <w:rsid w:val="00175AAB"/>
    <w:rsid w:val="00175FDD"/>
    <w:rsid w:val="001764D0"/>
    <w:rsid w:val="00177807"/>
    <w:rsid w:val="00177A2E"/>
    <w:rsid w:val="00180F83"/>
    <w:rsid w:val="001824E7"/>
    <w:rsid w:val="001829D0"/>
    <w:rsid w:val="001831A2"/>
    <w:rsid w:val="00183415"/>
    <w:rsid w:val="0018360D"/>
    <w:rsid w:val="0018474D"/>
    <w:rsid w:val="00184E65"/>
    <w:rsid w:val="00185429"/>
    <w:rsid w:val="00185AF2"/>
    <w:rsid w:val="00186BCB"/>
    <w:rsid w:val="00186F5B"/>
    <w:rsid w:val="001872AA"/>
    <w:rsid w:val="001874E5"/>
    <w:rsid w:val="00190D4D"/>
    <w:rsid w:val="00191257"/>
    <w:rsid w:val="001931DC"/>
    <w:rsid w:val="00193CE2"/>
    <w:rsid w:val="001944F5"/>
    <w:rsid w:val="00194AF5"/>
    <w:rsid w:val="00194DD5"/>
    <w:rsid w:val="001952D8"/>
    <w:rsid w:val="001956FC"/>
    <w:rsid w:val="00195F88"/>
    <w:rsid w:val="001965BF"/>
    <w:rsid w:val="00196CB6"/>
    <w:rsid w:val="001A0267"/>
    <w:rsid w:val="001A11C3"/>
    <w:rsid w:val="001A2064"/>
    <w:rsid w:val="001A24C1"/>
    <w:rsid w:val="001A24FC"/>
    <w:rsid w:val="001A4D18"/>
    <w:rsid w:val="001A51D8"/>
    <w:rsid w:val="001A640D"/>
    <w:rsid w:val="001A6A1C"/>
    <w:rsid w:val="001A75C0"/>
    <w:rsid w:val="001A760D"/>
    <w:rsid w:val="001A76AF"/>
    <w:rsid w:val="001A7798"/>
    <w:rsid w:val="001B0827"/>
    <w:rsid w:val="001B152C"/>
    <w:rsid w:val="001B16FE"/>
    <w:rsid w:val="001B28B9"/>
    <w:rsid w:val="001B30AB"/>
    <w:rsid w:val="001B3826"/>
    <w:rsid w:val="001B49FC"/>
    <w:rsid w:val="001B4EDD"/>
    <w:rsid w:val="001B5C6B"/>
    <w:rsid w:val="001B6373"/>
    <w:rsid w:val="001B699B"/>
    <w:rsid w:val="001B6A3C"/>
    <w:rsid w:val="001B7660"/>
    <w:rsid w:val="001C08F3"/>
    <w:rsid w:val="001C0C64"/>
    <w:rsid w:val="001C1ADF"/>
    <w:rsid w:val="001C1E02"/>
    <w:rsid w:val="001C213E"/>
    <w:rsid w:val="001C328E"/>
    <w:rsid w:val="001C3662"/>
    <w:rsid w:val="001C37B6"/>
    <w:rsid w:val="001C5548"/>
    <w:rsid w:val="001C592E"/>
    <w:rsid w:val="001C75E1"/>
    <w:rsid w:val="001C7689"/>
    <w:rsid w:val="001D29DF"/>
    <w:rsid w:val="001D4A14"/>
    <w:rsid w:val="001D6161"/>
    <w:rsid w:val="001D64B2"/>
    <w:rsid w:val="001D66EE"/>
    <w:rsid w:val="001D676D"/>
    <w:rsid w:val="001D78C1"/>
    <w:rsid w:val="001D7970"/>
    <w:rsid w:val="001D7D58"/>
    <w:rsid w:val="001E03A6"/>
    <w:rsid w:val="001E0587"/>
    <w:rsid w:val="001E07F2"/>
    <w:rsid w:val="001E123C"/>
    <w:rsid w:val="001E1742"/>
    <w:rsid w:val="001E2079"/>
    <w:rsid w:val="001E2144"/>
    <w:rsid w:val="001E21DE"/>
    <w:rsid w:val="001E5BEB"/>
    <w:rsid w:val="001E6330"/>
    <w:rsid w:val="001E6731"/>
    <w:rsid w:val="001E735B"/>
    <w:rsid w:val="001F0589"/>
    <w:rsid w:val="001F06E5"/>
    <w:rsid w:val="001F0835"/>
    <w:rsid w:val="001F22B0"/>
    <w:rsid w:val="001F22F6"/>
    <w:rsid w:val="001F32DE"/>
    <w:rsid w:val="001F39FF"/>
    <w:rsid w:val="001F55C9"/>
    <w:rsid w:val="001F5644"/>
    <w:rsid w:val="001F67CC"/>
    <w:rsid w:val="001F6B2D"/>
    <w:rsid w:val="00200517"/>
    <w:rsid w:val="00200CA1"/>
    <w:rsid w:val="0020235D"/>
    <w:rsid w:val="0020287E"/>
    <w:rsid w:val="00203A47"/>
    <w:rsid w:val="00205EAB"/>
    <w:rsid w:val="0020622A"/>
    <w:rsid w:val="00206A11"/>
    <w:rsid w:val="00206F0F"/>
    <w:rsid w:val="00210269"/>
    <w:rsid w:val="00210A96"/>
    <w:rsid w:val="00210DD1"/>
    <w:rsid w:val="00210E19"/>
    <w:rsid w:val="00210E25"/>
    <w:rsid w:val="002124D4"/>
    <w:rsid w:val="002134A1"/>
    <w:rsid w:val="00214CDD"/>
    <w:rsid w:val="002210AE"/>
    <w:rsid w:val="00221491"/>
    <w:rsid w:val="00221949"/>
    <w:rsid w:val="00221CE3"/>
    <w:rsid w:val="002224B4"/>
    <w:rsid w:val="002237B0"/>
    <w:rsid w:val="0022398B"/>
    <w:rsid w:val="00224A25"/>
    <w:rsid w:val="002269A3"/>
    <w:rsid w:val="00227EBC"/>
    <w:rsid w:val="0023147C"/>
    <w:rsid w:val="002334C3"/>
    <w:rsid w:val="00233723"/>
    <w:rsid w:val="00234612"/>
    <w:rsid w:val="002346E3"/>
    <w:rsid w:val="0023540A"/>
    <w:rsid w:val="00235DA8"/>
    <w:rsid w:val="00235FA4"/>
    <w:rsid w:val="002360EB"/>
    <w:rsid w:val="00236ECC"/>
    <w:rsid w:val="00237736"/>
    <w:rsid w:val="00237A1C"/>
    <w:rsid w:val="00237EB7"/>
    <w:rsid w:val="0024072F"/>
    <w:rsid w:val="002412EE"/>
    <w:rsid w:val="002415FA"/>
    <w:rsid w:val="00243AC0"/>
    <w:rsid w:val="00243E17"/>
    <w:rsid w:val="002444C0"/>
    <w:rsid w:val="00244639"/>
    <w:rsid w:val="00245E57"/>
    <w:rsid w:val="00250556"/>
    <w:rsid w:val="00250B28"/>
    <w:rsid w:val="0025166C"/>
    <w:rsid w:val="0025175E"/>
    <w:rsid w:val="00251F94"/>
    <w:rsid w:val="00252911"/>
    <w:rsid w:val="00252E84"/>
    <w:rsid w:val="00253075"/>
    <w:rsid w:val="002537AD"/>
    <w:rsid w:val="00255412"/>
    <w:rsid w:val="00255962"/>
    <w:rsid w:val="002561C8"/>
    <w:rsid w:val="00256B82"/>
    <w:rsid w:val="00257EFC"/>
    <w:rsid w:val="00260204"/>
    <w:rsid w:val="00260A29"/>
    <w:rsid w:val="002619CC"/>
    <w:rsid w:val="00261BD4"/>
    <w:rsid w:val="00263A8A"/>
    <w:rsid w:val="00263C3F"/>
    <w:rsid w:val="00263CDC"/>
    <w:rsid w:val="00263D2C"/>
    <w:rsid w:val="00264134"/>
    <w:rsid w:val="002644E7"/>
    <w:rsid w:val="002648E0"/>
    <w:rsid w:val="00265177"/>
    <w:rsid w:val="00265C5E"/>
    <w:rsid w:val="0026663D"/>
    <w:rsid w:val="00266FA3"/>
    <w:rsid w:val="00267355"/>
    <w:rsid w:val="002677D3"/>
    <w:rsid w:val="0026786D"/>
    <w:rsid w:val="002702FD"/>
    <w:rsid w:val="00271F53"/>
    <w:rsid w:val="00273B55"/>
    <w:rsid w:val="00274FDE"/>
    <w:rsid w:val="00275D12"/>
    <w:rsid w:val="00275D98"/>
    <w:rsid w:val="00275E4C"/>
    <w:rsid w:val="002769D9"/>
    <w:rsid w:val="0027738E"/>
    <w:rsid w:val="00280756"/>
    <w:rsid w:val="002817CD"/>
    <w:rsid w:val="00281FFB"/>
    <w:rsid w:val="002824BE"/>
    <w:rsid w:val="0028313C"/>
    <w:rsid w:val="0028321B"/>
    <w:rsid w:val="00283403"/>
    <w:rsid w:val="00285958"/>
    <w:rsid w:val="002859C6"/>
    <w:rsid w:val="002866B8"/>
    <w:rsid w:val="002873E5"/>
    <w:rsid w:val="00290068"/>
    <w:rsid w:val="00290B15"/>
    <w:rsid w:val="002919B5"/>
    <w:rsid w:val="002926F2"/>
    <w:rsid w:val="00292D05"/>
    <w:rsid w:val="00293B0B"/>
    <w:rsid w:val="00294DFD"/>
    <w:rsid w:val="0029515E"/>
    <w:rsid w:val="00296A77"/>
    <w:rsid w:val="002978CD"/>
    <w:rsid w:val="002A1156"/>
    <w:rsid w:val="002A1464"/>
    <w:rsid w:val="002A1629"/>
    <w:rsid w:val="002A1B9E"/>
    <w:rsid w:val="002A37D2"/>
    <w:rsid w:val="002A4454"/>
    <w:rsid w:val="002A4B2B"/>
    <w:rsid w:val="002A4ED3"/>
    <w:rsid w:val="002A683B"/>
    <w:rsid w:val="002A684B"/>
    <w:rsid w:val="002A706E"/>
    <w:rsid w:val="002A7CE4"/>
    <w:rsid w:val="002B0508"/>
    <w:rsid w:val="002B0E2D"/>
    <w:rsid w:val="002B1E2B"/>
    <w:rsid w:val="002B2258"/>
    <w:rsid w:val="002B26B5"/>
    <w:rsid w:val="002B33CD"/>
    <w:rsid w:val="002B33F9"/>
    <w:rsid w:val="002B3636"/>
    <w:rsid w:val="002B4DD2"/>
    <w:rsid w:val="002B504A"/>
    <w:rsid w:val="002B5912"/>
    <w:rsid w:val="002B59DF"/>
    <w:rsid w:val="002B5B69"/>
    <w:rsid w:val="002B71E2"/>
    <w:rsid w:val="002B7A1C"/>
    <w:rsid w:val="002B7D92"/>
    <w:rsid w:val="002C0535"/>
    <w:rsid w:val="002C163B"/>
    <w:rsid w:val="002C2068"/>
    <w:rsid w:val="002C2413"/>
    <w:rsid w:val="002C2425"/>
    <w:rsid w:val="002C28C0"/>
    <w:rsid w:val="002C4677"/>
    <w:rsid w:val="002C6260"/>
    <w:rsid w:val="002C79EF"/>
    <w:rsid w:val="002C7C01"/>
    <w:rsid w:val="002C7FE6"/>
    <w:rsid w:val="002D00BD"/>
    <w:rsid w:val="002D096E"/>
    <w:rsid w:val="002D0D7F"/>
    <w:rsid w:val="002D1DEE"/>
    <w:rsid w:val="002D349D"/>
    <w:rsid w:val="002D3F86"/>
    <w:rsid w:val="002D473E"/>
    <w:rsid w:val="002D4799"/>
    <w:rsid w:val="002D4BFF"/>
    <w:rsid w:val="002D650A"/>
    <w:rsid w:val="002D6575"/>
    <w:rsid w:val="002D7130"/>
    <w:rsid w:val="002D75E5"/>
    <w:rsid w:val="002D7930"/>
    <w:rsid w:val="002E0211"/>
    <w:rsid w:val="002E13B0"/>
    <w:rsid w:val="002E1AC8"/>
    <w:rsid w:val="002E32DC"/>
    <w:rsid w:val="002E3743"/>
    <w:rsid w:val="002E378B"/>
    <w:rsid w:val="002E380B"/>
    <w:rsid w:val="002E3874"/>
    <w:rsid w:val="002E4459"/>
    <w:rsid w:val="002E4818"/>
    <w:rsid w:val="002E6215"/>
    <w:rsid w:val="002E69A2"/>
    <w:rsid w:val="002E73B5"/>
    <w:rsid w:val="002E74BD"/>
    <w:rsid w:val="002F0954"/>
    <w:rsid w:val="002F0C0E"/>
    <w:rsid w:val="002F1D16"/>
    <w:rsid w:val="002F1F49"/>
    <w:rsid w:val="002F2E92"/>
    <w:rsid w:val="002F3003"/>
    <w:rsid w:val="002F3B25"/>
    <w:rsid w:val="002F4A0F"/>
    <w:rsid w:val="002F4F89"/>
    <w:rsid w:val="002F5639"/>
    <w:rsid w:val="002F5B5B"/>
    <w:rsid w:val="002F5C96"/>
    <w:rsid w:val="002F65B9"/>
    <w:rsid w:val="002F7B0B"/>
    <w:rsid w:val="00300D0A"/>
    <w:rsid w:val="00301661"/>
    <w:rsid w:val="003018C7"/>
    <w:rsid w:val="0030496B"/>
    <w:rsid w:val="003052C6"/>
    <w:rsid w:val="003055B6"/>
    <w:rsid w:val="00305668"/>
    <w:rsid w:val="0030725D"/>
    <w:rsid w:val="00310D56"/>
    <w:rsid w:val="00311033"/>
    <w:rsid w:val="003114BC"/>
    <w:rsid w:val="00311AE4"/>
    <w:rsid w:val="00313E63"/>
    <w:rsid w:val="00313EF9"/>
    <w:rsid w:val="003152AC"/>
    <w:rsid w:val="00315ED4"/>
    <w:rsid w:val="003163FB"/>
    <w:rsid w:val="00316AA8"/>
    <w:rsid w:val="003177AA"/>
    <w:rsid w:val="00317C67"/>
    <w:rsid w:val="00320987"/>
    <w:rsid w:val="00320E7A"/>
    <w:rsid w:val="00322B7B"/>
    <w:rsid w:val="003234BB"/>
    <w:rsid w:val="00327898"/>
    <w:rsid w:val="003278DB"/>
    <w:rsid w:val="0033178C"/>
    <w:rsid w:val="003320CD"/>
    <w:rsid w:val="003333AD"/>
    <w:rsid w:val="00334062"/>
    <w:rsid w:val="0033466E"/>
    <w:rsid w:val="00336022"/>
    <w:rsid w:val="00336B5B"/>
    <w:rsid w:val="003371DF"/>
    <w:rsid w:val="00337C64"/>
    <w:rsid w:val="00337E4E"/>
    <w:rsid w:val="00340FA1"/>
    <w:rsid w:val="00341402"/>
    <w:rsid w:val="0034198D"/>
    <w:rsid w:val="00343BBE"/>
    <w:rsid w:val="00344D59"/>
    <w:rsid w:val="00345397"/>
    <w:rsid w:val="00345F9E"/>
    <w:rsid w:val="00346175"/>
    <w:rsid w:val="003462E2"/>
    <w:rsid w:val="003502EE"/>
    <w:rsid w:val="003514DD"/>
    <w:rsid w:val="003520A9"/>
    <w:rsid w:val="0035233E"/>
    <w:rsid w:val="003527B1"/>
    <w:rsid w:val="003531F0"/>
    <w:rsid w:val="003535A9"/>
    <w:rsid w:val="00353D1E"/>
    <w:rsid w:val="00353FDC"/>
    <w:rsid w:val="00354A18"/>
    <w:rsid w:val="00354BA0"/>
    <w:rsid w:val="003556E0"/>
    <w:rsid w:val="00355EF9"/>
    <w:rsid w:val="003561A6"/>
    <w:rsid w:val="00356B22"/>
    <w:rsid w:val="003604E8"/>
    <w:rsid w:val="00360C6E"/>
    <w:rsid w:val="003628EF"/>
    <w:rsid w:val="003642AF"/>
    <w:rsid w:val="003643A2"/>
    <w:rsid w:val="00364843"/>
    <w:rsid w:val="00364D3B"/>
    <w:rsid w:val="00365E0B"/>
    <w:rsid w:val="003669D3"/>
    <w:rsid w:val="0037024E"/>
    <w:rsid w:val="00370C2C"/>
    <w:rsid w:val="003716B3"/>
    <w:rsid w:val="00372989"/>
    <w:rsid w:val="00372991"/>
    <w:rsid w:val="00373823"/>
    <w:rsid w:val="00373EF2"/>
    <w:rsid w:val="00374548"/>
    <w:rsid w:val="003757CD"/>
    <w:rsid w:val="00375FF2"/>
    <w:rsid w:val="00376473"/>
    <w:rsid w:val="00376D7D"/>
    <w:rsid w:val="00377A0F"/>
    <w:rsid w:val="0038015F"/>
    <w:rsid w:val="003801AA"/>
    <w:rsid w:val="00381037"/>
    <w:rsid w:val="0038201B"/>
    <w:rsid w:val="0038373D"/>
    <w:rsid w:val="0038381C"/>
    <w:rsid w:val="00384A5E"/>
    <w:rsid w:val="00385A2E"/>
    <w:rsid w:val="0038643B"/>
    <w:rsid w:val="00386566"/>
    <w:rsid w:val="00392716"/>
    <w:rsid w:val="00392A71"/>
    <w:rsid w:val="003933DC"/>
    <w:rsid w:val="00393467"/>
    <w:rsid w:val="00393604"/>
    <w:rsid w:val="00394F8D"/>
    <w:rsid w:val="0039582E"/>
    <w:rsid w:val="00396C52"/>
    <w:rsid w:val="003972D9"/>
    <w:rsid w:val="00397DE4"/>
    <w:rsid w:val="00397EA5"/>
    <w:rsid w:val="003A0177"/>
    <w:rsid w:val="003A05A0"/>
    <w:rsid w:val="003A2250"/>
    <w:rsid w:val="003A2843"/>
    <w:rsid w:val="003A37A9"/>
    <w:rsid w:val="003A3D87"/>
    <w:rsid w:val="003A3E5A"/>
    <w:rsid w:val="003A46A8"/>
    <w:rsid w:val="003A5483"/>
    <w:rsid w:val="003A624B"/>
    <w:rsid w:val="003A7104"/>
    <w:rsid w:val="003A726D"/>
    <w:rsid w:val="003A7643"/>
    <w:rsid w:val="003A7B6A"/>
    <w:rsid w:val="003B07B0"/>
    <w:rsid w:val="003B12F5"/>
    <w:rsid w:val="003B3408"/>
    <w:rsid w:val="003B3DF5"/>
    <w:rsid w:val="003B3FA5"/>
    <w:rsid w:val="003B53B7"/>
    <w:rsid w:val="003B5FFA"/>
    <w:rsid w:val="003B601E"/>
    <w:rsid w:val="003B623A"/>
    <w:rsid w:val="003B64FE"/>
    <w:rsid w:val="003B7E39"/>
    <w:rsid w:val="003C0CBD"/>
    <w:rsid w:val="003C1FE1"/>
    <w:rsid w:val="003C256A"/>
    <w:rsid w:val="003C3314"/>
    <w:rsid w:val="003C365A"/>
    <w:rsid w:val="003C4AC6"/>
    <w:rsid w:val="003C4DCD"/>
    <w:rsid w:val="003C56E4"/>
    <w:rsid w:val="003C5888"/>
    <w:rsid w:val="003C62A3"/>
    <w:rsid w:val="003C6311"/>
    <w:rsid w:val="003C6EEE"/>
    <w:rsid w:val="003C78EF"/>
    <w:rsid w:val="003C79CC"/>
    <w:rsid w:val="003C7BA4"/>
    <w:rsid w:val="003D336A"/>
    <w:rsid w:val="003D42A6"/>
    <w:rsid w:val="003D48F9"/>
    <w:rsid w:val="003D6473"/>
    <w:rsid w:val="003D64DB"/>
    <w:rsid w:val="003D68DB"/>
    <w:rsid w:val="003D6AAE"/>
    <w:rsid w:val="003D7A9E"/>
    <w:rsid w:val="003D7BC1"/>
    <w:rsid w:val="003E1392"/>
    <w:rsid w:val="003E1EF7"/>
    <w:rsid w:val="003E30F1"/>
    <w:rsid w:val="003E3269"/>
    <w:rsid w:val="003E34EA"/>
    <w:rsid w:val="003E34FA"/>
    <w:rsid w:val="003E4A56"/>
    <w:rsid w:val="003E4A91"/>
    <w:rsid w:val="003E4C7C"/>
    <w:rsid w:val="003F0283"/>
    <w:rsid w:val="003F0481"/>
    <w:rsid w:val="003F0F6A"/>
    <w:rsid w:val="003F234A"/>
    <w:rsid w:val="003F3CFD"/>
    <w:rsid w:val="003F5193"/>
    <w:rsid w:val="003F67BA"/>
    <w:rsid w:val="003F7E36"/>
    <w:rsid w:val="004003A1"/>
    <w:rsid w:val="00400628"/>
    <w:rsid w:val="0040071F"/>
    <w:rsid w:val="00400E8F"/>
    <w:rsid w:val="00401A80"/>
    <w:rsid w:val="00401F3E"/>
    <w:rsid w:val="00403BC8"/>
    <w:rsid w:val="00403C90"/>
    <w:rsid w:val="00403DDD"/>
    <w:rsid w:val="00404829"/>
    <w:rsid w:val="00406369"/>
    <w:rsid w:val="00406807"/>
    <w:rsid w:val="00407900"/>
    <w:rsid w:val="00410349"/>
    <w:rsid w:val="00410F33"/>
    <w:rsid w:val="00410FAF"/>
    <w:rsid w:val="00411720"/>
    <w:rsid w:val="004118B1"/>
    <w:rsid w:val="00412601"/>
    <w:rsid w:val="00412E47"/>
    <w:rsid w:val="00413C34"/>
    <w:rsid w:val="0041466E"/>
    <w:rsid w:val="004156C8"/>
    <w:rsid w:val="00417A94"/>
    <w:rsid w:val="00420290"/>
    <w:rsid w:val="004202D5"/>
    <w:rsid w:val="00421973"/>
    <w:rsid w:val="00422AE8"/>
    <w:rsid w:val="00423630"/>
    <w:rsid w:val="00423746"/>
    <w:rsid w:val="004243AB"/>
    <w:rsid w:val="00424A9C"/>
    <w:rsid w:val="00426860"/>
    <w:rsid w:val="00426CBE"/>
    <w:rsid w:val="00427725"/>
    <w:rsid w:val="0043037D"/>
    <w:rsid w:val="00430870"/>
    <w:rsid w:val="004310AE"/>
    <w:rsid w:val="004335BB"/>
    <w:rsid w:val="00433A8D"/>
    <w:rsid w:val="00434A72"/>
    <w:rsid w:val="00436249"/>
    <w:rsid w:val="00436A47"/>
    <w:rsid w:val="00437181"/>
    <w:rsid w:val="004377EF"/>
    <w:rsid w:val="00437B13"/>
    <w:rsid w:val="00440296"/>
    <w:rsid w:val="00440FE5"/>
    <w:rsid w:val="00442AF7"/>
    <w:rsid w:val="004432A4"/>
    <w:rsid w:val="00443735"/>
    <w:rsid w:val="00443BF3"/>
    <w:rsid w:val="00443FE1"/>
    <w:rsid w:val="00444A9B"/>
    <w:rsid w:val="00444D9A"/>
    <w:rsid w:val="00445A44"/>
    <w:rsid w:val="00445BBB"/>
    <w:rsid w:val="00446988"/>
    <w:rsid w:val="00446997"/>
    <w:rsid w:val="004469FA"/>
    <w:rsid w:val="00446C29"/>
    <w:rsid w:val="0045009E"/>
    <w:rsid w:val="004514D5"/>
    <w:rsid w:val="00452427"/>
    <w:rsid w:val="004542E1"/>
    <w:rsid w:val="00455265"/>
    <w:rsid w:val="004556A1"/>
    <w:rsid w:val="004570B5"/>
    <w:rsid w:val="00460779"/>
    <w:rsid w:val="00461081"/>
    <w:rsid w:val="004611E2"/>
    <w:rsid w:val="00461335"/>
    <w:rsid w:val="00462093"/>
    <w:rsid w:val="004620C1"/>
    <w:rsid w:val="004633DD"/>
    <w:rsid w:val="00463B77"/>
    <w:rsid w:val="00464183"/>
    <w:rsid w:val="00464795"/>
    <w:rsid w:val="0046480A"/>
    <w:rsid w:val="00464F54"/>
    <w:rsid w:val="004655FB"/>
    <w:rsid w:val="00466B87"/>
    <w:rsid w:val="00467520"/>
    <w:rsid w:val="00467BBE"/>
    <w:rsid w:val="0047038D"/>
    <w:rsid w:val="004705F8"/>
    <w:rsid w:val="00470DB0"/>
    <w:rsid w:val="00471A25"/>
    <w:rsid w:val="00473AEC"/>
    <w:rsid w:val="00473F40"/>
    <w:rsid w:val="004746F7"/>
    <w:rsid w:val="004756C0"/>
    <w:rsid w:val="0047599B"/>
    <w:rsid w:val="00475CF6"/>
    <w:rsid w:val="00476A5B"/>
    <w:rsid w:val="00480191"/>
    <w:rsid w:val="0048032E"/>
    <w:rsid w:val="004812BA"/>
    <w:rsid w:val="00481928"/>
    <w:rsid w:val="00483B4C"/>
    <w:rsid w:val="00483BEC"/>
    <w:rsid w:val="00484774"/>
    <w:rsid w:val="004858D8"/>
    <w:rsid w:val="004862F1"/>
    <w:rsid w:val="0049156E"/>
    <w:rsid w:val="004919E2"/>
    <w:rsid w:val="004940B9"/>
    <w:rsid w:val="004948B8"/>
    <w:rsid w:val="00494BEE"/>
    <w:rsid w:val="00494C9A"/>
    <w:rsid w:val="004967E4"/>
    <w:rsid w:val="004972D0"/>
    <w:rsid w:val="00497A0A"/>
    <w:rsid w:val="004A14DF"/>
    <w:rsid w:val="004A2EDD"/>
    <w:rsid w:val="004A4CDB"/>
    <w:rsid w:val="004A61C4"/>
    <w:rsid w:val="004A7858"/>
    <w:rsid w:val="004A78AC"/>
    <w:rsid w:val="004A7970"/>
    <w:rsid w:val="004A7FF7"/>
    <w:rsid w:val="004B068B"/>
    <w:rsid w:val="004B0BDB"/>
    <w:rsid w:val="004B25BD"/>
    <w:rsid w:val="004B310F"/>
    <w:rsid w:val="004B3B1A"/>
    <w:rsid w:val="004B3C5F"/>
    <w:rsid w:val="004B41BF"/>
    <w:rsid w:val="004B42AE"/>
    <w:rsid w:val="004B44AE"/>
    <w:rsid w:val="004B5954"/>
    <w:rsid w:val="004B65A5"/>
    <w:rsid w:val="004B6E3C"/>
    <w:rsid w:val="004B7500"/>
    <w:rsid w:val="004B7506"/>
    <w:rsid w:val="004B781B"/>
    <w:rsid w:val="004B7BBC"/>
    <w:rsid w:val="004B7DF1"/>
    <w:rsid w:val="004C1FEE"/>
    <w:rsid w:val="004C317F"/>
    <w:rsid w:val="004C3FE6"/>
    <w:rsid w:val="004C44B7"/>
    <w:rsid w:val="004C543E"/>
    <w:rsid w:val="004C5D3B"/>
    <w:rsid w:val="004C5D94"/>
    <w:rsid w:val="004C7613"/>
    <w:rsid w:val="004D028E"/>
    <w:rsid w:val="004D078D"/>
    <w:rsid w:val="004D117A"/>
    <w:rsid w:val="004D1890"/>
    <w:rsid w:val="004D353E"/>
    <w:rsid w:val="004D3CD7"/>
    <w:rsid w:val="004D498E"/>
    <w:rsid w:val="004D4C46"/>
    <w:rsid w:val="004D54AD"/>
    <w:rsid w:val="004D578B"/>
    <w:rsid w:val="004D6121"/>
    <w:rsid w:val="004D616F"/>
    <w:rsid w:val="004E06D2"/>
    <w:rsid w:val="004E0FFA"/>
    <w:rsid w:val="004E1633"/>
    <w:rsid w:val="004E1FF5"/>
    <w:rsid w:val="004E3244"/>
    <w:rsid w:val="004E3F46"/>
    <w:rsid w:val="004E49E3"/>
    <w:rsid w:val="004E4F7D"/>
    <w:rsid w:val="004E5185"/>
    <w:rsid w:val="004E519F"/>
    <w:rsid w:val="004E5694"/>
    <w:rsid w:val="004E78D7"/>
    <w:rsid w:val="004E7EC2"/>
    <w:rsid w:val="004F08F5"/>
    <w:rsid w:val="004F0B21"/>
    <w:rsid w:val="004F1BA4"/>
    <w:rsid w:val="004F1C2B"/>
    <w:rsid w:val="004F248F"/>
    <w:rsid w:val="004F384A"/>
    <w:rsid w:val="004F3855"/>
    <w:rsid w:val="004F3AFB"/>
    <w:rsid w:val="004F3C6C"/>
    <w:rsid w:val="004F3FC0"/>
    <w:rsid w:val="004F5E7C"/>
    <w:rsid w:val="004F5FCB"/>
    <w:rsid w:val="004F6AE3"/>
    <w:rsid w:val="004F7635"/>
    <w:rsid w:val="004F78EA"/>
    <w:rsid w:val="004F7CB8"/>
    <w:rsid w:val="00500682"/>
    <w:rsid w:val="0050177C"/>
    <w:rsid w:val="005024AB"/>
    <w:rsid w:val="00503576"/>
    <w:rsid w:val="00503704"/>
    <w:rsid w:val="0050383B"/>
    <w:rsid w:val="00504B6A"/>
    <w:rsid w:val="0050504E"/>
    <w:rsid w:val="00505AAE"/>
    <w:rsid w:val="00505B37"/>
    <w:rsid w:val="005067EF"/>
    <w:rsid w:val="00506B1F"/>
    <w:rsid w:val="00506F2E"/>
    <w:rsid w:val="00507B1B"/>
    <w:rsid w:val="00507F17"/>
    <w:rsid w:val="00510A1D"/>
    <w:rsid w:val="00511019"/>
    <w:rsid w:val="00511CA2"/>
    <w:rsid w:val="005128F2"/>
    <w:rsid w:val="00512BE6"/>
    <w:rsid w:val="00512E30"/>
    <w:rsid w:val="00513141"/>
    <w:rsid w:val="00513845"/>
    <w:rsid w:val="00515322"/>
    <w:rsid w:val="00515455"/>
    <w:rsid w:val="00515553"/>
    <w:rsid w:val="0051597F"/>
    <w:rsid w:val="0051604B"/>
    <w:rsid w:val="005174F7"/>
    <w:rsid w:val="00517861"/>
    <w:rsid w:val="00517C48"/>
    <w:rsid w:val="005201EF"/>
    <w:rsid w:val="005206C2"/>
    <w:rsid w:val="00521192"/>
    <w:rsid w:val="00521AC5"/>
    <w:rsid w:val="00521F4A"/>
    <w:rsid w:val="00522B3D"/>
    <w:rsid w:val="00526590"/>
    <w:rsid w:val="0052683E"/>
    <w:rsid w:val="00527BF9"/>
    <w:rsid w:val="0053021F"/>
    <w:rsid w:val="005302CC"/>
    <w:rsid w:val="0053046F"/>
    <w:rsid w:val="00533AE1"/>
    <w:rsid w:val="00534CEB"/>
    <w:rsid w:val="00535444"/>
    <w:rsid w:val="00536518"/>
    <w:rsid w:val="00536B7A"/>
    <w:rsid w:val="00536CA4"/>
    <w:rsid w:val="005372EA"/>
    <w:rsid w:val="00540416"/>
    <w:rsid w:val="0054059E"/>
    <w:rsid w:val="00540B10"/>
    <w:rsid w:val="0054188A"/>
    <w:rsid w:val="00541EB7"/>
    <w:rsid w:val="005424F4"/>
    <w:rsid w:val="005438BA"/>
    <w:rsid w:val="005454D7"/>
    <w:rsid w:val="00546B82"/>
    <w:rsid w:val="00547137"/>
    <w:rsid w:val="00547AC9"/>
    <w:rsid w:val="00550126"/>
    <w:rsid w:val="0055121B"/>
    <w:rsid w:val="00551B0C"/>
    <w:rsid w:val="00553054"/>
    <w:rsid w:val="005555AF"/>
    <w:rsid w:val="00556FD3"/>
    <w:rsid w:val="00557765"/>
    <w:rsid w:val="005615CB"/>
    <w:rsid w:val="005622D8"/>
    <w:rsid w:val="00562DDA"/>
    <w:rsid w:val="0056364E"/>
    <w:rsid w:val="00563F13"/>
    <w:rsid w:val="005643AE"/>
    <w:rsid w:val="00564A4B"/>
    <w:rsid w:val="005663C3"/>
    <w:rsid w:val="0056648A"/>
    <w:rsid w:val="005666B6"/>
    <w:rsid w:val="00566B0B"/>
    <w:rsid w:val="00566C9E"/>
    <w:rsid w:val="00566CF7"/>
    <w:rsid w:val="00567A8E"/>
    <w:rsid w:val="00567C2D"/>
    <w:rsid w:val="00570611"/>
    <w:rsid w:val="005713BC"/>
    <w:rsid w:val="005736B0"/>
    <w:rsid w:val="005736F9"/>
    <w:rsid w:val="005753CE"/>
    <w:rsid w:val="005765A4"/>
    <w:rsid w:val="00577B1B"/>
    <w:rsid w:val="00577E49"/>
    <w:rsid w:val="00577EBB"/>
    <w:rsid w:val="00577F30"/>
    <w:rsid w:val="0058043A"/>
    <w:rsid w:val="005826C7"/>
    <w:rsid w:val="00583082"/>
    <w:rsid w:val="005832A0"/>
    <w:rsid w:val="00586601"/>
    <w:rsid w:val="00586A27"/>
    <w:rsid w:val="00587747"/>
    <w:rsid w:val="00590855"/>
    <w:rsid w:val="00591AD7"/>
    <w:rsid w:val="005925A1"/>
    <w:rsid w:val="00592998"/>
    <w:rsid w:val="00592999"/>
    <w:rsid w:val="0059308D"/>
    <w:rsid w:val="0059313B"/>
    <w:rsid w:val="0059487C"/>
    <w:rsid w:val="00594D25"/>
    <w:rsid w:val="005956DF"/>
    <w:rsid w:val="00596270"/>
    <w:rsid w:val="0059754A"/>
    <w:rsid w:val="00597DB3"/>
    <w:rsid w:val="005A0324"/>
    <w:rsid w:val="005A13F8"/>
    <w:rsid w:val="005A18A3"/>
    <w:rsid w:val="005A38BB"/>
    <w:rsid w:val="005A3AC5"/>
    <w:rsid w:val="005A5DC4"/>
    <w:rsid w:val="005A616D"/>
    <w:rsid w:val="005A669B"/>
    <w:rsid w:val="005A6BF2"/>
    <w:rsid w:val="005B0A3E"/>
    <w:rsid w:val="005B0E79"/>
    <w:rsid w:val="005B2636"/>
    <w:rsid w:val="005B3321"/>
    <w:rsid w:val="005B351F"/>
    <w:rsid w:val="005B4481"/>
    <w:rsid w:val="005B48E6"/>
    <w:rsid w:val="005B49BB"/>
    <w:rsid w:val="005B5D08"/>
    <w:rsid w:val="005B5D33"/>
    <w:rsid w:val="005B6A42"/>
    <w:rsid w:val="005B74A8"/>
    <w:rsid w:val="005C0483"/>
    <w:rsid w:val="005C14EB"/>
    <w:rsid w:val="005C1AEA"/>
    <w:rsid w:val="005C2518"/>
    <w:rsid w:val="005C271A"/>
    <w:rsid w:val="005C381D"/>
    <w:rsid w:val="005C3990"/>
    <w:rsid w:val="005C44DD"/>
    <w:rsid w:val="005C5A00"/>
    <w:rsid w:val="005C65CB"/>
    <w:rsid w:val="005C7175"/>
    <w:rsid w:val="005C762B"/>
    <w:rsid w:val="005D0A38"/>
    <w:rsid w:val="005D1D25"/>
    <w:rsid w:val="005D1DCD"/>
    <w:rsid w:val="005D2343"/>
    <w:rsid w:val="005D2E02"/>
    <w:rsid w:val="005D38F8"/>
    <w:rsid w:val="005D461F"/>
    <w:rsid w:val="005D59E2"/>
    <w:rsid w:val="005D5D07"/>
    <w:rsid w:val="005E03C8"/>
    <w:rsid w:val="005E095F"/>
    <w:rsid w:val="005E155A"/>
    <w:rsid w:val="005E17AA"/>
    <w:rsid w:val="005E1D15"/>
    <w:rsid w:val="005E30DF"/>
    <w:rsid w:val="005E4BFE"/>
    <w:rsid w:val="005E57D3"/>
    <w:rsid w:val="005E6F77"/>
    <w:rsid w:val="005F122E"/>
    <w:rsid w:val="005F1FB3"/>
    <w:rsid w:val="005F292F"/>
    <w:rsid w:val="005F2E14"/>
    <w:rsid w:val="005F30CB"/>
    <w:rsid w:val="005F3902"/>
    <w:rsid w:val="005F3F8C"/>
    <w:rsid w:val="006003F4"/>
    <w:rsid w:val="006004B1"/>
    <w:rsid w:val="006005F1"/>
    <w:rsid w:val="00600886"/>
    <w:rsid w:val="00600AB8"/>
    <w:rsid w:val="006011CD"/>
    <w:rsid w:val="00601343"/>
    <w:rsid w:val="00601381"/>
    <w:rsid w:val="00602BED"/>
    <w:rsid w:val="00602D4B"/>
    <w:rsid w:val="006030F3"/>
    <w:rsid w:val="00603229"/>
    <w:rsid w:val="006046EE"/>
    <w:rsid w:val="00604E55"/>
    <w:rsid w:val="00605964"/>
    <w:rsid w:val="00605971"/>
    <w:rsid w:val="006073FE"/>
    <w:rsid w:val="00610318"/>
    <w:rsid w:val="006108BB"/>
    <w:rsid w:val="006109A0"/>
    <w:rsid w:val="00610EA7"/>
    <w:rsid w:val="00611664"/>
    <w:rsid w:val="00611F36"/>
    <w:rsid w:val="0061261C"/>
    <w:rsid w:val="00612819"/>
    <w:rsid w:val="006130CD"/>
    <w:rsid w:val="006135B4"/>
    <w:rsid w:val="00613BB4"/>
    <w:rsid w:val="00614094"/>
    <w:rsid w:val="006141F8"/>
    <w:rsid w:val="00614894"/>
    <w:rsid w:val="00614E4B"/>
    <w:rsid w:val="00614E8D"/>
    <w:rsid w:val="00617D96"/>
    <w:rsid w:val="00617E9F"/>
    <w:rsid w:val="00620AB2"/>
    <w:rsid w:val="0062122E"/>
    <w:rsid w:val="0062177C"/>
    <w:rsid w:val="00621B67"/>
    <w:rsid w:val="00621C1B"/>
    <w:rsid w:val="0062262D"/>
    <w:rsid w:val="0062270A"/>
    <w:rsid w:val="00622875"/>
    <w:rsid w:val="00623E90"/>
    <w:rsid w:val="00624A48"/>
    <w:rsid w:val="00626142"/>
    <w:rsid w:val="00626397"/>
    <w:rsid w:val="006266FB"/>
    <w:rsid w:val="00626F7D"/>
    <w:rsid w:val="0062708F"/>
    <w:rsid w:val="006277CC"/>
    <w:rsid w:val="00630626"/>
    <w:rsid w:val="00632FF4"/>
    <w:rsid w:val="00633E0A"/>
    <w:rsid w:val="00634819"/>
    <w:rsid w:val="00634F61"/>
    <w:rsid w:val="006363C4"/>
    <w:rsid w:val="00636EB1"/>
    <w:rsid w:val="00636FB6"/>
    <w:rsid w:val="006376C3"/>
    <w:rsid w:val="00640627"/>
    <w:rsid w:val="006406E9"/>
    <w:rsid w:val="006416A3"/>
    <w:rsid w:val="00642F23"/>
    <w:rsid w:val="00644A5A"/>
    <w:rsid w:val="00645EFB"/>
    <w:rsid w:val="00646569"/>
    <w:rsid w:val="0064659D"/>
    <w:rsid w:val="00647FC2"/>
    <w:rsid w:val="006522E5"/>
    <w:rsid w:val="00652A68"/>
    <w:rsid w:val="00652AAF"/>
    <w:rsid w:val="00652EC2"/>
    <w:rsid w:val="0065421D"/>
    <w:rsid w:val="00655B51"/>
    <w:rsid w:val="006578AC"/>
    <w:rsid w:val="00657DC6"/>
    <w:rsid w:val="00657F28"/>
    <w:rsid w:val="00657F86"/>
    <w:rsid w:val="006600F9"/>
    <w:rsid w:val="00660B34"/>
    <w:rsid w:val="00660FB3"/>
    <w:rsid w:val="00663324"/>
    <w:rsid w:val="006640E6"/>
    <w:rsid w:val="00664952"/>
    <w:rsid w:val="0066553E"/>
    <w:rsid w:val="00665B99"/>
    <w:rsid w:val="006702D0"/>
    <w:rsid w:val="00670B90"/>
    <w:rsid w:val="0067154D"/>
    <w:rsid w:val="00671992"/>
    <w:rsid w:val="006721A3"/>
    <w:rsid w:val="00673C3F"/>
    <w:rsid w:val="00674005"/>
    <w:rsid w:val="00674A1D"/>
    <w:rsid w:val="00675334"/>
    <w:rsid w:val="00676594"/>
    <w:rsid w:val="00677AAB"/>
    <w:rsid w:val="006817D3"/>
    <w:rsid w:val="00681C2D"/>
    <w:rsid w:val="006825BA"/>
    <w:rsid w:val="006827D7"/>
    <w:rsid w:val="0068339A"/>
    <w:rsid w:val="00683B8B"/>
    <w:rsid w:val="0068505E"/>
    <w:rsid w:val="0068529A"/>
    <w:rsid w:val="0068563B"/>
    <w:rsid w:val="00685898"/>
    <w:rsid w:val="00685EFB"/>
    <w:rsid w:val="00686271"/>
    <w:rsid w:val="00686ACA"/>
    <w:rsid w:val="0068703F"/>
    <w:rsid w:val="00687277"/>
    <w:rsid w:val="006908BF"/>
    <w:rsid w:val="00690944"/>
    <w:rsid w:val="00691CED"/>
    <w:rsid w:val="00692E8F"/>
    <w:rsid w:val="0069312C"/>
    <w:rsid w:val="006933C4"/>
    <w:rsid w:val="006952B1"/>
    <w:rsid w:val="00695BAE"/>
    <w:rsid w:val="00695D61"/>
    <w:rsid w:val="0069641A"/>
    <w:rsid w:val="00696811"/>
    <w:rsid w:val="00697629"/>
    <w:rsid w:val="006A06E8"/>
    <w:rsid w:val="006A1FD7"/>
    <w:rsid w:val="006A328B"/>
    <w:rsid w:val="006A4FD4"/>
    <w:rsid w:val="006A5846"/>
    <w:rsid w:val="006A70E1"/>
    <w:rsid w:val="006A76B6"/>
    <w:rsid w:val="006A788A"/>
    <w:rsid w:val="006A7CFE"/>
    <w:rsid w:val="006B0B41"/>
    <w:rsid w:val="006B0EB1"/>
    <w:rsid w:val="006B115C"/>
    <w:rsid w:val="006B2DD8"/>
    <w:rsid w:val="006B4672"/>
    <w:rsid w:val="006B494F"/>
    <w:rsid w:val="006B4A44"/>
    <w:rsid w:val="006B4EC3"/>
    <w:rsid w:val="006B4F79"/>
    <w:rsid w:val="006B4FF0"/>
    <w:rsid w:val="006B6507"/>
    <w:rsid w:val="006B66A8"/>
    <w:rsid w:val="006B6733"/>
    <w:rsid w:val="006B69D0"/>
    <w:rsid w:val="006B6EAA"/>
    <w:rsid w:val="006B7891"/>
    <w:rsid w:val="006C1D33"/>
    <w:rsid w:val="006C1F6E"/>
    <w:rsid w:val="006C2116"/>
    <w:rsid w:val="006C28E3"/>
    <w:rsid w:val="006C41A1"/>
    <w:rsid w:val="006C583D"/>
    <w:rsid w:val="006C5958"/>
    <w:rsid w:val="006C61D0"/>
    <w:rsid w:val="006C636D"/>
    <w:rsid w:val="006C6730"/>
    <w:rsid w:val="006C6C81"/>
    <w:rsid w:val="006C7768"/>
    <w:rsid w:val="006C7F6D"/>
    <w:rsid w:val="006D1BFA"/>
    <w:rsid w:val="006D2398"/>
    <w:rsid w:val="006D2580"/>
    <w:rsid w:val="006D297E"/>
    <w:rsid w:val="006D2B70"/>
    <w:rsid w:val="006D4B98"/>
    <w:rsid w:val="006D4F83"/>
    <w:rsid w:val="006D51D9"/>
    <w:rsid w:val="006D52A9"/>
    <w:rsid w:val="006D57DD"/>
    <w:rsid w:val="006D6417"/>
    <w:rsid w:val="006D67EC"/>
    <w:rsid w:val="006D6A7F"/>
    <w:rsid w:val="006E0502"/>
    <w:rsid w:val="006E0909"/>
    <w:rsid w:val="006E20D8"/>
    <w:rsid w:val="006E2302"/>
    <w:rsid w:val="006E2C6B"/>
    <w:rsid w:val="006E33F4"/>
    <w:rsid w:val="006E405B"/>
    <w:rsid w:val="006E41C2"/>
    <w:rsid w:val="006E48AC"/>
    <w:rsid w:val="006E4BED"/>
    <w:rsid w:val="006E50BD"/>
    <w:rsid w:val="006E7338"/>
    <w:rsid w:val="006E782D"/>
    <w:rsid w:val="006F00F5"/>
    <w:rsid w:val="006F0874"/>
    <w:rsid w:val="006F110A"/>
    <w:rsid w:val="006F20C4"/>
    <w:rsid w:val="006F2E48"/>
    <w:rsid w:val="006F3867"/>
    <w:rsid w:val="006F3AEF"/>
    <w:rsid w:val="006F4294"/>
    <w:rsid w:val="006F49E7"/>
    <w:rsid w:val="006F4CCC"/>
    <w:rsid w:val="006F4EA2"/>
    <w:rsid w:val="006F52F5"/>
    <w:rsid w:val="006F55C9"/>
    <w:rsid w:val="006F56EF"/>
    <w:rsid w:val="006F5A96"/>
    <w:rsid w:val="006F70BC"/>
    <w:rsid w:val="006F732E"/>
    <w:rsid w:val="006F75CF"/>
    <w:rsid w:val="006F77B9"/>
    <w:rsid w:val="007001F9"/>
    <w:rsid w:val="00701AFD"/>
    <w:rsid w:val="00701E34"/>
    <w:rsid w:val="007035F9"/>
    <w:rsid w:val="00705B51"/>
    <w:rsid w:val="00710C6C"/>
    <w:rsid w:val="007110BE"/>
    <w:rsid w:val="00711A80"/>
    <w:rsid w:val="0071307E"/>
    <w:rsid w:val="00713164"/>
    <w:rsid w:val="00713CDA"/>
    <w:rsid w:val="00713D1A"/>
    <w:rsid w:val="00714602"/>
    <w:rsid w:val="00715094"/>
    <w:rsid w:val="007164E4"/>
    <w:rsid w:val="00716D2A"/>
    <w:rsid w:val="00717593"/>
    <w:rsid w:val="00720892"/>
    <w:rsid w:val="00720CB5"/>
    <w:rsid w:val="007215C4"/>
    <w:rsid w:val="007221EE"/>
    <w:rsid w:val="0072277A"/>
    <w:rsid w:val="007227EA"/>
    <w:rsid w:val="00722A6F"/>
    <w:rsid w:val="00722D78"/>
    <w:rsid w:val="00723164"/>
    <w:rsid w:val="00723227"/>
    <w:rsid w:val="00724A9B"/>
    <w:rsid w:val="00725AE5"/>
    <w:rsid w:val="00726E78"/>
    <w:rsid w:val="00727ED3"/>
    <w:rsid w:val="00730F36"/>
    <w:rsid w:val="00732201"/>
    <w:rsid w:val="0073228C"/>
    <w:rsid w:val="0073259B"/>
    <w:rsid w:val="00733305"/>
    <w:rsid w:val="007344D3"/>
    <w:rsid w:val="00734883"/>
    <w:rsid w:val="00735F3A"/>
    <w:rsid w:val="0073669B"/>
    <w:rsid w:val="00736F8F"/>
    <w:rsid w:val="00740287"/>
    <w:rsid w:val="00742506"/>
    <w:rsid w:val="0074292F"/>
    <w:rsid w:val="0074473F"/>
    <w:rsid w:val="00745084"/>
    <w:rsid w:val="00745977"/>
    <w:rsid w:val="00745EED"/>
    <w:rsid w:val="007468AB"/>
    <w:rsid w:val="00747504"/>
    <w:rsid w:val="00747AE9"/>
    <w:rsid w:val="00751ED8"/>
    <w:rsid w:val="0075257A"/>
    <w:rsid w:val="00752863"/>
    <w:rsid w:val="00753AA0"/>
    <w:rsid w:val="007555FC"/>
    <w:rsid w:val="00756ABC"/>
    <w:rsid w:val="00756FCA"/>
    <w:rsid w:val="00760F2F"/>
    <w:rsid w:val="0076102D"/>
    <w:rsid w:val="007616EF"/>
    <w:rsid w:val="00761AE4"/>
    <w:rsid w:val="00762812"/>
    <w:rsid w:val="00764FB0"/>
    <w:rsid w:val="00765856"/>
    <w:rsid w:val="00766BCE"/>
    <w:rsid w:val="007677F6"/>
    <w:rsid w:val="00767C39"/>
    <w:rsid w:val="0077011E"/>
    <w:rsid w:val="00770765"/>
    <w:rsid w:val="00772443"/>
    <w:rsid w:val="00772CBF"/>
    <w:rsid w:val="00773607"/>
    <w:rsid w:val="00774155"/>
    <w:rsid w:val="00774FB2"/>
    <w:rsid w:val="00776048"/>
    <w:rsid w:val="007764FB"/>
    <w:rsid w:val="0077706D"/>
    <w:rsid w:val="00777957"/>
    <w:rsid w:val="007825B5"/>
    <w:rsid w:val="007830D7"/>
    <w:rsid w:val="007847D9"/>
    <w:rsid w:val="00784A26"/>
    <w:rsid w:val="00785CA3"/>
    <w:rsid w:val="00785D21"/>
    <w:rsid w:val="00786138"/>
    <w:rsid w:val="007866A5"/>
    <w:rsid w:val="00786759"/>
    <w:rsid w:val="0078710F"/>
    <w:rsid w:val="00787140"/>
    <w:rsid w:val="00787187"/>
    <w:rsid w:val="00787505"/>
    <w:rsid w:val="00787BF0"/>
    <w:rsid w:val="0079200F"/>
    <w:rsid w:val="00792D23"/>
    <w:rsid w:val="0079369D"/>
    <w:rsid w:val="007936C2"/>
    <w:rsid w:val="00793917"/>
    <w:rsid w:val="00793CA3"/>
    <w:rsid w:val="007949B2"/>
    <w:rsid w:val="0079590D"/>
    <w:rsid w:val="00795B2C"/>
    <w:rsid w:val="00796558"/>
    <w:rsid w:val="00796DF5"/>
    <w:rsid w:val="00796F5B"/>
    <w:rsid w:val="00797530"/>
    <w:rsid w:val="007A07CD"/>
    <w:rsid w:val="007A1993"/>
    <w:rsid w:val="007A1EFF"/>
    <w:rsid w:val="007A1F92"/>
    <w:rsid w:val="007A1F9F"/>
    <w:rsid w:val="007A3757"/>
    <w:rsid w:val="007A3EDC"/>
    <w:rsid w:val="007A5176"/>
    <w:rsid w:val="007A5273"/>
    <w:rsid w:val="007A5F6F"/>
    <w:rsid w:val="007A5FDB"/>
    <w:rsid w:val="007A60E0"/>
    <w:rsid w:val="007A66B9"/>
    <w:rsid w:val="007A6EBF"/>
    <w:rsid w:val="007A732D"/>
    <w:rsid w:val="007A7377"/>
    <w:rsid w:val="007A7954"/>
    <w:rsid w:val="007B01C1"/>
    <w:rsid w:val="007B0868"/>
    <w:rsid w:val="007B1E4A"/>
    <w:rsid w:val="007B23FC"/>
    <w:rsid w:val="007B38F5"/>
    <w:rsid w:val="007B394F"/>
    <w:rsid w:val="007B4371"/>
    <w:rsid w:val="007B45CB"/>
    <w:rsid w:val="007B4E89"/>
    <w:rsid w:val="007B543D"/>
    <w:rsid w:val="007B7BD9"/>
    <w:rsid w:val="007B7CE7"/>
    <w:rsid w:val="007C04DA"/>
    <w:rsid w:val="007C09E7"/>
    <w:rsid w:val="007C1507"/>
    <w:rsid w:val="007C2252"/>
    <w:rsid w:val="007C40F8"/>
    <w:rsid w:val="007C4B41"/>
    <w:rsid w:val="007C53B5"/>
    <w:rsid w:val="007C5409"/>
    <w:rsid w:val="007C6C6C"/>
    <w:rsid w:val="007C722F"/>
    <w:rsid w:val="007C74D8"/>
    <w:rsid w:val="007C75A9"/>
    <w:rsid w:val="007C7693"/>
    <w:rsid w:val="007D01E5"/>
    <w:rsid w:val="007D068D"/>
    <w:rsid w:val="007D1947"/>
    <w:rsid w:val="007D1A4C"/>
    <w:rsid w:val="007D280F"/>
    <w:rsid w:val="007D28A5"/>
    <w:rsid w:val="007D2E65"/>
    <w:rsid w:val="007D2EF8"/>
    <w:rsid w:val="007D3078"/>
    <w:rsid w:val="007D33B7"/>
    <w:rsid w:val="007D35EB"/>
    <w:rsid w:val="007D4151"/>
    <w:rsid w:val="007D5630"/>
    <w:rsid w:val="007D6E64"/>
    <w:rsid w:val="007D7A58"/>
    <w:rsid w:val="007E0064"/>
    <w:rsid w:val="007E128B"/>
    <w:rsid w:val="007E21D4"/>
    <w:rsid w:val="007E2299"/>
    <w:rsid w:val="007E3CED"/>
    <w:rsid w:val="007E46F5"/>
    <w:rsid w:val="007E4C0C"/>
    <w:rsid w:val="007E59AC"/>
    <w:rsid w:val="007E7331"/>
    <w:rsid w:val="007F03D4"/>
    <w:rsid w:val="007F0763"/>
    <w:rsid w:val="007F0C05"/>
    <w:rsid w:val="007F124E"/>
    <w:rsid w:val="007F22AB"/>
    <w:rsid w:val="007F3653"/>
    <w:rsid w:val="007F3753"/>
    <w:rsid w:val="007F3759"/>
    <w:rsid w:val="007F3910"/>
    <w:rsid w:val="007F4403"/>
    <w:rsid w:val="007F4453"/>
    <w:rsid w:val="007F4767"/>
    <w:rsid w:val="007F72A6"/>
    <w:rsid w:val="008017EE"/>
    <w:rsid w:val="008026CB"/>
    <w:rsid w:val="008029C6"/>
    <w:rsid w:val="0080300D"/>
    <w:rsid w:val="00803BC5"/>
    <w:rsid w:val="008043AD"/>
    <w:rsid w:val="00804452"/>
    <w:rsid w:val="00805573"/>
    <w:rsid w:val="00805E90"/>
    <w:rsid w:val="00806419"/>
    <w:rsid w:val="00806E4A"/>
    <w:rsid w:val="008074E6"/>
    <w:rsid w:val="00807BB7"/>
    <w:rsid w:val="0081020B"/>
    <w:rsid w:val="00810629"/>
    <w:rsid w:val="00811AF8"/>
    <w:rsid w:val="008120D4"/>
    <w:rsid w:val="00812207"/>
    <w:rsid w:val="008138B2"/>
    <w:rsid w:val="00813B58"/>
    <w:rsid w:val="00814151"/>
    <w:rsid w:val="00814402"/>
    <w:rsid w:val="00815804"/>
    <w:rsid w:val="008162E5"/>
    <w:rsid w:val="00816E98"/>
    <w:rsid w:val="008170FF"/>
    <w:rsid w:val="00817AF8"/>
    <w:rsid w:val="00817D05"/>
    <w:rsid w:val="008202AA"/>
    <w:rsid w:val="0082075E"/>
    <w:rsid w:val="00822C83"/>
    <w:rsid w:val="0082316D"/>
    <w:rsid w:val="008232B8"/>
    <w:rsid w:val="008242F8"/>
    <w:rsid w:val="00824928"/>
    <w:rsid w:val="0082600C"/>
    <w:rsid w:val="0082664B"/>
    <w:rsid w:val="00827151"/>
    <w:rsid w:val="008271A8"/>
    <w:rsid w:val="00827BE0"/>
    <w:rsid w:val="00830437"/>
    <w:rsid w:val="00832924"/>
    <w:rsid w:val="00832A80"/>
    <w:rsid w:val="00832ACC"/>
    <w:rsid w:val="00832EA9"/>
    <w:rsid w:val="00833035"/>
    <w:rsid w:val="00833997"/>
    <w:rsid w:val="00833AEE"/>
    <w:rsid w:val="00834A39"/>
    <w:rsid w:val="008357C4"/>
    <w:rsid w:val="008357EA"/>
    <w:rsid w:val="008357EE"/>
    <w:rsid w:val="00835AA2"/>
    <w:rsid w:val="00835FCD"/>
    <w:rsid w:val="00836009"/>
    <w:rsid w:val="00837322"/>
    <w:rsid w:val="008374DB"/>
    <w:rsid w:val="008375E8"/>
    <w:rsid w:val="00837948"/>
    <w:rsid w:val="00840B9D"/>
    <w:rsid w:val="00841585"/>
    <w:rsid w:val="0084170A"/>
    <w:rsid w:val="00842179"/>
    <w:rsid w:val="00842617"/>
    <w:rsid w:val="0084281C"/>
    <w:rsid w:val="00842B36"/>
    <w:rsid w:val="00842B9F"/>
    <w:rsid w:val="00842C54"/>
    <w:rsid w:val="00842DB8"/>
    <w:rsid w:val="00843BD3"/>
    <w:rsid w:val="00844E8B"/>
    <w:rsid w:val="00844F49"/>
    <w:rsid w:val="00845F6A"/>
    <w:rsid w:val="0084676A"/>
    <w:rsid w:val="00846771"/>
    <w:rsid w:val="00846A67"/>
    <w:rsid w:val="00846C82"/>
    <w:rsid w:val="00847E19"/>
    <w:rsid w:val="0085013F"/>
    <w:rsid w:val="00850D91"/>
    <w:rsid w:val="008518CA"/>
    <w:rsid w:val="00852069"/>
    <w:rsid w:val="00852416"/>
    <w:rsid w:val="008527BA"/>
    <w:rsid w:val="0085372B"/>
    <w:rsid w:val="00853F41"/>
    <w:rsid w:val="0085460C"/>
    <w:rsid w:val="008555AB"/>
    <w:rsid w:val="00855D54"/>
    <w:rsid w:val="0085677B"/>
    <w:rsid w:val="0085767C"/>
    <w:rsid w:val="00861585"/>
    <w:rsid w:val="008617AE"/>
    <w:rsid w:val="00861862"/>
    <w:rsid w:val="008619DB"/>
    <w:rsid w:val="00862157"/>
    <w:rsid w:val="00862318"/>
    <w:rsid w:val="00862CC6"/>
    <w:rsid w:val="00862F6A"/>
    <w:rsid w:val="0086401B"/>
    <w:rsid w:val="0086492C"/>
    <w:rsid w:val="00864989"/>
    <w:rsid w:val="00865845"/>
    <w:rsid w:val="00865E6A"/>
    <w:rsid w:val="008665FC"/>
    <w:rsid w:val="00866985"/>
    <w:rsid w:val="00867590"/>
    <w:rsid w:val="00867C55"/>
    <w:rsid w:val="00870473"/>
    <w:rsid w:val="008704C1"/>
    <w:rsid w:val="00870BAC"/>
    <w:rsid w:val="0087163A"/>
    <w:rsid w:val="00872368"/>
    <w:rsid w:val="00872949"/>
    <w:rsid w:val="008730EE"/>
    <w:rsid w:val="00876E07"/>
    <w:rsid w:val="00876EC9"/>
    <w:rsid w:val="00877A2E"/>
    <w:rsid w:val="00877AE5"/>
    <w:rsid w:val="00877B5B"/>
    <w:rsid w:val="00877D09"/>
    <w:rsid w:val="00877DA5"/>
    <w:rsid w:val="0088061A"/>
    <w:rsid w:val="00880D87"/>
    <w:rsid w:val="00881EF0"/>
    <w:rsid w:val="00882B62"/>
    <w:rsid w:val="008835A9"/>
    <w:rsid w:val="008835C7"/>
    <w:rsid w:val="0088376A"/>
    <w:rsid w:val="00883DB4"/>
    <w:rsid w:val="00883E4E"/>
    <w:rsid w:val="00884A35"/>
    <w:rsid w:val="00884E54"/>
    <w:rsid w:val="00887964"/>
    <w:rsid w:val="008919FF"/>
    <w:rsid w:val="00891CF3"/>
    <w:rsid w:val="008921C0"/>
    <w:rsid w:val="008933A1"/>
    <w:rsid w:val="0089358D"/>
    <w:rsid w:val="00893C48"/>
    <w:rsid w:val="00894342"/>
    <w:rsid w:val="0089565F"/>
    <w:rsid w:val="00896162"/>
    <w:rsid w:val="00896526"/>
    <w:rsid w:val="0089673A"/>
    <w:rsid w:val="00896878"/>
    <w:rsid w:val="00896FCB"/>
    <w:rsid w:val="008A0060"/>
    <w:rsid w:val="008A077E"/>
    <w:rsid w:val="008A07C9"/>
    <w:rsid w:val="008A0C04"/>
    <w:rsid w:val="008A1012"/>
    <w:rsid w:val="008A225D"/>
    <w:rsid w:val="008A23E1"/>
    <w:rsid w:val="008A313D"/>
    <w:rsid w:val="008A3E6C"/>
    <w:rsid w:val="008A3F6F"/>
    <w:rsid w:val="008A51D7"/>
    <w:rsid w:val="008A60E1"/>
    <w:rsid w:val="008A6229"/>
    <w:rsid w:val="008A6ADD"/>
    <w:rsid w:val="008A6BD2"/>
    <w:rsid w:val="008A6C8E"/>
    <w:rsid w:val="008A6F04"/>
    <w:rsid w:val="008B0215"/>
    <w:rsid w:val="008B0623"/>
    <w:rsid w:val="008B0CDC"/>
    <w:rsid w:val="008B163D"/>
    <w:rsid w:val="008B1DA8"/>
    <w:rsid w:val="008B334F"/>
    <w:rsid w:val="008B3D8F"/>
    <w:rsid w:val="008B54AE"/>
    <w:rsid w:val="008C056B"/>
    <w:rsid w:val="008C088F"/>
    <w:rsid w:val="008C0C83"/>
    <w:rsid w:val="008C3B8F"/>
    <w:rsid w:val="008C439B"/>
    <w:rsid w:val="008C44C1"/>
    <w:rsid w:val="008C44DD"/>
    <w:rsid w:val="008C5218"/>
    <w:rsid w:val="008C555A"/>
    <w:rsid w:val="008C5654"/>
    <w:rsid w:val="008C5BB2"/>
    <w:rsid w:val="008C688B"/>
    <w:rsid w:val="008C71E3"/>
    <w:rsid w:val="008D05F4"/>
    <w:rsid w:val="008D07B7"/>
    <w:rsid w:val="008D15D7"/>
    <w:rsid w:val="008D171E"/>
    <w:rsid w:val="008D270E"/>
    <w:rsid w:val="008D29F8"/>
    <w:rsid w:val="008D2ACB"/>
    <w:rsid w:val="008D383F"/>
    <w:rsid w:val="008D394F"/>
    <w:rsid w:val="008D3D8B"/>
    <w:rsid w:val="008D4016"/>
    <w:rsid w:val="008D5B79"/>
    <w:rsid w:val="008D6621"/>
    <w:rsid w:val="008D6EEE"/>
    <w:rsid w:val="008D73A8"/>
    <w:rsid w:val="008D73C0"/>
    <w:rsid w:val="008D7E95"/>
    <w:rsid w:val="008D7F32"/>
    <w:rsid w:val="008E00FC"/>
    <w:rsid w:val="008E0194"/>
    <w:rsid w:val="008E083B"/>
    <w:rsid w:val="008E0AF0"/>
    <w:rsid w:val="008E0DB1"/>
    <w:rsid w:val="008E1C69"/>
    <w:rsid w:val="008E1DD7"/>
    <w:rsid w:val="008E23F9"/>
    <w:rsid w:val="008E4682"/>
    <w:rsid w:val="008E4976"/>
    <w:rsid w:val="008E51A8"/>
    <w:rsid w:val="008E5A2C"/>
    <w:rsid w:val="008E5A5B"/>
    <w:rsid w:val="008E6CA0"/>
    <w:rsid w:val="008E7FCA"/>
    <w:rsid w:val="008F0120"/>
    <w:rsid w:val="008F1703"/>
    <w:rsid w:val="008F35F1"/>
    <w:rsid w:val="008F55E8"/>
    <w:rsid w:val="008F58A2"/>
    <w:rsid w:val="008F5E0C"/>
    <w:rsid w:val="008F5F3A"/>
    <w:rsid w:val="008F78D0"/>
    <w:rsid w:val="008F7C52"/>
    <w:rsid w:val="009002E0"/>
    <w:rsid w:val="00901A71"/>
    <w:rsid w:val="00901E88"/>
    <w:rsid w:val="009025EC"/>
    <w:rsid w:val="00902975"/>
    <w:rsid w:val="00902E76"/>
    <w:rsid w:val="0090314E"/>
    <w:rsid w:val="009050B8"/>
    <w:rsid w:val="00905CC3"/>
    <w:rsid w:val="00910043"/>
    <w:rsid w:val="00910B96"/>
    <w:rsid w:val="009114C9"/>
    <w:rsid w:val="00911B66"/>
    <w:rsid w:val="0091249F"/>
    <w:rsid w:val="009131DA"/>
    <w:rsid w:val="00914130"/>
    <w:rsid w:val="009145B7"/>
    <w:rsid w:val="009162C6"/>
    <w:rsid w:val="00916B8C"/>
    <w:rsid w:val="00916EFC"/>
    <w:rsid w:val="0091767E"/>
    <w:rsid w:val="009178CE"/>
    <w:rsid w:val="009200D6"/>
    <w:rsid w:val="00922835"/>
    <w:rsid w:val="009228AE"/>
    <w:rsid w:val="009228F1"/>
    <w:rsid w:val="009233AC"/>
    <w:rsid w:val="00923CFB"/>
    <w:rsid w:val="00924256"/>
    <w:rsid w:val="00925CE4"/>
    <w:rsid w:val="00926108"/>
    <w:rsid w:val="00926AB5"/>
    <w:rsid w:val="00926EBB"/>
    <w:rsid w:val="00927A67"/>
    <w:rsid w:val="0093183C"/>
    <w:rsid w:val="00931E26"/>
    <w:rsid w:val="00931E79"/>
    <w:rsid w:val="0093203C"/>
    <w:rsid w:val="00933DA6"/>
    <w:rsid w:val="0093527C"/>
    <w:rsid w:val="00936FC0"/>
    <w:rsid w:val="00937013"/>
    <w:rsid w:val="00940068"/>
    <w:rsid w:val="009417A4"/>
    <w:rsid w:val="009421D4"/>
    <w:rsid w:val="009422FE"/>
    <w:rsid w:val="00942425"/>
    <w:rsid w:val="00942AC6"/>
    <w:rsid w:val="0094353B"/>
    <w:rsid w:val="00944322"/>
    <w:rsid w:val="00945DF2"/>
    <w:rsid w:val="00945E4E"/>
    <w:rsid w:val="0094658B"/>
    <w:rsid w:val="00946CFA"/>
    <w:rsid w:val="00946F6D"/>
    <w:rsid w:val="0094735E"/>
    <w:rsid w:val="00947CC6"/>
    <w:rsid w:val="00950435"/>
    <w:rsid w:val="0095110F"/>
    <w:rsid w:val="009517DE"/>
    <w:rsid w:val="0095284D"/>
    <w:rsid w:val="009533AA"/>
    <w:rsid w:val="00953688"/>
    <w:rsid w:val="00953B2F"/>
    <w:rsid w:val="00953D51"/>
    <w:rsid w:val="00953E87"/>
    <w:rsid w:val="00954179"/>
    <w:rsid w:val="00955433"/>
    <w:rsid w:val="00955720"/>
    <w:rsid w:val="0095712E"/>
    <w:rsid w:val="009602D9"/>
    <w:rsid w:val="00960D37"/>
    <w:rsid w:val="00961EB8"/>
    <w:rsid w:val="00962221"/>
    <w:rsid w:val="00962BB9"/>
    <w:rsid w:val="00962FCF"/>
    <w:rsid w:val="00963351"/>
    <w:rsid w:val="00964130"/>
    <w:rsid w:val="00964225"/>
    <w:rsid w:val="00964648"/>
    <w:rsid w:val="009646D0"/>
    <w:rsid w:val="00967336"/>
    <w:rsid w:val="00967E5D"/>
    <w:rsid w:val="009704F5"/>
    <w:rsid w:val="0097292B"/>
    <w:rsid w:val="00973858"/>
    <w:rsid w:val="00973DA8"/>
    <w:rsid w:val="00974556"/>
    <w:rsid w:val="0097468C"/>
    <w:rsid w:val="00975AD8"/>
    <w:rsid w:val="00975CEB"/>
    <w:rsid w:val="00975D45"/>
    <w:rsid w:val="00976AED"/>
    <w:rsid w:val="009776D5"/>
    <w:rsid w:val="00980175"/>
    <w:rsid w:val="009814CD"/>
    <w:rsid w:val="00982BE2"/>
    <w:rsid w:val="00983482"/>
    <w:rsid w:val="00984104"/>
    <w:rsid w:val="00984638"/>
    <w:rsid w:val="009846CE"/>
    <w:rsid w:val="00985B62"/>
    <w:rsid w:val="00985E22"/>
    <w:rsid w:val="0098653C"/>
    <w:rsid w:val="00987ED3"/>
    <w:rsid w:val="00990301"/>
    <w:rsid w:val="00990C7C"/>
    <w:rsid w:val="0099124A"/>
    <w:rsid w:val="00992066"/>
    <w:rsid w:val="009924F0"/>
    <w:rsid w:val="00993177"/>
    <w:rsid w:val="009942F6"/>
    <w:rsid w:val="009948CC"/>
    <w:rsid w:val="00995027"/>
    <w:rsid w:val="00997940"/>
    <w:rsid w:val="009A12B1"/>
    <w:rsid w:val="009A235E"/>
    <w:rsid w:val="009A32C6"/>
    <w:rsid w:val="009A4223"/>
    <w:rsid w:val="009A473F"/>
    <w:rsid w:val="009A4822"/>
    <w:rsid w:val="009A4E2E"/>
    <w:rsid w:val="009A5242"/>
    <w:rsid w:val="009A5A08"/>
    <w:rsid w:val="009A6A7E"/>
    <w:rsid w:val="009A7007"/>
    <w:rsid w:val="009A70B4"/>
    <w:rsid w:val="009A7388"/>
    <w:rsid w:val="009A7CE1"/>
    <w:rsid w:val="009B0B00"/>
    <w:rsid w:val="009B16B1"/>
    <w:rsid w:val="009B2631"/>
    <w:rsid w:val="009B3D9E"/>
    <w:rsid w:val="009B4243"/>
    <w:rsid w:val="009B462F"/>
    <w:rsid w:val="009B49FE"/>
    <w:rsid w:val="009B5FD6"/>
    <w:rsid w:val="009B6F74"/>
    <w:rsid w:val="009B7609"/>
    <w:rsid w:val="009B7A34"/>
    <w:rsid w:val="009C0AA0"/>
    <w:rsid w:val="009C30BB"/>
    <w:rsid w:val="009C3562"/>
    <w:rsid w:val="009C4105"/>
    <w:rsid w:val="009C5DC5"/>
    <w:rsid w:val="009C5F88"/>
    <w:rsid w:val="009C6A0E"/>
    <w:rsid w:val="009C6BC7"/>
    <w:rsid w:val="009C78DE"/>
    <w:rsid w:val="009C7C37"/>
    <w:rsid w:val="009D011D"/>
    <w:rsid w:val="009D06CC"/>
    <w:rsid w:val="009D0FAE"/>
    <w:rsid w:val="009D1245"/>
    <w:rsid w:val="009D33DD"/>
    <w:rsid w:val="009D35AF"/>
    <w:rsid w:val="009D3B72"/>
    <w:rsid w:val="009D3F30"/>
    <w:rsid w:val="009D431B"/>
    <w:rsid w:val="009D6AF8"/>
    <w:rsid w:val="009D78D1"/>
    <w:rsid w:val="009E034E"/>
    <w:rsid w:val="009E04D2"/>
    <w:rsid w:val="009E054E"/>
    <w:rsid w:val="009E1E11"/>
    <w:rsid w:val="009E2668"/>
    <w:rsid w:val="009E2BCC"/>
    <w:rsid w:val="009E36B4"/>
    <w:rsid w:val="009E5118"/>
    <w:rsid w:val="009E5DD7"/>
    <w:rsid w:val="009E621C"/>
    <w:rsid w:val="009E6D2A"/>
    <w:rsid w:val="009E6DF8"/>
    <w:rsid w:val="009E77CA"/>
    <w:rsid w:val="009E7F93"/>
    <w:rsid w:val="009F085B"/>
    <w:rsid w:val="009F122B"/>
    <w:rsid w:val="009F1EBA"/>
    <w:rsid w:val="009F2155"/>
    <w:rsid w:val="009F3403"/>
    <w:rsid w:val="009F36F6"/>
    <w:rsid w:val="009F3AAE"/>
    <w:rsid w:val="009F3F4C"/>
    <w:rsid w:val="009F480F"/>
    <w:rsid w:val="009F5173"/>
    <w:rsid w:val="009F5235"/>
    <w:rsid w:val="009F6B26"/>
    <w:rsid w:val="00A000D0"/>
    <w:rsid w:val="00A0091C"/>
    <w:rsid w:val="00A01214"/>
    <w:rsid w:val="00A01D6F"/>
    <w:rsid w:val="00A02D7C"/>
    <w:rsid w:val="00A02EEC"/>
    <w:rsid w:val="00A02F1A"/>
    <w:rsid w:val="00A032E3"/>
    <w:rsid w:val="00A04101"/>
    <w:rsid w:val="00A05494"/>
    <w:rsid w:val="00A05AA8"/>
    <w:rsid w:val="00A05CD2"/>
    <w:rsid w:val="00A0749F"/>
    <w:rsid w:val="00A07B9C"/>
    <w:rsid w:val="00A07E5A"/>
    <w:rsid w:val="00A1031B"/>
    <w:rsid w:val="00A11136"/>
    <w:rsid w:val="00A1260D"/>
    <w:rsid w:val="00A12C50"/>
    <w:rsid w:val="00A13F97"/>
    <w:rsid w:val="00A163F5"/>
    <w:rsid w:val="00A1740F"/>
    <w:rsid w:val="00A17618"/>
    <w:rsid w:val="00A17E66"/>
    <w:rsid w:val="00A203F6"/>
    <w:rsid w:val="00A214A6"/>
    <w:rsid w:val="00A2163C"/>
    <w:rsid w:val="00A22701"/>
    <w:rsid w:val="00A23091"/>
    <w:rsid w:val="00A231DB"/>
    <w:rsid w:val="00A24885"/>
    <w:rsid w:val="00A2489D"/>
    <w:rsid w:val="00A256D9"/>
    <w:rsid w:val="00A25AAD"/>
    <w:rsid w:val="00A266DC"/>
    <w:rsid w:val="00A26CA1"/>
    <w:rsid w:val="00A26D72"/>
    <w:rsid w:val="00A3053B"/>
    <w:rsid w:val="00A31936"/>
    <w:rsid w:val="00A3211D"/>
    <w:rsid w:val="00A325B2"/>
    <w:rsid w:val="00A33E57"/>
    <w:rsid w:val="00A34879"/>
    <w:rsid w:val="00A34C5E"/>
    <w:rsid w:val="00A35274"/>
    <w:rsid w:val="00A376F4"/>
    <w:rsid w:val="00A40E7F"/>
    <w:rsid w:val="00A41655"/>
    <w:rsid w:val="00A41E37"/>
    <w:rsid w:val="00A41F36"/>
    <w:rsid w:val="00A4300E"/>
    <w:rsid w:val="00A43195"/>
    <w:rsid w:val="00A4366B"/>
    <w:rsid w:val="00A43979"/>
    <w:rsid w:val="00A4418C"/>
    <w:rsid w:val="00A4419A"/>
    <w:rsid w:val="00A450D5"/>
    <w:rsid w:val="00A45D2F"/>
    <w:rsid w:val="00A46D46"/>
    <w:rsid w:val="00A473E0"/>
    <w:rsid w:val="00A51869"/>
    <w:rsid w:val="00A522BC"/>
    <w:rsid w:val="00A53512"/>
    <w:rsid w:val="00A53515"/>
    <w:rsid w:val="00A535F9"/>
    <w:rsid w:val="00A54FDD"/>
    <w:rsid w:val="00A550B9"/>
    <w:rsid w:val="00A5615F"/>
    <w:rsid w:val="00A565B1"/>
    <w:rsid w:val="00A5782A"/>
    <w:rsid w:val="00A57FC7"/>
    <w:rsid w:val="00A61C6D"/>
    <w:rsid w:val="00A62C8E"/>
    <w:rsid w:val="00A632A6"/>
    <w:rsid w:val="00A63B03"/>
    <w:rsid w:val="00A63C08"/>
    <w:rsid w:val="00A64421"/>
    <w:rsid w:val="00A64E31"/>
    <w:rsid w:val="00A6514B"/>
    <w:rsid w:val="00A65B28"/>
    <w:rsid w:val="00A66D47"/>
    <w:rsid w:val="00A679F0"/>
    <w:rsid w:val="00A67B9D"/>
    <w:rsid w:val="00A67D90"/>
    <w:rsid w:val="00A7158E"/>
    <w:rsid w:val="00A72185"/>
    <w:rsid w:val="00A7239C"/>
    <w:rsid w:val="00A7240C"/>
    <w:rsid w:val="00A72B18"/>
    <w:rsid w:val="00A72BD0"/>
    <w:rsid w:val="00A741DF"/>
    <w:rsid w:val="00A752E9"/>
    <w:rsid w:val="00A75B71"/>
    <w:rsid w:val="00A75F87"/>
    <w:rsid w:val="00A76FCE"/>
    <w:rsid w:val="00A81985"/>
    <w:rsid w:val="00A821AE"/>
    <w:rsid w:val="00A827C4"/>
    <w:rsid w:val="00A82D8C"/>
    <w:rsid w:val="00A85608"/>
    <w:rsid w:val="00A86AEB"/>
    <w:rsid w:val="00A86E2F"/>
    <w:rsid w:val="00A86ED4"/>
    <w:rsid w:val="00A9041F"/>
    <w:rsid w:val="00A90C19"/>
    <w:rsid w:val="00A91A6C"/>
    <w:rsid w:val="00A92B9D"/>
    <w:rsid w:val="00A93E3E"/>
    <w:rsid w:val="00A94859"/>
    <w:rsid w:val="00A94E11"/>
    <w:rsid w:val="00A958F5"/>
    <w:rsid w:val="00A97219"/>
    <w:rsid w:val="00AA0087"/>
    <w:rsid w:val="00AA1198"/>
    <w:rsid w:val="00AA134D"/>
    <w:rsid w:val="00AA2AE5"/>
    <w:rsid w:val="00AA3802"/>
    <w:rsid w:val="00AA4064"/>
    <w:rsid w:val="00AA4387"/>
    <w:rsid w:val="00AA4863"/>
    <w:rsid w:val="00AA48A4"/>
    <w:rsid w:val="00AA54F7"/>
    <w:rsid w:val="00AA5DA7"/>
    <w:rsid w:val="00AA5FAA"/>
    <w:rsid w:val="00AA6982"/>
    <w:rsid w:val="00AA6A5A"/>
    <w:rsid w:val="00AB0535"/>
    <w:rsid w:val="00AB070E"/>
    <w:rsid w:val="00AB0796"/>
    <w:rsid w:val="00AB24AD"/>
    <w:rsid w:val="00AB2688"/>
    <w:rsid w:val="00AB2D10"/>
    <w:rsid w:val="00AB3167"/>
    <w:rsid w:val="00AB3942"/>
    <w:rsid w:val="00AB4933"/>
    <w:rsid w:val="00AB53FB"/>
    <w:rsid w:val="00AB5720"/>
    <w:rsid w:val="00AB5C33"/>
    <w:rsid w:val="00AB719B"/>
    <w:rsid w:val="00AB731E"/>
    <w:rsid w:val="00AB7452"/>
    <w:rsid w:val="00AB7F3D"/>
    <w:rsid w:val="00AC0CDF"/>
    <w:rsid w:val="00AC29A1"/>
    <w:rsid w:val="00AC2EEE"/>
    <w:rsid w:val="00AC3740"/>
    <w:rsid w:val="00AC4FED"/>
    <w:rsid w:val="00AC59BD"/>
    <w:rsid w:val="00AC636C"/>
    <w:rsid w:val="00AC6F1D"/>
    <w:rsid w:val="00AC6F6C"/>
    <w:rsid w:val="00AC7203"/>
    <w:rsid w:val="00AD090E"/>
    <w:rsid w:val="00AD18A7"/>
    <w:rsid w:val="00AD1D51"/>
    <w:rsid w:val="00AD2CBE"/>
    <w:rsid w:val="00AD3ECC"/>
    <w:rsid w:val="00AD4B92"/>
    <w:rsid w:val="00AD5078"/>
    <w:rsid w:val="00AD556A"/>
    <w:rsid w:val="00AD5BB5"/>
    <w:rsid w:val="00AD6002"/>
    <w:rsid w:val="00AD66B4"/>
    <w:rsid w:val="00AD6F93"/>
    <w:rsid w:val="00AE06EF"/>
    <w:rsid w:val="00AE15D4"/>
    <w:rsid w:val="00AE1CBD"/>
    <w:rsid w:val="00AE4722"/>
    <w:rsid w:val="00AE4F97"/>
    <w:rsid w:val="00AE50B6"/>
    <w:rsid w:val="00AE5F13"/>
    <w:rsid w:val="00AE6AC0"/>
    <w:rsid w:val="00AE713B"/>
    <w:rsid w:val="00AE743A"/>
    <w:rsid w:val="00AE75B6"/>
    <w:rsid w:val="00AF34D8"/>
    <w:rsid w:val="00AF38C9"/>
    <w:rsid w:val="00AF3F6A"/>
    <w:rsid w:val="00AF4174"/>
    <w:rsid w:val="00AF524C"/>
    <w:rsid w:val="00AF590B"/>
    <w:rsid w:val="00AF63C8"/>
    <w:rsid w:val="00AF6B4A"/>
    <w:rsid w:val="00AF6CFD"/>
    <w:rsid w:val="00AF6D91"/>
    <w:rsid w:val="00AF7B55"/>
    <w:rsid w:val="00B0001A"/>
    <w:rsid w:val="00B01A84"/>
    <w:rsid w:val="00B031AB"/>
    <w:rsid w:val="00B04363"/>
    <w:rsid w:val="00B04A33"/>
    <w:rsid w:val="00B04C6B"/>
    <w:rsid w:val="00B0797F"/>
    <w:rsid w:val="00B07E4C"/>
    <w:rsid w:val="00B10333"/>
    <w:rsid w:val="00B1057E"/>
    <w:rsid w:val="00B129A3"/>
    <w:rsid w:val="00B142A0"/>
    <w:rsid w:val="00B175BC"/>
    <w:rsid w:val="00B202CE"/>
    <w:rsid w:val="00B212DD"/>
    <w:rsid w:val="00B21473"/>
    <w:rsid w:val="00B221A9"/>
    <w:rsid w:val="00B232E0"/>
    <w:rsid w:val="00B24F11"/>
    <w:rsid w:val="00B26FE4"/>
    <w:rsid w:val="00B27754"/>
    <w:rsid w:val="00B32087"/>
    <w:rsid w:val="00B344AD"/>
    <w:rsid w:val="00B345B7"/>
    <w:rsid w:val="00B353EF"/>
    <w:rsid w:val="00B35DEC"/>
    <w:rsid w:val="00B3632E"/>
    <w:rsid w:val="00B36529"/>
    <w:rsid w:val="00B36C1C"/>
    <w:rsid w:val="00B37BBE"/>
    <w:rsid w:val="00B40737"/>
    <w:rsid w:val="00B4147F"/>
    <w:rsid w:val="00B42A60"/>
    <w:rsid w:val="00B42AAF"/>
    <w:rsid w:val="00B430D8"/>
    <w:rsid w:val="00B44EC1"/>
    <w:rsid w:val="00B45FA4"/>
    <w:rsid w:val="00B46B0D"/>
    <w:rsid w:val="00B47849"/>
    <w:rsid w:val="00B50B5D"/>
    <w:rsid w:val="00B51999"/>
    <w:rsid w:val="00B51F51"/>
    <w:rsid w:val="00B52495"/>
    <w:rsid w:val="00B53CD9"/>
    <w:rsid w:val="00B55517"/>
    <w:rsid w:val="00B555DB"/>
    <w:rsid w:val="00B56D94"/>
    <w:rsid w:val="00B56F4F"/>
    <w:rsid w:val="00B60018"/>
    <w:rsid w:val="00B606F6"/>
    <w:rsid w:val="00B61959"/>
    <w:rsid w:val="00B631D8"/>
    <w:rsid w:val="00B63300"/>
    <w:rsid w:val="00B6353C"/>
    <w:rsid w:val="00B64348"/>
    <w:rsid w:val="00B663FB"/>
    <w:rsid w:val="00B66581"/>
    <w:rsid w:val="00B668A0"/>
    <w:rsid w:val="00B66C06"/>
    <w:rsid w:val="00B67305"/>
    <w:rsid w:val="00B70E53"/>
    <w:rsid w:val="00B713B9"/>
    <w:rsid w:val="00B71443"/>
    <w:rsid w:val="00B71444"/>
    <w:rsid w:val="00B715CA"/>
    <w:rsid w:val="00B72D33"/>
    <w:rsid w:val="00B73126"/>
    <w:rsid w:val="00B755A4"/>
    <w:rsid w:val="00B75C8F"/>
    <w:rsid w:val="00B7675C"/>
    <w:rsid w:val="00B76BC8"/>
    <w:rsid w:val="00B77272"/>
    <w:rsid w:val="00B772F8"/>
    <w:rsid w:val="00B77BB7"/>
    <w:rsid w:val="00B8075F"/>
    <w:rsid w:val="00B80B2E"/>
    <w:rsid w:val="00B8134D"/>
    <w:rsid w:val="00B8157C"/>
    <w:rsid w:val="00B815BC"/>
    <w:rsid w:val="00B815BE"/>
    <w:rsid w:val="00B83B79"/>
    <w:rsid w:val="00B83D85"/>
    <w:rsid w:val="00B8717F"/>
    <w:rsid w:val="00B87574"/>
    <w:rsid w:val="00B87A95"/>
    <w:rsid w:val="00B87F2E"/>
    <w:rsid w:val="00B90464"/>
    <w:rsid w:val="00B914F9"/>
    <w:rsid w:val="00B920CE"/>
    <w:rsid w:val="00B92126"/>
    <w:rsid w:val="00B92AD5"/>
    <w:rsid w:val="00B93132"/>
    <w:rsid w:val="00B935B7"/>
    <w:rsid w:val="00B93D63"/>
    <w:rsid w:val="00B943A2"/>
    <w:rsid w:val="00B95B8E"/>
    <w:rsid w:val="00B96651"/>
    <w:rsid w:val="00B96A99"/>
    <w:rsid w:val="00B96BF7"/>
    <w:rsid w:val="00B96C03"/>
    <w:rsid w:val="00B97156"/>
    <w:rsid w:val="00B97A98"/>
    <w:rsid w:val="00B97E7A"/>
    <w:rsid w:val="00BA0207"/>
    <w:rsid w:val="00BA10BB"/>
    <w:rsid w:val="00BA146D"/>
    <w:rsid w:val="00BA1F43"/>
    <w:rsid w:val="00BA2903"/>
    <w:rsid w:val="00BA2EAA"/>
    <w:rsid w:val="00BA352C"/>
    <w:rsid w:val="00BA36CA"/>
    <w:rsid w:val="00BA3943"/>
    <w:rsid w:val="00BA3C74"/>
    <w:rsid w:val="00BA52AE"/>
    <w:rsid w:val="00BA558A"/>
    <w:rsid w:val="00BA6449"/>
    <w:rsid w:val="00BA6540"/>
    <w:rsid w:val="00BA67C2"/>
    <w:rsid w:val="00BA6A47"/>
    <w:rsid w:val="00BA7B8E"/>
    <w:rsid w:val="00BB06FB"/>
    <w:rsid w:val="00BB0A6B"/>
    <w:rsid w:val="00BB1618"/>
    <w:rsid w:val="00BB164C"/>
    <w:rsid w:val="00BB2220"/>
    <w:rsid w:val="00BB2DA8"/>
    <w:rsid w:val="00BB2F71"/>
    <w:rsid w:val="00BB3FD9"/>
    <w:rsid w:val="00BB42E4"/>
    <w:rsid w:val="00BB5943"/>
    <w:rsid w:val="00BB6D55"/>
    <w:rsid w:val="00BC21EE"/>
    <w:rsid w:val="00BC2AA1"/>
    <w:rsid w:val="00BC2FA9"/>
    <w:rsid w:val="00BC3E0B"/>
    <w:rsid w:val="00BC4212"/>
    <w:rsid w:val="00BC4AA7"/>
    <w:rsid w:val="00BC4B2C"/>
    <w:rsid w:val="00BC511F"/>
    <w:rsid w:val="00BC5319"/>
    <w:rsid w:val="00BC57DB"/>
    <w:rsid w:val="00BC59F4"/>
    <w:rsid w:val="00BC6FF1"/>
    <w:rsid w:val="00BC7B2C"/>
    <w:rsid w:val="00BC7E49"/>
    <w:rsid w:val="00BD0DB7"/>
    <w:rsid w:val="00BD0EB1"/>
    <w:rsid w:val="00BD27A5"/>
    <w:rsid w:val="00BD3890"/>
    <w:rsid w:val="00BD3FED"/>
    <w:rsid w:val="00BD458B"/>
    <w:rsid w:val="00BD5721"/>
    <w:rsid w:val="00BD5762"/>
    <w:rsid w:val="00BD5DF3"/>
    <w:rsid w:val="00BD5F06"/>
    <w:rsid w:val="00BD6797"/>
    <w:rsid w:val="00BD73ED"/>
    <w:rsid w:val="00BD7721"/>
    <w:rsid w:val="00BE24C5"/>
    <w:rsid w:val="00BE30D5"/>
    <w:rsid w:val="00BE3E6A"/>
    <w:rsid w:val="00BE3F53"/>
    <w:rsid w:val="00BE4113"/>
    <w:rsid w:val="00BE457C"/>
    <w:rsid w:val="00BE6F19"/>
    <w:rsid w:val="00BE7CA8"/>
    <w:rsid w:val="00BF04E3"/>
    <w:rsid w:val="00BF2468"/>
    <w:rsid w:val="00BF2DA3"/>
    <w:rsid w:val="00BF3983"/>
    <w:rsid w:val="00BF4354"/>
    <w:rsid w:val="00BF4960"/>
    <w:rsid w:val="00BF4AB4"/>
    <w:rsid w:val="00BF58F4"/>
    <w:rsid w:val="00BF782C"/>
    <w:rsid w:val="00C00648"/>
    <w:rsid w:val="00C00D9C"/>
    <w:rsid w:val="00C01835"/>
    <w:rsid w:val="00C03015"/>
    <w:rsid w:val="00C03E07"/>
    <w:rsid w:val="00C03E26"/>
    <w:rsid w:val="00C047BF"/>
    <w:rsid w:val="00C05168"/>
    <w:rsid w:val="00C05F9B"/>
    <w:rsid w:val="00C069A1"/>
    <w:rsid w:val="00C07583"/>
    <w:rsid w:val="00C07AB7"/>
    <w:rsid w:val="00C11B71"/>
    <w:rsid w:val="00C13168"/>
    <w:rsid w:val="00C13B36"/>
    <w:rsid w:val="00C14173"/>
    <w:rsid w:val="00C143C0"/>
    <w:rsid w:val="00C1456D"/>
    <w:rsid w:val="00C14D72"/>
    <w:rsid w:val="00C16E70"/>
    <w:rsid w:val="00C17CFF"/>
    <w:rsid w:val="00C20242"/>
    <w:rsid w:val="00C20B94"/>
    <w:rsid w:val="00C20D47"/>
    <w:rsid w:val="00C2130C"/>
    <w:rsid w:val="00C213FD"/>
    <w:rsid w:val="00C21863"/>
    <w:rsid w:val="00C22D42"/>
    <w:rsid w:val="00C230B4"/>
    <w:rsid w:val="00C23C47"/>
    <w:rsid w:val="00C23CCB"/>
    <w:rsid w:val="00C24964"/>
    <w:rsid w:val="00C24AA8"/>
    <w:rsid w:val="00C25193"/>
    <w:rsid w:val="00C26786"/>
    <w:rsid w:val="00C27010"/>
    <w:rsid w:val="00C27331"/>
    <w:rsid w:val="00C30417"/>
    <w:rsid w:val="00C30422"/>
    <w:rsid w:val="00C30576"/>
    <w:rsid w:val="00C3103E"/>
    <w:rsid w:val="00C32525"/>
    <w:rsid w:val="00C33173"/>
    <w:rsid w:val="00C33C1E"/>
    <w:rsid w:val="00C34B41"/>
    <w:rsid w:val="00C34E2F"/>
    <w:rsid w:val="00C35360"/>
    <w:rsid w:val="00C35937"/>
    <w:rsid w:val="00C35D14"/>
    <w:rsid w:val="00C379B4"/>
    <w:rsid w:val="00C37A89"/>
    <w:rsid w:val="00C40C6E"/>
    <w:rsid w:val="00C416ED"/>
    <w:rsid w:val="00C41A82"/>
    <w:rsid w:val="00C41FF6"/>
    <w:rsid w:val="00C434FA"/>
    <w:rsid w:val="00C43DEB"/>
    <w:rsid w:val="00C443CE"/>
    <w:rsid w:val="00C449DD"/>
    <w:rsid w:val="00C44E1F"/>
    <w:rsid w:val="00C44F12"/>
    <w:rsid w:val="00C450FB"/>
    <w:rsid w:val="00C4580F"/>
    <w:rsid w:val="00C45BD2"/>
    <w:rsid w:val="00C4681D"/>
    <w:rsid w:val="00C46AE9"/>
    <w:rsid w:val="00C47378"/>
    <w:rsid w:val="00C50EF6"/>
    <w:rsid w:val="00C5151A"/>
    <w:rsid w:val="00C515C8"/>
    <w:rsid w:val="00C51774"/>
    <w:rsid w:val="00C51EC3"/>
    <w:rsid w:val="00C5221F"/>
    <w:rsid w:val="00C52987"/>
    <w:rsid w:val="00C52D90"/>
    <w:rsid w:val="00C52E2D"/>
    <w:rsid w:val="00C54D54"/>
    <w:rsid w:val="00C5514E"/>
    <w:rsid w:val="00C56CB2"/>
    <w:rsid w:val="00C57251"/>
    <w:rsid w:val="00C57FAF"/>
    <w:rsid w:val="00C57FBA"/>
    <w:rsid w:val="00C60E86"/>
    <w:rsid w:val="00C61283"/>
    <w:rsid w:val="00C61794"/>
    <w:rsid w:val="00C618E0"/>
    <w:rsid w:val="00C61B9E"/>
    <w:rsid w:val="00C61DBB"/>
    <w:rsid w:val="00C62FA2"/>
    <w:rsid w:val="00C63A41"/>
    <w:rsid w:val="00C64061"/>
    <w:rsid w:val="00C658C3"/>
    <w:rsid w:val="00C66EB7"/>
    <w:rsid w:val="00C677AC"/>
    <w:rsid w:val="00C677F0"/>
    <w:rsid w:val="00C67C3E"/>
    <w:rsid w:val="00C67E6B"/>
    <w:rsid w:val="00C70A7B"/>
    <w:rsid w:val="00C70F91"/>
    <w:rsid w:val="00C71834"/>
    <w:rsid w:val="00C72BF4"/>
    <w:rsid w:val="00C73B3F"/>
    <w:rsid w:val="00C74463"/>
    <w:rsid w:val="00C81336"/>
    <w:rsid w:val="00C82302"/>
    <w:rsid w:val="00C828BF"/>
    <w:rsid w:val="00C844F2"/>
    <w:rsid w:val="00C8507E"/>
    <w:rsid w:val="00C930F0"/>
    <w:rsid w:val="00C933DF"/>
    <w:rsid w:val="00C93952"/>
    <w:rsid w:val="00C9399E"/>
    <w:rsid w:val="00C9416A"/>
    <w:rsid w:val="00C953B9"/>
    <w:rsid w:val="00C95680"/>
    <w:rsid w:val="00C97686"/>
    <w:rsid w:val="00C97CC2"/>
    <w:rsid w:val="00CA04C8"/>
    <w:rsid w:val="00CA157A"/>
    <w:rsid w:val="00CA27D6"/>
    <w:rsid w:val="00CA2B0B"/>
    <w:rsid w:val="00CA32E9"/>
    <w:rsid w:val="00CA39A7"/>
    <w:rsid w:val="00CA4A0B"/>
    <w:rsid w:val="00CA4CDA"/>
    <w:rsid w:val="00CA5995"/>
    <w:rsid w:val="00CA61D0"/>
    <w:rsid w:val="00CA664C"/>
    <w:rsid w:val="00CA6738"/>
    <w:rsid w:val="00CA7909"/>
    <w:rsid w:val="00CB106B"/>
    <w:rsid w:val="00CB1208"/>
    <w:rsid w:val="00CB1667"/>
    <w:rsid w:val="00CB34A2"/>
    <w:rsid w:val="00CB4275"/>
    <w:rsid w:val="00CB4F36"/>
    <w:rsid w:val="00CB5862"/>
    <w:rsid w:val="00CB6137"/>
    <w:rsid w:val="00CB6811"/>
    <w:rsid w:val="00CC27AF"/>
    <w:rsid w:val="00CC3736"/>
    <w:rsid w:val="00CC3A1C"/>
    <w:rsid w:val="00CC3B30"/>
    <w:rsid w:val="00CC3B47"/>
    <w:rsid w:val="00CC439E"/>
    <w:rsid w:val="00CC5343"/>
    <w:rsid w:val="00CC53D9"/>
    <w:rsid w:val="00CC596D"/>
    <w:rsid w:val="00CC685B"/>
    <w:rsid w:val="00CC6FFB"/>
    <w:rsid w:val="00CC7B5E"/>
    <w:rsid w:val="00CD009B"/>
    <w:rsid w:val="00CD0336"/>
    <w:rsid w:val="00CD14EB"/>
    <w:rsid w:val="00CD1717"/>
    <w:rsid w:val="00CD43B7"/>
    <w:rsid w:val="00CD4A8C"/>
    <w:rsid w:val="00CD4B6F"/>
    <w:rsid w:val="00CD55E5"/>
    <w:rsid w:val="00CE0831"/>
    <w:rsid w:val="00CE1314"/>
    <w:rsid w:val="00CE1AA9"/>
    <w:rsid w:val="00CE2338"/>
    <w:rsid w:val="00CE2830"/>
    <w:rsid w:val="00CE3CBF"/>
    <w:rsid w:val="00CE42DF"/>
    <w:rsid w:val="00CE52EA"/>
    <w:rsid w:val="00CE5DBE"/>
    <w:rsid w:val="00CE6003"/>
    <w:rsid w:val="00CE6214"/>
    <w:rsid w:val="00CE63CB"/>
    <w:rsid w:val="00CE75B9"/>
    <w:rsid w:val="00CF0308"/>
    <w:rsid w:val="00CF079F"/>
    <w:rsid w:val="00CF0AF6"/>
    <w:rsid w:val="00CF1900"/>
    <w:rsid w:val="00CF35F2"/>
    <w:rsid w:val="00CF5F73"/>
    <w:rsid w:val="00CF652C"/>
    <w:rsid w:val="00CF703A"/>
    <w:rsid w:val="00CF7DB8"/>
    <w:rsid w:val="00CF7E94"/>
    <w:rsid w:val="00D0032B"/>
    <w:rsid w:val="00D00D42"/>
    <w:rsid w:val="00D00F65"/>
    <w:rsid w:val="00D01040"/>
    <w:rsid w:val="00D016C4"/>
    <w:rsid w:val="00D01711"/>
    <w:rsid w:val="00D02020"/>
    <w:rsid w:val="00D02BEE"/>
    <w:rsid w:val="00D02F8F"/>
    <w:rsid w:val="00D034FC"/>
    <w:rsid w:val="00D038BC"/>
    <w:rsid w:val="00D054ED"/>
    <w:rsid w:val="00D05DF3"/>
    <w:rsid w:val="00D06233"/>
    <w:rsid w:val="00D06814"/>
    <w:rsid w:val="00D07894"/>
    <w:rsid w:val="00D07C7C"/>
    <w:rsid w:val="00D10EA1"/>
    <w:rsid w:val="00D111F9"/>
    <w:rsid w:val="00D1273B"/>
    <w:rsid w:val="00D140E6"/>
    <w:rsid w:val="00D141BA"/>
    <w:rsid w:val="00D143DF"/>
    <w:rsid w:val="00D1563F"/>
    <w:rsid w:val="00D16192"/>
    <w:rsid w:val="00D16B49"/>
    <w:rsid w:val="00D17360"/>
    <w:rsid w:val="00D17923"/>
    <w:rsid w:val="00D20057"/>
    <w:rsid w:val="00D20BEB"/>
    <w:rsid w:val="00D21653"/>
    <w:rsid w:val="00D221D9"/>
    <w:rsid w:val="00D22302"/>
    <w:rsid w:val="00D22840"/>
    <w:rsid w:val="00D22B0C"/>
    <w:rsid w:val="00D243EC"/>
    <w:rsid w:val="00D2643A"/>
    <w:rsid w:val="00D269F8"/>
    <w:rsid w:val="00D27497"/>
    <w:rsid w:val="00D2753F"/>
    <w:rsid w:val="00D30C5E"/>
    <w:rsid w:val="00D319C6"/>
    <w:rsid w:val="00D31C92"/>
    <w:rsid w:val="00D3357C"/>
    <w:rsid w:val="00D337D6"/>
    <w:rsid w:val="00D34783"/>
    <w:rsid w:val="00D35915"/>
    <w:rsid w:val="00D363B4"/>
    <w:rsid w:val="00D369BF"/>
    <w:rsid w:val="00D37547"/>
    <w:rsid w:val="00D40729"/>
    <w:rsid w:val="00D407AA"/>
    <w:rsid w:val="00D421AD"/>
    <w:rsid w:val="00D42BF0"/>
    <w:rsid w:val="00D44C6D"/>
    <w:rsid w:val="00D451FC"/>
    <w:rsid w:val="00D454C1"/>
    <w:rsid w:val="00D454E3"/>
    <w:rsid w:val="00D50ED9"/>
    <w:rsid w:val="00D53877"/>
    <w:rsid w:val="00D55C2C"/>
    <w:rsid w:val="00D5687F"/>
    <w:rsid w:val="00D568F9"/>
    <w:rsid w:val="00D56EAC"/>
    <w:rsid w:val="00D571C5"/>
    <w:rsid w:val="00D60A32"/>
    <w:rsid w:val="00D613A2"/>
    <w:rsid w:val="00D6142F"/>
    <w:rsid w:val="00D62AD7"/>
    <w:rsid w:val="00D655B3"/>
    <w:rsid w:val="00D65B71"/>
    <w:rsid w:val="00D66B4C"/>
    <w:rsid w:val="00D70510"/>
    <w:rsid w:val="00D716BD"/>
    <w:rsid w:val="00D73107"/>
    <w:rsid w:val="00D73D5E"/>
    <w:rsid w:val="00D7446E"/>
    <w:rsid w:val="00D754FA"/>
    <w:rsid w:val="00D754FD"/>
    <w:rsid w:val="00D757A1"/>
    <w:rsid w:val="00D75AD7"/>
    <w:rsid w:val="00D75F9F"/>
    <w:rsid w:val="00D76186"/>
    <w:rsid w:val="00D764FE"/>
    <w:rsid w:val="00D76726"/>
    <w:rsid w:val="00D769E1"/>
    <w:rsid w:val="00D77AAC"/>
    <w:rsid w:val="00D77DCA"/>
    <w:rsid w:val="00D81290"/>
    <w:rsid w:val="00D81D8C"/>
    <w:rsid w:val="00D82CCF"/>
    <w:rsid w:val="00D839AC"/>
    <w:rsid w:val="00D85FDD"/>
    <w:rsid w:val="00D86666"/>
    <w:rsid w:val="00D86C9A"/>
    <w:rsid w:val="00D872EA"/>
    <w:rsid w:val="00D8781D"/>
    <w:rsid w:val="00D900D7"/>
    <w:rsid w:val="00D9040D"/>
    <w:rsid w:val="00D9064A"/>
    <w:rsid w:val="00D92754"/>
    <w:rsid w:val="00D93605"/>
    <w:rsid w:val="00D945E6"/>
    <w:rsid w:val="00D94777"/>
    <w:rsid w:val="00D95429"/>
    <w:rsid w:val="00D956D9"/>
    <w:rsid w:val="00D95BDC"/>
    <w:rsid w:val="00D963DC"/>
    <w:rsid w:val="00D97612"/>
    <w:rsid w:val="00D97960"/>
    <w:rsid w:val="00D97B42"/>
    <w:rsid w:val="00D97CF4"/>
    <w:rsid w:val="00D97ED0"/>
    <w:rsid w:val="00DA349F"/>
    <w:rsid w:val="00DA43BB"/>
    <w:rsid w:val="00DA4D52"/>
    <w:rsid w:val="00DA5811"/>
    <w:rsid w:val="00DA59E9"/>
    <w:rsid w:val="00DA5F36"/>
    <w:rsid w:val="00DA664E"/>
    <w:rsid w:val="00DA6CD2"/>
    <w:rsid w:val="00DA7ACF"/>
    <w:rsid w:val="00DB09CB"/>
    <w:rsid w:val="00DB0F0B"/>
    <w:rsid w:val="00DB1746"/>
    <w:rsid w:val="00DB1FAE"/>
    <w:rsid w:val="00DB2691"/>
    <w:rsid w:val="00DB2D29"/>
    <w:rsid w:val="00DB3165"/>
    <w:rsid w:val="00DB3522"/>
    <w:rsid w:val="00DB3B6E"/>
    <w:rsid w:val="00DB4B5C"/>
    <w:rsid w:val="00DB5535"/>
    <w:rsid w:val="00DB634A"/>
    <w:rsid w:val="00DB6520"/>
    <w:rsid w:val="00DC1E3C"/>
    <w:rsid w:val="00DC21FF"/>
    <w:rsid w:val="00DC2665"/>
    <w:rsid w:val="00DC4DEC"/>
    <w:rsid w:val="00DC506D"/>
    <w:rsid w:val="00DC5D3E"/>
    <w:rsid w:val="00DC75CF"/>
    <w:rsid w:val="00DC7BF2"/>
    <w:rsid w:val="00DC7DD3"/>
    <w:rsid w:val="00DD10BD"/>
    <w:rsid w:val="00DD153A"/>
    <w:rsid w:val="00DD1AE6"/>
    <w:rsid w:val="00DD26A7"/>
    <w:rsid w:val="00DD3318"/>
    <w:rsid w:val="00DD5191"/>
    <w:rsid w:val="00DD5BBA"/>
    <w:rsid w:val="00DD6D55"/>
    <w:rsid w:val="00DD704C"/>
    <w:rsid w:val="00DD7C0B"/>
    <w:rsid w:val="00DE0756"/>
    <w:rsid w:val="00DE0C98"/>
    <w:rsid w:val="00DE1A4F"/>
    <w:rsid w:val="00DE2A43"/>
    <w:rsid w:val="00DE33E9"/>
    <w:rsid w:val="00DE437C"/>
    <w:rsid w:val="00DE45F5"/>
    <w:rsid w:val="00DE4DED"/>
    <w:rsid w:val="00DE51D6"/>
    <w:rsid w:val="00DE55C8"/>
    <w:rsid w:val="00DE586B"/>
    <w:rsid w:val="00DE627F"/>
    <w:rsid w:val="00DE685B"/>
    <w:rsid w:val="00DE69EB"/>
    <w:rsid w:val="00DE6DA0"/>
    <w:rsid w:val="00DE7162"/>
    <w:rsid w:val="00DF0239"/>
    <w:rsid w:val="00DF07F5"/>
    <w:rsid w:val="00DF0B46"/>
    <w:rsid w:val="00DF1F13"/>
    <w:rsid w:val="00DF23EC"/>
    <w:rsid w:val="00DF458F"/>
    <w:rsid w:val="00DF5009"/>
    <w:rsid w:val="00DF6ECB"/>
    <w:rsid w:val="00DF758E"/>
    <w:rsid w:val="00DF7FA5"/>
    <w:rsid w:val="00E004D5"/>
    <w:rsid w:val="00E01523"/>
    <w:rsid w:val="00E019CB"/>
    <w:rsid w:val="00E01B8C"/>
    <w:rsid w:val="00E01E28"/>
    <w:rsid w:val="00E01F0F"/>
    <w:rsid w:val="00E01F13"/>
    <w:rsid w:val="00E023C6"/>
    <w:rsid w:val="00E03683"/>
    <w:rsid w:val="00E04249"/>
    <w:rsid w:val="00E05690"/>
    <w:rsid w:val="00E065A6"/>
    <w:rsid w:val="00E10B5C"/>
    <w:rsid w:val="00E1144C"/>
    <w:rsid w:val="00E14B1A"/>
    <w:rsid w:val="00E14FD0"/>
    <w:rsid w:val="00E15708"/>
    <w:rsid w:val="00E159B8"/>
    <w:rsid w:val="00E15B41"/>
    <w:rsid w:val="00E160BE"/>
    <w:rsid w:val="00E174F7"/>
    <w:rsid w:val="00E17DE7"/>
    <w:rsid w:val="00E2172F"/>
    <w:rsid w:val="00E218C4"/>
    <w:rsid w:val="00E245C4"/>
    <w:rsid w:val="00E2546C"/>
    <w:rsid w:val="00E25701"/>
    <w:rsid w:val="00E25EE8"/>
    <w:rsid w:val="00E30FAE"/>
    <w:rsid w:val="00E313FC"/>
    <w:rsid w:val="00E316BB"/>
    <w:rsid w:val="00E31C48"/>
    <w:rsid w:val="00E32354"/>
    <w:rsid w:val="00E3288B"/>
    <w:rsid w:val="00E34236"/>
    <w:rsid w:val="00E3561D"/>
    <w:rsid w:val="00E3586C"/>
    <w:rsid w:val="00E364C6"/>
    <w:rsid w:val="00E3679B"/>
    <w:rsid w:val="00E36816"/>
    <w:rsid w:val="00E37272"/>
    <w:rsid w:val="00E372AC"/>
    <w:rsid w:val="00E40498"/>
    <w:rsid w:val="00E406DA"/>
    <w:rsid w:val="00E410E0"/>
    <w:rsid w:val="00E43B52"/>
    <w:rsid w:val="00E43C63"/>
    <w:rsid w:val="00E449B0"/>
    <w:rsid w:val="00E455DD"/>
    <w:rsid w:val="00E45679"/>
    <w:rsid w:val="00E46258"/>
    <w:rsid w:val="00E46E53"/>
    <w:rsid w:val="00E47E7C"/>
    <w:rsid w:val="00E47F76"/>
    <w:rsid w:val="00E50DCD"/>
    <w:rsid w:val="00E519B2"/>
    <w:rsid w:val="00E52ECA"/>
    <w:rsid w:val="00E52FC8"/>
    <w:rsid w:val="00E54C17"/>
    <w:rsid w:val="00E5570F"/>
    <w:rsid w:val="00E56037"/>
    <w:rsid w:val="00E56711"/>
    <w:rsid w:val="00E56849"/>
    <w:rsid w:val="00E5718B"/>
    <w:rsid w:val="00E57438"/>
    <w:rsid w:val="00E57A16"/>
    <w:rsid w:val="00E6007C"/>
    <w:rsid w:val="00E60389"/>
    <w:rsid w:val="00E60EB7"/>
    <w:rsid w:val="00E62057"/>
    <w:rsid w:val="00E6303C"/>
    <w:rsid w:val="00E63370"/>
    <w:rsid w:val="00E63B57"/>
    <w:rsid w:val="00E65FF1"/>
    <w:rsid w:val="00E66C7D"/>
    <w:rsid w:val="00E67138"/>
    <w:rsid w:val="00E67376"/>
    <w:rsid w:val="00E6742F"/>
    <w:rsid w:val="00E67ED4"/>
    <w:rsid w:val="00E706FD"/>
    <w:rsid w:val="00E70F44"/>
    <w:rsid w:val="00E710CA"/>
    <w:rsid w:val="00E71E98"/>
    <w:rsid w:val="00E71F71"/>
    <w:rsid w:val="00E726DF"/>
    <w:rsid w:val="00E728B8"/>
    <w:rsid w:val="00E74386"/>
    <w:rsid w:val="00E75465"/>
    <w:rsid w:val="00E758A4"/>
    <w:rsid w:val="00E801CA"/>
    <w:rsid w:val="00E81105"/>
    <w:rsid w:val="00E82104"/>
    <w:rsid w:val="00E833E8"/>
    <w:rsid w:val="00E83DC2"/>
    <w:rsid w:val="00E847ED"/>
    <w:rsid w:val="00E86280"/>
    <w:rsid w:val="00E87D5D"/>
    <w:rsid w:val="00E90880"/>
    <w:rsid w:val="00E90C49"/>
    <w:rsid w:val="00E90E2C"/>
    <w:rsid w:val="00E90E8D"/>
    <w:rsid w:val="00E9169B"/>
    <w:rsid w:val="00E925B0"/>
    <w:rsid w:val="00E92AB7"/>
    <w:rsid w:val="00E93ADE"/>
    <w:rsid w:val="00E96333"/>
    <w:rsid w:val="00E97FE7"/>
    <w:rsid w:val="00EA076C"/>
    <w:rsid w:val="00EA0980"/>
    <w:rsid w:val="00EA0E88"/>
    <w:rsid w:val="00EA1E4F"/>
    <w:rsid w:val="00EA2D27"/>
    <w:rsid w:val="00EA3F1C"/>
    <w:rsid w:val="00EA41D9"/>
    <w:rsid w:val="00EA42E0"/>
    <w:rsid w:val="00EA4435"/>
    <w:rsid w:val="00EA4443"/>
    <w:rsid w:val="00EA5A32"/>
    <w:rsid w:val="00EA60C8"/>
    <w:rsid w:val="00EA7235"/>
    <w:rsid w:val="00EA7333"/>
    <w:rsid w:val="00EA7565"/>
    <w:rsid w:val="00EA7584"/>
    <w:rsid w:val="00EA7F42"/>
    <w:rsid w:val="00EA7F89"/>
    <w:rsid w:val="00EB0095"/>
    <w:rsid w:val="00EB1814"/>
    <w:rsid w:val="00EB198D"/>
    <w:rsid w:val="00EB1CB2"/>
    <w:rsid w:val="00EB2690"/>
    <w:rsid w:val="00EB3FC8"/>
    <w:rsid w:val="00EB4012"/>
    <w:rsid w:val="00EB5116"/>
    <w:rsid w:val="00EB6592"/>
    <w:rsid w:val="00EB6CE4"/>
    <w:rsid w:val="00EB6D8F"/>
    <w:rsid w:val="00EB7488"/>
    <w:rsid w:val="00EB7766"/>
    <w:rsid w:val="00EB7839"/>
    <w:rsid w:val="00EC0232"/>
    <w:rsid w:val="00EC0BA1"/>
    <w:rsid w:val="00EC2D30"/>
    <w:rsid w:val="00EC3629"/>
    <w:rsid w:val="00EC44FA"/>
    <w:rsid w:val="00EC5003"/>
    <w:rsid w:val="00EC6548"/>
    <w:rsid w:val="00EC74E9"/>
    <w:rsid w:val="00EC7756"/>
    <w:rsid w:val="00EC7B62"/>
    <w:rsid w:val="00ED1ACA"/>
    <w:rsid w:val="00ED2A2F"/>
    <w:rsid w:val="00ED3959"/>
    <w:rsid w:val="00ED426E"/>
    <w:rsid w:val="00ED4BC9"/>
    <w:rsid w:val="00ED51AB"/>
    <w:rsid w:val="00ED634D"/>
    <w:rsid w:val="00ED713E"/>
    <w:rsid w:val="00ED7299"/>
    <w:rsid w:val="00EE02B7"/>
    <w:rsid w:val="00EE08B8"/>
    <w:rsid w:val="00EE1443"/>
    <w:rsid w:val="00EE183D"/>
    <w:rsid w:val="00EE1F71"/>
    <w:rsid w:val="00EE3C4D"/>
    <w:rsid w:val="00EE4E4C"/>
    <w:rsid w:val="00EE5AF2"/>
    <w:rsid w:val="00EE78A4"/>
    <w:rsid w:val="00EE7B6E"/>
    <w:rsid w:val="00EF0D7F"/>
    <w:rsid w:val="00EF2434"/>
    <w:rsid w:val="00EF3090"/>
    <w:rsid w:val="00EF4481"/>
    <w:rsid w:val="00EF759A"/>
    <w:rsid w:val="00F00D2E"/>
    <w:rsid w:val="00F01EE6"/>
    <w:rsid w:val="00F029B5"/>
    <w:rsid w:val="00F036EB"/>
    <w:rsid w:val="00F03A8A"/>
    <w:rsid w:val="00F0431C"/>
    <w:rsid w:val="00F04C68"/>
    <w:rsid w:val="00F05D20"/>
    <w:rsid w:val="00F063E3"/>
    <w:rsid w:val="00F06452"/>
    <w:rsid w:val="00F066D2"/>
    <w:rsid w:val="00F06E7D"/>
    <w:rsid w:val="00F07391"/>
    <w:rsid w:val="00F077D8"/>
    <w:rsid w:val="00F1017A"/>
    <w:rsid w:val="00F117DD"/>
    <w:rsid w:val="00F12264"/>
    <w:rsid w:val="00F12FF6"/>
    <w:rsid w:val="00F130D6"/>
    <w:rsid w:val="00F134FB"/>
    <w:rsid w:val="00F13766"/>
    <w:rsid w:val="00F13D4B"/>
    <w:rsid w:val="00F1520A"/>
    <w:rsid w:val="00F15AB9"/>
    <w:rsid w:val="00F16846"/>
    <w:rsid w:val="00F170D3"/>
    <w:rsid w:val="00F20F1E"/>
    <w:rsid w:val="00F2298F"/>
    <w:rsid w:val="00F2477B"/>
    <w:rsid w:val="00F24D17"/>
    <w:rsid w:val="00F263D0"/>
    <w:rsid w:val="00F264CA"/>
    <w:rsid w:val="00F26549"/>
    <w:rsid w:val="00F27412"/>
    <w:rsid w:val="00F27452"/>
    <w:rsid w:val="00F30433"/>
    <w:rsid w:val="00F3052A"/>
    <w:rsid w:val="00F309E7"/>
    <w:rsid w:val="00F30FAD"/>
    <w:rsid w:val="00F317D7"/>
    <w:rsid w:val="00F31823"/>
    <w:rsid w:val="00F31A40"/>
    <w:rsid w:val="00F330EE"/>
    <w:rsid w:val="00F3322E"/>
    <w:rsid w:val="00F33C39"/>
    <w:rsid w:val="00F3435D"/>
    <w:rsid w:val="00F34D2B"/>
    <w:rsid w:val="00F35A1A"/>
    <w:rsid w:val="00F369C3"/>
    <w:rsid w:val="00F37952"/>
    <w:rsid w:val="00F404F8"/>
    <w:rsid w:val="00F41B64"/>
    <w:rsid w:val="00F41B8D"/>
    <w:rsid w:val="00F42BB4"/>
    <w:rsid w:val="00F4367A"/>
    <w:rsid w:val="00F45138"/>
    <w:rsid w:val="00F45AB7"/>
    <w:rsid w:val="00F4686E"/>
    <w:rsid w:val="00F51E63"/>
    <w:rsid w:val="00F55618"/>
    <w:rsid w:val="00F56179"/>
    <w:rsid w:val="00F567B1"/>
    <w:rsid w:val="00F57652"/>
    <w:rsid w:val="00F608DF"/>
    <w:rsid w:val="00F61920"/>
    <w:rsid w:val="00F61B38"/>
    <w:rsid w:val="00F623DE"/>
    <w:rsid w:val="00F63C40"/>
    <w:rsid w:val="00F63FD1"/>
    <w:rsid w:val="00F6403B"/>
    <w:rsid w:val="00F648D1"/>
    <w:rsid w:val="00F6504F"/>
    <w:rsid w:val="00F65BA9"/>
    <w:rsid w:val="00F714D9"/>
    <w:rsid w:val="00F71EC4"/>
    <w:rsid w:val="00F729D4"/>
    <w:rsid w:val="00F73434"/>
    <w:rsid w:val="00F7412F"/>
    <w:rsid w:val="00F753D0"/>
    <w:rsid w:val="00F75A6B"/>
    <w:rsid w:val="00F76C5A"/>
    <w:rsid w:val="00F80241"/>
    <w:rsid w:val="00F81225"/>
    <w:rsid w:val="00F818F4"/>
    <w:rsid w:val="00F81B0B"/>
    <w:rsid w:val="00F8223F"/>
    <w:rsid w:val="00F83366"/>
    <w:rsid w:val="00F83A4E"/>
    <w:rsid w:val="00F84325"/>
    <w:rsid w:val="00F846E1"/>
    <w:rsid w:val="00F84AF9"/>
    <w:rsid w:val="00F855B9"/>
    <w:rsid w:val="00F86B87"/>
    <w:rsid w:val="00F916AF"/>
    <w:rsid w:val="00F92A31"/>
    <w:rsid w:val="00F92E1D"/>
    <w:rsid w:val="00F939BC"/>
    <w:rsid w:val="00F93B16"/>
    <w:rsid w:val="00F944EC"/>
    <w:rsid w:val="00F95912"/>
    <w:rsid w:val="00F96F35"/>
    <w:rsid w:val="00FA0A54"/>
    <w:rsid w:val="00FA0C21"/>
    <w:rsid w:val="00FA167F"/>
    <w:rsid w:val="00FA1908"/>
    <w:rsid w:val="00FA1BEC"/>
    <w:rsid w:val="00FA1D5A"/>
    <w:rsid w:val="00FA2051"/>
    <w:rsid w:val="00FA20A7"/>
    <w:rsid w:val="00FA2D62"/>
    <w:rsid w:val="00FA2F54"/>
    <w:rsid w:val="00FA3F3A"/>
    <w:rsid w:val="00FA45CF"/>
    <w:rsid w:val="00FA4AAF"/>
    <w:rsid w:val="00FA55EF"/>
    <w:rsid w:val="00FA5AB4"/>
    <w:rsid w:val="00FA64A7"/>
    <w:rsid w:val="00FA7621"/>
    <w:rsid w:val="00FA7CC0"/>
    <w:rsid w:val="00FB217B"/>
    <w:rsid w:val="00FB22DE"/>
    <w:rsid w:val="00FB28D8"/>
    <w:rsid w:val="00FB35B1"/>
    <w:rsid w:val="00FB6BD5"/>
    <w:rsid w:val="00FB7461"/>
    <w:rsid w:val="00FB790A"/>
    <w:rsid w:val="00FB7A7F"/>
    <w:rsid w:val="00FC1337"/>
    <w:rsid w:val="00FC14C7"/>
    <w:rsid w:val="00FC1982"/>
    <w:rsid w:val="00FC2A0C"/>
    <w:rsid w:val="00FC2CE7"/>
    <w:rsid w:val="00FC30FC"/>
    <w:rsid w:val="00FC31A7"/>
    <w:rsid w:val="00FC3220"/>
    <w:rsid w:val="00FC3632"/>
    <w:rsid w:val="00FC3CA4"/>
    <w:rsid w:val="00FC4417"/>
    <w:rsid w:val="00FC4A85"/>
    <w:rsid w:val="00FC4F5B"/>
    <w:rsid w:val="00FC5130"/>
    <w:rsid w:val="00FC5161"/>
    <w:rsid w:val="00FC60EF"/>
    <w:rsid w:val="00FC6AC8"/>
    <w:rsid w:val="00FC7DA5"/>
    <w:rsid w:val="00FD0433"/>
    <w:rsid w:val="00FD1D43"/>
    <w:rsid w:val="00FD1F6E"/>
    <w:rsid w:val="00FD2DEC"/>
    <w:rsid w:val="00FD436E"/>
    <w:rsid w:val="00FD53FF"/>
    <w:rsid w:val="00FD5584"/>
    <w:rsid w:val="00FD5FE9"/>
    <w:rsid w:val="00FD68EB"/>
    <w:rsid w:val="00FD69E2"/>
    <w:rsid w:val="00FE1AA0"/>
    <w:rsid w:val="00FE2695"/>
    <w:rsid w:val="00FE30FF"/>
    <w:rsid w:val="00FE32CD"/>
    <w:rsid w:val="00FE3582"/>
    <w:rsid w:val="00FE405D"/>
    <w:rsid w:val="00FE4626"/>
    <w:rsid w:val="00FE49E7"/>
    <w:rsid w:val="00FE50CC"/>
    <w:rsid w:val="00FE7476"/>
    <w:rsid w:val="00FE79E1"/>
    <w:rsid w:val="00FE7D7C"/>
    <w:rsid w:val="00FF00D0"/>
    <w:rsid w:val="00FF03EE"/>
    <w:rsid w:val="00FF051C"/>
    <w:rsid w:val="00FF093E"/>
    <w:rsid w:val="00FF1276"/>
    <w:rsid w:val="00FF19DD"/>
    <w:rsid w:val="00FF2912"/>
    <w:rsid w:val="00FF303D"/>
    <w:rsid w:val="00FF3DCC"/>
    <w:rsid w:val="00FF3EE8"/>
    <w:rsid w:val="00FF42AA"/>
    <w:rsid w:val="00FF4F32"/>
    <w:rsid w:val="00FF5D8C"/>
    <w:rsid w:val="00FF6108"/>
    <w:rsid w:val="00FF632A"/>
    <w:rsid w:val="00FF7693"/>
    <w:rsid w:val="00FF7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2AEE"/>
  <w15:docId w15:val="{2E503B9A-580E-4EB5-812A-474CD7A1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1C"/>
  </w:style>
  <w:style w:type="paragraph" w:styleId="Heading1">
    <w:name w:val="heading 1"/>
    <w:basedOn w:val="Normal"/>
    <w:next w:val="Normal"/>
    <w:link w:val="Heading1Char"/>
    <w:qFormat/>
    <w:rsid w:val="00C57FAF"/>
    <w:pPr>
      <w:keepNext/>
      <w:keepLines/>
      <w:spacing w:before="120" w:after="120" w:line="240" w:lineRule="auto"/>
      <w:outlineLvl w:val="0"/>
    </w:pPr>
    <w:rPr>
      <w:rFonts w:eastAsiaTheme="majorEastAsia" w:cs="Arial"/>
      <w:b/>
      <w:bCs/>
      <w:sz w:val="28"/>
      <w:szCs w:val="28"/>
      <w:lang w:val="en-US"/>
    </w:rPr>
  </w:style>
  <w:style w:type="paragraph" w:styleId="Heading2">
    <w:name w:val="heading 2"/>
    <w:basedOn w:val="ListParagraph"/>
    <w:next w:val="Normal"/>
    <w:link w:val="Heading2Char"/>
    <w:uiPriority w:val="9"/>
    <w:unhideWhenUsed/>
    <w:qFormat/>
    <w:rsid w:val="00467BBE"/>
    <w:pPr>
      <w:numPr>
        <w:numId w:val="14"/>
      </w:numPr>
      <w:jc w:val="both"/>
      <w:outlineLvl w:val="1"/>
    </w:pPr>
    <w:rPr>
      <w:rFonts w:cs="Arial"/>
      <w:b/>
      <w:sz w:val="24"/>
      <w:szCs w:val="24"/>
    </w:rPr>
  </w:style>
  <w:style w:type="paragraph" w:styleId="Heading3">
    <w:name w:val="heading 3"/>
    <w:basedOn w:val="Normal"/>
    <w:next w:val="Normal"/>
    <w:link w:val="Heading3Char"/>
    <w:uiPriority w:val="9"/>
    <w:unhideWhenUsed/>
    <w:qFormat/>
    <w:rsid w:val="00CE3CBF"/>
    <w:pPr>
      <w:jc w:val="both"/>
      <w:outlineLvl w:val="2"/>
    </w:pPr>
    <w:rPr>
      <w:rFonts w:cs="Arial"/>
      <w:b/>
      <w:sz w:val="24"/>
      <w:szCs w:val="24"/>
    </w:rPr>
  </w:style>
  <w:style w:type="paragraph" w:styleId="Heading4">
    <w:name w:val="heading 4"/>
    <w:basedOn w:val="Normal"/>
    <w:next w:val="Normal"/>
    <w:link w:val="Heading4Char"/>
    <w:uiPriority w:val="9"/>
    <w:semiHidden/>
    <w:unhideWhenUsed/>
    <w:qFormat/>
    <w:rsid w:val="004B06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F1E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30EE"/>
    <w:pPr>
      <w:ind w:left="720"/>
      <w:contextualSpacing/>
    </w:pPr>
  </w:style>
  <w:style w:type="paragraph" w:styleId="Header">
    <w:name w:val="header"/>
    <w:basedOn w:val="Normal"/>
    <w:link w:val="HeaderChar"/>
    <w:uiPriority w:val="99"/>
    <w:unhideWhenUsed/>
    <w:rsid w:val="00517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4F7"/>
  </w:style>
  <w:style w:type="paragraph" w:styleId="Footer">
    <w:name w:val="footer"/>
    <w:basedOn w:val="Normal"/>
    <w:link w:val="FooterChar"/>
    <w:uiPriority w:val="99"/>
    <w:unhideWhenUsed/>
    <w:rsid w:val="00517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4F7"/>
  </w:style>
  <w:style w:type="paragraph" w:styleId="BalloonText">
    <w:name w:val="Balloon Text"/>
    <w:basedOn w:val="Normal"/>
    <w:link w:val="BalloonTextChar"/>
    <w:uiPriority w:val="99"/>
    <w:semiHidden/>
    <w:unhideWhenUsed/>
    <w:rsid w:val="0074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2F"/>
    <w:rPr>
      <w:rFonts w:ascii="Tahoma" w:hAnsi="Tahoma" w:cs="Tahoma"/>
      <w:sz w:val="16"/>
      <w:szCs w:val="16"/>
    </w:rPr>
  </w:style>
  <w:style w:type="paragraph" w:styleId="Caption">
    <w:name w:val="caption"/>
    <w:basedOn w:val="Normal"/>
    <w:next w:val="Normal"/>
    <w:uiPriority w:val="35"/>
    <w:unhideWhenUsed/>
    <w:qFormat/>
    <w:rsid w:val="00FB790A"/>
    <w:pPr>
      <w:spacing w:line="240" w:lineRule="auto"/>
    </w:pPr>
    <w:rPr>
      <w:b/>
      <w:bCs/>
      <w:color w:val="4F81BD" w:themeColor="accent1"/>
      <w:sz w:val="18"/>
      <w:szCs w:val="18"/>
    </w:rPr>
  </w:style>
  <w:style w:type="character" w:styleId="Hyperlink">
    <w:name w:val="Hyperlink"/>
    <w:basedOn w:val="DefaultParagraphFont"/>
    <w:uiPriority w:val="99"/>
    <w:unhideWhenUsed/>
    <w:rsid w:val="004705F8"/>
    <w:rPr>
      <w:color w:val="0000FF"/>
      <w:u w:val="single"/>
    </w:rPr>
  </w:style>
  <w:style w:type="character" w:styleId="FollowedHyperlink">
    <w:name w:val="FollowedHyperlink"/>
    <w:basedOn w:val="DefaultParagraphFont"/>
    <w:uiPriority w:val="99"/>
    <w:semiHidden/>
    <w:unhideWhenUsed/>
    <w:rsid w:val="00B27754"/>
    <w:rPr>
      <w:color w:val="800080" w:themeColor="followedHyperlink"/>
      <w:u w:val="single"/>
    </w:rPr>
  </w:style>
  <w:style w:type="character" w:customStyle="1" w:styleId="Heading1Char">
    <w:name w:val="Heading 1 Char"/>
    <w:basedOn w:val="DefaultParagraphFont"/>
    <w:link w:val="Heading1"/>
    <w:rsid w:val="00C57FAF"/>
    <w:rPr>
      <w:rFonts w:eastAsiaTheme="majorEastAsia" w:cs="Arial"/>
      <w:b/>
      <w:bCs/>
      <w:sz w:val="28"/>
      <w:szCs w:val="28"/>
      <w:lang w:val="en-US"/>
    </w:rPr>
  </w:style>
  <w:style w:type="character" w:customStyle="1" w:styleId="Heading2Char">
    <w:name w:val="Heading 2 Char"/>
    <w:basedOn w:val="DefaultParagraphFont"/>
    <w:link w:val="Heading2"/>
    <w:uiPriority w:val="9"/>
    <w:rsid w:val="00467BBE"/>
    <w:rPr>
      <w:rFonts w:cs="Arial"/>
      <w:b/>
      <w:sz w:val="24"/>
      <w:szCs w:val="24"/>
    </w:rPr>
  </w:style>
  <w:style w:type="character" w:customStyle="1" w:styleId="Heading3Char">
    <w:name w:val="Heading 3 Char"/>
    <w:basedOn w:val="DefaultParagraphFont"/>
    <w:link w:val="Heading3"/>
    <w:uiPriority w:val="9"/>
    <w:rsid w:val="00CE3CBF"/>
    <w:rPr>
      <w:rFonts w:cs="Arial"/>
      <w:b/>
      <w:sz w:val="24"/>
      <w:szCs w:val="24"/>
    </w:rPr>
  </w:style>
  <w:style w:type="paragraph" w:styleId="TOC1">
    <w:name w:val="toc 1"/>
    <w:basedOn w:val="Normal"/>
    <w:next w:val="Normal"/>
    <w:autoRedefine/>
    <w:uiPriority w:val="39"/>
    <w:unhideWhenUsed/>
    <w:rsid w:val="00CE3CBF"/>
    <w:pPr>
      <w:spacing w:after="100"/>
    </w:pPr>
  </w:style>
  <w:style w:type="paragraph" w:styleId="TOC2">
    <w:name w:val="toc 2"/>
    <w:basedOn w:val="Normal"/>
    <w:next w:val="Normal"/>
    <w:autoRedefine/>
    <w:uiPriority w:val="39"/>
    <w:unhideWhenUsed/>
    <w:rsid w:val="00CE3CBF"/>
    <w:pPr>
      <w:spacing w:after="100"/>
      <w:ind w:left="220"/>
    </w:pPr>
  </w:style>
  <w:style w:type="paragraph" w:styleId="Title">
    <w:name w:val="Title"/>
    <w:basedOn w:val="Normal"/>
    <w:next w:val="Normal"/>
    <w:link w:val="TitleChar"/>
    <w:uiPriority w:val="10"/>
    <w:qFormat/>
    <w:rsid w:val="001E123C"/>
    <w:pPr>
      <w:spacing w:after="300" w:line="240" w:lineRule="auto"/>
      <w:contextualSpacing/>
    </w:pPr>
    <w:rPr>
      <w:rFonts w:eastAsiaTheme="majorEastAsia" w:cstheme="majorBidi"/>
      <w:color w:val="1F497D" w:themeColor="text2"/>
      <w:spacing w:val="5"/>
      <w:kern w:val="28"/>
      <w:sz w:val="44"/>
      <w:szCs w:val="44"/>
      <w:lang w:val="en-US"/>
      <w14:ligatures w14:val="standardContextual"/>
      <w14:cntxtAlts/>
    </w:rPr>
  </w:style>
  <w:style w:type="character" w:customStyle="1" w:styleId="TitleChar">
    <w:name w:val="Title Char"/>
    <w:basedOn w:val="DefaultParagraphFont"/>
    <w:link w:val="Title"/>
    <w:uiPriority w:val="10"/>
    <w:rsid w:val="001E123C"/>
    <w:rPr>
      <w:rFonts w:eastAsiaTheme="majorEastAsia" w:cstheme="majorBidi"/>
      <w:color w:val="1F497D" w:themeColor="text2"/>
      <w:spacing w:val="5"/>
      <w:kern w:val="28"/>
      <w:sz w:val="44"/>
      <w:szCs w:val="44"/>
      <w:lang w:val="en-US"/>
      <w14:ligatures w14:val="standardContextual"/>
      <w14:cntxtAlts/>
    </w:rPr>
  </w:style>
  <w:style w:type="paragraph" w:styleId="Subtitle">
    <w:name w:val="Subtitle"/>
    <w:basedOn w:val="Normal"/>
    <w:next w:val="Normal"/>
    <w:link w:val="SubtitleChar"/>
    <w:uiPriority w:val="11"/>
    <w:qFormat/>
    <w:rsid w:val="001E123C"/>
    <w:pPr>
      <w:numPr>
        <w:ilvl w:val="1"/>
      </w:numPr>
    </w:pPr>
    <w:rPr>
      <w:rFonts w:eastAsiaTheme="majorEastAsia" w:cstheme="majorBidi"/>
      <w:iCs/>
      <w:color w:val="000000" w:themeColor="text1"/>
      <w:spacing w:val="15"/>
      <w:sz w:val="24"/>
      <w:szCs w:val="24"/>
      <w:lang w:val="en-US"/>
    </w:rPr>
  </w:style>
  <w:style w:type="character" w:customStyle="1" w:styleId="SubtitleChar">
    <w:name w:val="Subtitle Char"/>
    <w:basedOn w:val="DefaultParagraphFont"/>
    <w:link w:val="Subtitle"/>
    <w:uiPriority w:val="11"/>
    <w:rsid w:val="001E123C"/>
    <w:rPr>
      <w:rFonts w:eastAsiaTheme="majorEastAsia" w:cstheme="majorBidi"/>
      <w:iCs/>
      <w:color w:val="000000" w:themeColor="text1"/>
      <w:spacing w:val="15"/>
      <w:sz w:val="24"/>
      <w:szCs w:val="24"/>
      <w:lang w:val="en-US"/>
    </w:rPr>
  </w:style>
  <w:style w:type="paragraph" w:styleId="NoSpacing">
    <w:name w:val="No Spacing"/>
    <w:link w:val="NoSpacingChar"/>
    <w:uiPriority w:val="1"/>
    <w:qFormat/>
    <w:rsid w:val="001E123C"/>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1E123C"/>
    <w:rPr>
      <w:rFonts w:asciiTheme="minorHAnsi" w:eastAsiaTheme="minorEastAsia" w:hAnsiTheme="minorHAnsi"/>
      <w:lang w:val="en-US"/>
    </w:rPr>
  </w:style>
  <w:style w:type="character" w:styleId="CommentReference">
    <w:name w:val="annotation reference"/>
    <w:basedOn w:val="DefaultParagraphFont"/>
    <w:uiPriority w:val="99"/>
    <w:semiHidden/>
    <w:unhideWhenUsed/>
    <w:rsid w:val="00862CC6"/>
    <w:rPr>
      <w:sz w:val="16"/>
      <w:szCs w:val="16"/>
    </w:rPr>
  </w:style>
  <w:style w:type="paragraph" w:styleId="CommentText">
    <w:name w:val="annotation text"/>
    <w:basedOn w:val="Normal"/>
    <w:link w:val="CommentTextChar"/>
    <w:uiPriority w:val="99"/>
    <w:unhideWhenUsed/>
    <w:rsid w:val="00862CC6"/>
    <w:pPr>
      <w:spacing w:line="240" w:lineRule="auto"/>
    </w:pPr>
    <w:rPr>
      <w:sz w:val="20"/>
      <w:szCs w:val="20"/>
    </w:rPr>
  </w:style>
  <w:style w:type="character" w:customStyle="1" w:styleId="CommentTextChar">
    <w:name w:val="Comment Text Char"/>
    <w:basedOn w:val="DefaultParagraphFont"/>
    <w:link w:val="CommentText"/>
    <w:uiPriority w:val="99"/>
    <w:rsid w:val="00862CC6"/>
    <w:rPr>
      <w:sz w:val="20"/>
      <w:szCs w:val="20"/>
    </w:rPr>
  </w:style>
  <w:style w:type="paragraph" w:styleId="CommentSubject">
    <w:name w:val="annotation subject"/>
    <w:basedOn w:val="CommentText"/>
    <w:next w:val="CommentText"/>
    <w:link w:val="CommentSubjectChar"/>
    <w:uiPriority w:val="99"/>
    <w:semiHidden/>
    <w:unhideWhenUsed/>
    <w:rsid w:val="00862CC6"/>
    <w:rPr>
      <w:b/>
      <w:bCs/>
    </w:rPr>
  </w:style>
  <w:style w:type="character" w:customStyle="1" w:styleId="CommentSubjectChar">
    <w:name w:val="Comment Subject Char"/>
    <w:basedOn w:val="CommentTextChar"/>
    <w:link w:val="CommentSubject"/>
    <w:uiPriority w:val="99"/>
    <w:semiHidden/>
    <w:rsid w:val="00862CC6"/>
    <w:rPr>
      <w:b/>
      <w:bCs/>
      <w:sz w:val="20"/>
      <w:szCs w:val="20"/>
    </w:rPr>
  </w:style>
  <w:style w:type="paragraph" w:customStyle="1" w:styleId="Bullet">
    <w:name w:val="Bullet"/>
    <w:basedOn w:val="Normal"/>
    <w:link w:val="BulletChar"/>
    <w:autoRedefine/>
    <w:qFormat/>
    <w:rsid w:val="004335BB"/>
    <w:pPr>
      <w:numPr>
        <w:numId w:val="16"/>
      </w:numPr>
      <w:spacing w:after="120" w:line="240" w:lineRule="auto"/>
    </w:pPr>
    <w:rPr>
      <w:rFonts w:asciiTheme="minorHAnsi" w:eastAsia="Times New Roman" w:hAnsiTheme="minorHAnsi" w:cs="Arial"/>
      <w:sz w:val="24"/>
      <w:szCs w:val="24"/>
      <w:lang w:eastAsia="en-GB"/>
    </w:rPr>
  </w:style>
  <w:style w:type="paragraph" w:customStyle="1" w:styleId="Style1">
    <w:name w:val="Style1"/>
    <w:basedOn w:val="Normal"/>
    <w:link w:val="Style1Char"/>
    <w:qFormat/>
    <w:rsid w:val="00F077D8"/>
    <w:pPr>
      <w:numPr>
        <w:ilvl w:val="1"/>
        <w:numId w:val="17"/>
      </w:numPr>
      <w:spacing w:after="0" w:line="240" w:lineRule="auto"/>
    </w:pPr>
    <w:rPr>
      <w:rFonts w:asciiTheme="minorHAnsi" w:hAnsiTheme="minorHAnsi"/>
      <w:sz w:val="24"/>
    </w:rPr>
  </w:style>
  <w:style w:type="character" w:customStyle="1" w:styleId="Style1Char">
    <w:name w:val="Style1 Char"/>
    <w:basedOn w:val="DefaultParagraphFont"/>
    <w:link w:val="Style1"/>
    <w:rsid w:val="00F077D8"/>
    <w:rPr>
      <w:rFonts w:asciiTheme="minorHAnsi" w:hAnsiTheme="minorHAnsi"/>
      <w:sz w:val="24"/>
    </w:rPr>
  </w:style>
  <w:style w:type="table" w:styleId="TableGrid">
    <w:name w:val="Table Grid"/>
    <w:basedOn w:val="TableNormal"/>
    <w:uiPriority w:val="59"/>
    <w:rsid w:val="0013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F1EBA"/>
    <w:rPr>
      <w:rFonts w:asciiTheme="majorHAnsi" w:eastAsiaTheme="majorEastAsia" w:hAnsiTheme="majorHAnsi" w:cstheme="majorBidi"/>
      <w:color w:val="365F91" w:themeColor="accent1" w:themeShade="BF"/>
    </w:rPr>
  </w:style>
  <w:style w:type="character" w:customStyle="1" w:styleId="BulletChar">
    <w:name w:val="Bullet Char"/>
    <w:basedOn w:val="DefaultParagraphFont"/>
    <w:link w:val="Bullet"/>
    <w:rsid w:val="009F1EBA"/>
    <w:rPr>
      <w:rFonts w:asciiTheme="minorHAnsi" w:eastAsia="Times New Roman" w:hAnsiTheme="minorHAnsi" w:cs="Arial"/>
      <w:sz w:val="24"/>
      <w:szCs w:val="24"/>
      <w:lang w:eastAsia="en-GB"/>
    </w:rPr>
  </w:style>
  <w:style w:type="character" w:customStyle="1" w:styleId="Heading4Char">
    <w:name w:val="Heading 4 Char"/>
    <w:basedOn w:val="DefaultParagraphFont"/>
    <w:link w:val="Heading4"/>
    <w:uiPriority w:val="9"/>
    <w:semiHidden/>
    <w:rsid w:val="004B068B"/>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E43B52"/>
    <w:pPr>
      <w:widowControl w:val="0"/>
      <w:autoSpaceDE w:val="0"/>
      <w:autoSpaceDN w:val="0"/>
      <w:spacing w:after="0" w:line="240" w:lineRule="auto"/>
    </w:pPr>
    <w:rPr>
      <w:rFonts w:eastAsia="Arial" w:cs="Arial"/>
      <w:sz w:val="20"/>
      <w:szCs w:val="20"/>
      <w:lang w:eastAsia="en-GB" w:bidi="en-GB"/>
    </w:rPr>
  </w:style>
  <w:style w:type="character" w:customStyle="1" w:styleId="BodyTextChar">
    <w:name w:val="Body Text Char"/>
    <w:basedOn w:val="DefaultParagraphFont"/>
    <w:link w:val="BodyText"/>
    <w:uiPriority w:val="1"/>
    <w:rsid w:val="00E43B52"/>
    <w:rPr>
      <w:rFonts w:eastAsia="Arial" w:cs="Arial"/>
      <w:sz w:val="20"/>
      <w:szCs w:val="20"/>
      <w:lang w:eastAsia="en-GB" w:bidi="en-GB"/>
    </w:rPr>
  </w:style>
  <w:style w:type="character" w:styleId="HTMLCite">
    <w:name w:val="HTML Cite"/>
    <w:basedOn w:val="DefaultParagraphFont"/>
    <w:uiPriority w:val="99"/>
    <w:semiHidden/>
    <w:unhideWhenUsed/>
    <w:rsid w:val="00AB4933"/>
    <w:rPr>
      <w:i/>
      <w:iCs/>
    </w:rPr>
  </w:style>
  <w:style w:type="paragraph" w:styleId="ListNumber">
    <w:name w:val="List Number"/>
    <w:basedOn w:val="Normal"/>
    <w:autoRedefine/>
    <w:rsid w:val="00701AFD"/>
    <w:pPr>
      <w:numPr>
        <w:numId w:val="28"/>
      </w:numPr>
      <w:spacing w:after="120" w:line="240" w:lineRule="auto"/>
    </w:pPr>
    <w:rPr>
      <w:rFonts w:eastAsia="Times New Roman" w:cs="Times New Roman"/>
      <w:sz w:val="24"/>
      <w:szCs w:val="24"/>
      <w:lang w:eastAsia="en-GB"/>
    </w:rPr>
  </w:style>
  <w:style w:type="paragraph" w:customStyle="1" w:styleId="paragraph">
    <w:name w:val="paragraph"/>
    <w:basedOn w:val="Normal"/>
    <w:rsid w:val="00E71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1F71"/>
  </w:style>
  <w:style w:type="character" w:customStyle="1" w:styleId="eop">
    <w:name w:val="eop"/>
    <w:basedOn w:val="DefaultParagraphFont"/>
    <w:rsid w:val="00E71F71"/>
  </w:style>
  <w:style w:type="character" w:styleId="Strong">
    <w:name w:val="Strong"/>
    <w:qFormat/>
    <w:rsid w:val="003C4DCD"/>
    <w:rPr>
      <w:b/>
      <w:bCs/>
    </w:rPr>
  </w:style>
  <w:style w:type="paragraph" w:customStyle="1" w:styleId="Appendixtext">
    <w:name w:val="Appendix text"/>
    <w:basedOn w:val="Normal"/>
    <w:qFormat/>
    <w:rsid w:val="003C5888"/>
    <w:pPr>
      <w:spacing w:before="60" w:after="60" w:line="280" w:lineRule="atLeast"/>
    </w:pPr>
    <w:rPr>
      <w:color w:val="515254"/>
      <w:sz w:val="20"/>
      <w:szCs w:val="20"/>
    </w:rPr>
  </w:style>
  <w:style w:type="paragraph" w:customStyle="1" w:styleId="Appendixbullet">
    <w:name w:val="Appendix bullet"/>
    <w:basedOn w:val="Normal"/>
    <w:qFormat/>
    <w:rsid w:val="003C5888"/>
    <w:pPr>
      <w:numPr>
        <w:numId w:val="37"/>
      </w:numPr>
      <w:tabs>
        <w:tab w:val="left" w:pos="567"/>
      </w:tabs>
      <w:spacing w:before="60" w:after="60" w:line="280" w:lineRule="atLeast"/>
      <w:ind w:left="567" w:hanging="567"/>
    </w:pPr>
    <w:rPr>
      <w:color w:val="515254"/>
      <w:sz w:val="20"/>
      <w:szCs w:val="20"/>
    </w:rPr>
  </w:style>
  <w:style w:type="paragraph" w:customStyle="1" w:styleId="Appendixsub-bullet">
    <w:name w:val="Appendix sub-bullet"/>
    <w:basedOn w:val="Normal"/>
    <w:qFormat/>
    <w:rsid w:val="003C5888"/>
    <w:pPr>
      <w:numPr>
        <w:numId w:val="38"/>
      </w:numPr>
      <w:tabs>
        <w:tab w:val="left" w:pos="1134"/>
      </w:tabs>
      <w:spacing w:before="60" w:after="60" w:line="280" w:lineRule="atLeast"/>
    </w:pPr>
    <w:rPr>
      <w:color w:val="515254"/>
      <w:sz w:val="20"/>
      <w:szCs w:val="20"/>
    </w:rPr>
  </w:style>
  <w:style w:type="paragraph" w:customStyle="1" w:styleId="Sub-bullet">
    <w:name w:val="Sub-bullet"/>
    <w:basedOn w:val="Normal"/>
    <w:qFormat/>
    <w:rsid w:val="0054188A"/>
    <w:pPr>
      <w:numPr>
        <w:numId w:val="39"/>
      </w:numPr>
      <w:tabs>
        <w:tab w:val="left" w:pos="1701"/>
      </w:tabs>
      <w:spacing w:before="60" w:after="60" w:line="280" w:lineRule="atLeast"/>
    </w:pPr>
    <w:rPr>
      <w:rFonts w:eastAsia="Calibri" w:cs="Times New Roman"/>
      <w:color w:val="515254"/>
      <w:sz w:val="20"/>
      <w:szCs w:val="20"/>
    </w:rPr>
  </w:style>
  <w:style w:type="paragraph" w:styleId="NormalWeb">
    <w:name w:val="Normal (Web)"/>
    <w:basedOn w:val="Normal"/>
    <w:uiPriority w:val="99"/>
    <w:semiHidden/>
    <w:unhideWhenUsed/>
    <w:rsid w:val="00B103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23">
      <w:bodyDiv w:val="1"/>
      <w:marLeft w:val="0"/>
      <w:marRight w:val="0"/>
      <w:marTop w:val="0"/>
      <w:marBottom w:val="0"/>
      <w:divBdr>
        <w:top w:val="none" w:sz="0" w:space="0" w:color="auto"/>
        <w:left w:val="none" w:sz="0" w:space="0" w:color="auto"/>
        <w:bottom w:val="none" w:sz="0" w:space="0" w:color="auto"/>
        <w:right w:val="none" w:sz="0" w:space="0" w:color="auto"/>
      </w:divBdr>
    </w:div>
    <w:div w:id="6254549">
      <w:bodyDiv w:val="1"/>
      <w:marLeft w:val="0"/>
      <w:marRight w:val="0"/>
      <w:marTop w:val="0"/>
      <w:marBottom w:val="0"/>
      <w:divBdr>
        <w:top w:val="none" w:sz="0" w:space="0" w:color="auto"/>
        <w:left w:val="none" w:sz="0" w:space="0" w:color="auto"/>
        <w:bottom w:val="none" w:sz="0" w:space="0" w:color="auto"/>
        <w:right w:val="none" w:sz="0" w:space="0" w:color="auto"/>
      </w:divBdr>
    </w:div>
    <w:div w:id="30422870">
      <w:bodyDiv w:val="1"/>
      <w:marLeft w:val="0"/>
      <w:marRight w:val="0"/>
      <w:marTop w:val="0"/>
      <w:marBottom w:val="0"/>
      <w:divBdr>
        <w:top w:val="none" w:sz="0" w:space="0" w:color="auto"/>
        <w:left w:val="none" w:sz="0" w:space="0" w:color="auto"/>
        <w:bottom w:val="none" w:sz="0" w:space="0" w:color="auto"/>
        <w:right w:val="none" w:sz="0" w:space="0" w:color="auto"/>
      </w:divBdr>
    </w:div>
    <w:div w:id="30423677">
      <w:bodyDiv w:val="1"/>
      <w:marLeft w:val="0"/>
      <w:marRight w:val="0"/>
      <w:marTop w:val="0"/>
      <w:marBottom w:val="0"/>
      <w:divBdr>
        <w:top w:val="none" w:sz="0" w:space="0" w:color="auto"/>
        <w:left w:val="none" w:sz="0" w:space="0" w:color="auto"/>
        <w:bottom w:val="none" w:sz="0" w:space="0" w:color="auto"/>
        <w:right w:val="none" w:sz="0" w:space="0" w:color="auto"/>
      </w:divBdr>
    </w:div>
    <w:div w:id="33044957">
      <w:bodyDiv w:val="1"/>
      <w:marLeft w:val="0"/>
      <w:marRight w:val="0"/>
      <w:marTop w:val="0"/>
      <w:marBottom w:val="0"/>
      <w:divBdr>
        <w:top w:val="none" w:sz="0" w:space="0" w:color="auto"/>
        <w:left w:val="none" w:sz="0" w:space="0" w:color="auto"/>
        <w:bottom w:val="none" w:sz="0" w:space="0" w:color="auto"/>
        <w:right w:val="none" w:sz="0" w:space="0" w:color="auto"/>
      </w:divBdr>
    </w:div>
    <w:div w:id="38862855">
      <w:bodyDiv w:val="1"/>
      <w:marLeft w:val="0"/>
      <w:marRight w:val="0"/>
      <w:marTop w:val="0"/>
      <w:marBottom w:val="0"/>
      <w:divBdr>
        <w:top w:val="none" w:sz="0" w:space="0" w:color="auto"/>
        <w:left w:val="none" w:sz="0" w:space="0" w:color="auto"/>
        <w:bottom w:val="none" w:sz="0" w:space="0" w:color="auto"/>
        <w:right w:val="none" w:sz="0" w:space="0" w:color="auto"/>
      </w:divBdr>
    </w:div>
    <w:div w:id="86735373">
      <w:bodyDiv w:val="1"/>
      <w:marLeft w:val="0"/>
      <w:marRight w:val="0"/>
      <w:marTop w:val="0"/>
      <w:marBottom w:val="0"/>
      <w:divBdr>
        <w:top w:val="none" w:sz="0" w:space="0" w:color="auto"/>
        <w:left w:val="none" w:sz="0" w:space="0" w:color="auto"/>
        <w:bottom w:val="none" w:sz="0" w:space="0" w:color="auto"/>
        <w:right w:val="none" w:sz="0" w:space="0" w:color="auto"/>
      </w:divBdr>
    </w:div>
    <w:div w:id="99227296">
      <w:bodyDiv w:val="1"/>
      <w:marLeft w:val="0"/>
      <w:marRight w:val="0"/>
      <w:marTop w:val="0"/>
      <w:marBottom w:val="0"/>
      <w:divBdr>
        <w:top w:val="none" w:sz="0" w:space="0" w:color="auto"/>
        <w:left w:val="none" w:sz="0" w:space="0" w:color="auto"/>
        <w:bottom w:val="none" w:sz="0" w:space="0" w:color="auto"/>
        <w:right w:val="none" w:sz="0" w:space="0" w:color="auto"/>
      </w:divBdr>
    </w:div>
    <w:div w:id="105807075">
      <w:bodyDiv w:val="1"/>
      <w:marLeft w:val="0"/>
      <w:marRight w:val="0"/>
      <w:marTop w:val="0"/>
      <w:marBottom w:val="0"/>
      <w:divBdr>
        <w:top w:val="none" w:sz="0" w:space="0" w:color="auto"/>
        <w:left w:val="none" w:sz="0" w:space="0" w:color="auto"/>
        <w:bottom w:val="none" w:sz="0" w:space="0" w:color="auto"/>
        <w:right w:val="none" w:sz="0" w:space="0" w:color="auto"/>
      </w:divBdr>
    </w:div>
    <w:div w:id="122894321">
      <w:bodyDiv w:val="1"/>
      <w:marLeft w:val="0"/>
      <w:marRight w:val="0"/>
      <w:marTop w:val="0"/>
      <w:marBottom w:val="0"/>
      <w:divBdr>
        <w:top w:val="none" w:sz="0" w:space="0" w:color="auto"/>
        <w:left w:val="none" w:sz="0" w:space="0" w:color="auto"/>
        <w:bottom w:val="none" w:sz="0" w:space="0" w:color="auto"/>
        <w:right w:val="none" w:sz="0" w:space="0" w:color="auto"/>
      </w:divBdr>
    </w:div>
    <w:div w:id="127210061">
      <w:bodyDiv w:val="1"/>
      <w:marLeft w:val="0"/>
      <w:marRight w:val="0"/>
      <w:marTop w:val="0"/>
      <w:marBottom w:val="0"/>
      <w:divBdr>
        <w:top w:val="none" w:sz="0" w:space="0" w:color="auto"/>
        <w:left w:val="none" w:sz="0" w:space="0" w:color="auto"/>
        <w:bottom w:val="none" w:sz="0" w:space="0" w:color="auto"/>
        <w:right w:val="none" w:sz="0" w:space="0" w:color="auto"/>
      </w:divBdr>
    </w:div>
    <w:div w:id="128598894">
      <w:bodyDiv w:val="1"/>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 w:id="1007758014">
          <w:marLeft w:val="0"/>
          <w:marRight w:val="0"/>
          <w:marTop w:val="0"/>
          <w:marBottom w:val="0"/>
          <w:divBdr>
            <w:top w:val="none" w:sz="0" w:space="0" w:color="auto"/>
            <w:left w:val="none" w:sz="0" w:space="0" w:color="auto"/>
            <w:bottom w:val="none" w:sz="0" w:space="0" w:color="auto"/>
            <w:right w:val="none" w:sz="0" w:space="0" w:color="auto"/>
          </w:divBdr>
        </w:div>
        <w:div w:id="1095247555">
          <w:marLeft w:val="0"/>
          <w:marRight w:val="0"/>
          <w:marTop w:val="0"/>
          <w:marBottom w:val="0"/>
          <w:divBdr>
            <w:top w:val="none" w:sz="0" w:space="0" w:color="auto"/>
            <w:left w:val="none" w:sz="0" w:space="0" w:color="auto"/>
            <w:bottom w:val="none" w:sz="0" w:space="0" w:color="auto"/>
            <w:right w:val="none" w:sz="0" w:space="0" w:color="auto"/>
          </w:divBdr>
        </w:div>
      </w:divsChild>
    </w:div>
    <w:div w:id="139155725">
      <w:bodyDiv w:val="1"/>
      <w:marLeft w:val="0"/>
      <w:marRight w:val="0"/>
      <w:marTop w:val="0"/>
      <w:marBottom w:val="0"/>
      <w:divBdr>
        <w:top w:val="none" w:sz="0" w:space="0" w:color="auto"/>
        <w:left w:val="none" w:sz="0" w:space="0" w:color="auto"/>
        <w:bottom w:val="none" w:sz="0" w:space="0" w:color="auto"/>
        <w:right w:val="none" w:sz="0" w:space="0" w:color="auto"/>
      </w:divBdr>
    </w:div>
    <w:div w:id="171839512">
      <w:bodyDiv w:val="1"/>
      <w:marLeft w:val="0"/>
      <w:marRight w:val="0"/>
      <w:marTop w:val="0"/>
      <w:marBottom w:val="0"/>
      <w:divBdr>
        <w:top w:val="none" w:sz="0" w:space="0" w:color="auto"/>
        <w:left w:val="none" w:sz="0" w:space="0" w:color="auto"/>
        <w:bottom w:val="none" w:sz="0" w:space="0" w:color="auto"/>
        <w:right w:val="none" w:sz="0" w:space="0" w:color="auto"/>
      </w:divBdr>
    </w:div>
    <w:div w:id="201989377">
      <w:bodyDiv w:val="1"/>
      <w:marLeft w:val="0"/>
      <w:marRight w:val="0"/>
      <w:marTop w:val="0"/>
      <w:marBottom w:val="0"/>
      <w:divBdr>
        <w:top w:val="none" w:sz="0" w:space="0" w:color="auto"/>
        <w:left w:val="none" w:sz="0" w:space="0" w:color="auto"/>
        <w:bottom w:val="none" w:sz="0" w:space="0" w:color="auto"/>
        <w:right w:val="none" w:sz="0" w:space="0" w:color="auto"/>
      </w:divBdr>
    </w:div>
    <w:div w:id="209343709">
      <w:bodyDiv w:val="1"/>
      <w:marLeft w:val="0"/>
      <w:marRight w:val="0"/>
      <w:marTop w:val="0"/>
      <w:marBottom w:val="0"/>
      <w:divBdr>
        <w:top w:val="none" w:sz="0" w:space="0" w:color="auto"/>
        <w:left w:val="none" w:sz="0" w:space="0" w:color="auto"/>
        <w:bottom w:val="none" w:sz="0" w:space="0" w:color="auto"/>
        <w:right w:val="none" w:sz="0" w:space="0" w:color="auto"/>
      </w:divBdr>
    </w:div>
    <w:div w:id="219832269">
      <w:bodyDiv w:val="1"/>
      <w:marLeft w:val="0"/>
      <w:marRight w:val="0"/>
      <w:marTop w:val="0"/>
      <w:marBottom w:val="0"/>
      <w:divBdr>
        <w:top w:val="none" w:sz="0" w:space="0" w:color="auto"/>
        <w:left w:val="none" w:sz="0" w:space="0" w:color="auto"/>
        <w:bottom w:val="none" w:sz="0" w:space="0" w:color="auto"/>
        <w:right w:val="none" w:sz="0" w:space="0" w:color="auto"/>
      </w:divBdr>
    </w:div>
    <w:div w:id="232160334">
      <w:bodyDiv w:val="1"/>
      <w:marLeft w:val="0"/>
      <w:marRight w:val="0"/>
      <w:marTop w:val="0"/>
      <w:marBottom w:val="0"/>
      <w:divBdr>
        <w:top w:val="none" w:sz="0" w:space="0" w:color="auto"/>
        <w:left w:val="none" w:sz="0" w:space="0" w:color="auto"/>
        <w:bottom w:val="none" w:sz="0" w:space="0" w:color="auto"/>
        <w:right w:val="none" w:sz="0" w:space="0" w:color="auto"/>
      </w:divBdr>
    </w:div>
    <w:div w:id="243540264">
      <w:bodyDiv w:val="1"/>
      <w:marLeft w:val="0"/>
      <w:marRight w:val="0"/>
      <w:marTop w:val="0"/>
      <w:marBottom w:val="0"/>
      <w:divBdr>
        <w:top w:val="none" w:sz="0" w:space="0" w:color="auto"/>
        <w:left w:val="none" w:sz="0" w:space="0" w:color="auto"/>
        <w:bottom w:val="none" w:sz="0" w:space="0" w:color="auto"/>
        <w:right w:val="none" w:sz="0" w:space="0" w:color="auto"/>
      </w:divBdr>
    </w:div>
    <w:div w:id="339432864">
      <w:bodyDiv w:val="1"/>
      <w:marLeft w:val="0"/>
      <w:marRight w:val="0"/>
      <w:marTop w:val="0"/>
      <w:marBottom w:val="0"/>
      <w:divBdr>
        <w:top w:val="none" w:sz="0" w:space="0" w:color="auto"/>
        <w:left w:val="none" w:sz="0" w:space="0" w:color="auto"/>
        <w:bottom w:val="none" w:sz="0" w:space="0" w:color="auto"/>
        <w:right w:val="none" w:sz="0" w:space="0" w:color="auto"/>
      </w:divBdr>
    </w:div>
    <w:div w:id="362708311">
      <w:bodyDiv w:val="1"/>
      <w:marLeft w:val="0"/>
      <w:marRight w:val="0"/>
      <w:marTop w:val="0"/>
      <w:marBottom w:val="0"/>
      <w:divBdr>
        <w:top w:val="none" w:sz="0" w:space="0" w:color="auto"/>
        <w:left w:val="none" w:sz="0" w:space="0" w:color="auto"/>
        <w:bottom w:val="none" w:sz="0" w:space="0" w:color="auto"/>
        <w:right w:val="none" w:sz="0" w:space="0" w:color="auto"/>
      </w:divBdr>
    </w:div>
    <w:div w:id="390004940">
      <w:bodyDiv w:val="1"/>
      <w:marLeft w:val="0"/>
      <w:marRight w:val="0"/>
      <w:marTop w:val="0"/>
      <w:marBottom w:val="0"/>
      <w:divBdr>
        <w:top w:val="none" w:sz="0" w:space="0" w:color="auto"/>
        <w:left w:val="none" w:sz="0" w:space="0" w:color="auto"/>
        <w:bottom w:val="none" w:sz="0" w:space="0" w:color="auto"/>
        <w:right w:val="none" w:sz="0" w:space="0" w:color="auto"/>
      </w:divBdr>
    </w:div>
    <w:div w:id="401876537">
      <w:bodyDiv w:val="1"/>
      <w:marLeft w:val="0"/>
      <w:marRight w:val="0"/>
      <w:marTop w:val="0"/>
      <w:marBottom w:val="0"/>
      <w:divBdr>
        <w:top w:val="none" w:sz="0" w:space="0" w:color="auto"/>
        <w:left w:val="none" w:sz="0" w:space="0" w:color="auto"/>
        <w:bottom w:val="none" w:sz="0" w:space="0" w:color="auto"/>
        <w:right w:val="none" w:sz="0" w:space="0" w:color="auto"/>
      </w:divBdr>
    </w:div>
    <w:div w:id="407000366">
      <w:bodyDiv w:val="1"/>
      <w:marLeft w:val="0"/>
      <w:marRight w:val="0"/>
      <w:marTop w:val="0"/>
      <w:marBottom w:val="0"/>
      <w:divBdr>
        <w:top w:val="none" w:sz="0" w:space="0" w:color="auto"/>
        <w:left w:val="none" w:sz="0" w:space="0" w:color="auto"/>
        <w:bottom w:val="none" w:sz="0" w:space="0" w:color="auto"/>
        <w:right w:val="none" w:sz="0" w:space="0" w:color="auto"/>
      </w:divBdr>
    </w:div>
    <w:div w:id="419449493">
      <w:bodyDiv w:val="1"/>
      <w:marLeft w:val="0"/>
      <w:marRight w:val="0"/>
      <w:marTop w:val="0"/>
      <w:marBottom w:val="0"/>
      <w:divBdr>
        <w:top w:val="none" w:sz="0" w:space="0" w:color="auto"/>
        <w:left w:val="none" w:sz="0" w:space="0" w:color="auto"/>
        <w:bottom w:val="none" w:sz="0" w:space="0" w:color="auto"/>
        <w:right w:val="none" w:sz="0" w:space="0" w:color="auto"/>
      </w:divBdr>
    </w:div>
    <w:div w:id="425660217">
      <w:bodyDiv w:val="1"/>
      <w:marLeft w:val="0"/>
      <w:marRight w:val="0"/>
      <w:marTop w:val="0"/>
      <w:marBottom w:val="0"/>
      <w:divBdr>
        <w:top w:val="none" w:sz="0" w:space="0" w:color="auto"/>
        <w:left w:val="none" w:sz="0" w:space="0" w:color="auto"/>
        <w:bottom w:val="none" w:sz="0" w:space="0" w:color="auto"/>
        <w:right w:val="none" w:sz="0" w:space="0" w:color="auto"/>
      </w:divBdr>
    </w:div>
    <w:div w:id="430855802">
      <w:bodyDiv w:val="1"/>
      <w:marLeft w:val="0"/>
      <w:marRight w:val="0"/>
      <w:marTop w:val="0"/>
      <w:marBottom w:val="0"/>
      <w:divBdr>
        <w:top w:val="none" w:sz="0" w:space="0" w:color="auto"/>
        <w:left w:val="none" w:sz="0" w:space="0" w:color="auto"/>
        <w:bottom w:val="none" w:sz="0" w:space="0" w:color="auto"/>
        <w:right w:val="none" w:sz="0" w:space="0" w:color="auto"/>
      </w:divBdr>
    </w:div>
    <w:div w:id="434903682">
      <w:bodyDiv w:val="1"/>
      <w:marLeft w:val="0"/>
      <w:marRight w:val="0"/>
      <w:marTop w:val="0"/>
      <w:marBottom w:val="0"/>
      <w:divBdr>
        <w:top w:val="none" w:sz="0" w:space="0" w:color="auto"/>
        <w:left w:val="none" w:sz="0" w:space="0" w:color="auto"/>
        <w:bottom w:val="none" w:sz="0" w:space="0" w:color="auto"/>
        <w:right w:val="none" w:sz="0" w:space="0" w:color="auto"/>
      </w:divBdr>
    </w:div>
    <w:div w:id="462580611">
      <w:bodyDiv w:val="1"/>
      <w:marLeft w:val="0"/>
      <w:marRight w:val="0"/>
      <w:marTop w:val="0"/>
      <w:marBottom w:val="0"/>
      <w:divBdr>
        <w:top w:val="none" w:sz="0" w:space="0" w:color="auto"/>
        <w:left w:val="none" w:sz="0" w:space="0" w:color="auto"/>
        <w:bottom w:val="none" w:sz="0" w:space="0" w:color="auto"/>
        <w:right w:val="none" w:sz="0" w:space="0" w:color="auto"/>
      </w:divBdr>
    </w:div>
    <w:div w:id="468323202">
      <w:bodyDiv w:val="1"/>
      <w:marLeft w:val="0"/>
      <w:marRight w:val="0"/>
      <w:marTop w:val="0"/>
      <w:marBottom w:val="0"/>
      <w:divBdr>
        <w:top w:val="none" w:sz="0" w:space="0" w:color="auto"/>
        <w:left w:val="none" w:sz="0" w:space="0" w:color="auto"/>
        <w:bottom w:val="none" w:sz="0" w:space="0" w:color="auto"/>
        <w:right w:val="none" w:sz="0" w:space="0" w:color="auto"/>
      </w:divBdr>
    </w:div>
    <w:div w:id="469447152">
      <w:bodyDiv w:val="1"/>
      <w:marLeft w:val="0"/>
      <w:marRight w:val="0"/>
      <w:marTop w:val="0"/>
      <w:marBottom w:val="0"/>
      <w:divBdr>
        <w:top w:val="none" w:sz="0" w:space="0" w:color="auto"/>
        <w:left w:val="none" w:sz="0" w:space="0" w:color="auto"/>
        <w:bottom w:val="none" w:sz="0" w:space="0" w:color="auto"/>
        <w:right w:val="none" w:sz="0" w:space="0" w:color="auto"/>
      </w:divBdr>
      <w:divsChild>
        <w:div w:id="991059164">
          <w:marLeft w:val="0"/>
          <w:marRight w:val="0"/>
          <w:marTop w:val="0"/>
          <w:marBottom w:val="0"/>
          <w:divBdr>
            <w:top w:val="none" w:sz="0" w:space="0" w:color="auto"/>
            <w:left w:val="none" w:sz="0" w:space="0" w:color="auto"/>
            <w:bottom w:val="none" w:sz="0" w:space="0" w:color="auto"/>
            <w:right w:val="none" w:sz="0" w:space="0" w:color="auto"/>
          </w:divBdr>
        </w:div>
        <w:div w:id="2090075561">
          <w:marLeft w:val="0"/>
          <w:marRight w:val="0"/>
          <w:marTop w:val="0"/>
          <w:marBottom w:val="0"/>
          <w:divBdr>
            <w:top w:val="none" w:sz="0" w:space="0" w:color="auto"/>
            <w:left w:val="none" w:sz="0" w:space="0" w:color="auto"/>
            <w:bottom w:val="none" w:sz="0" w:space="0" w:color="auto"/>
            <w:right w:val="none" w:sz="0" w:space="0" w:color="auto"/>
          </w:divBdr>
        </w:div>
      </w:divsChild>
    </w:div>
    <w:div w:id="498472373">
      <w:bodyDiv w:val="1"/>
      <w:marLeft w:val="0"/>
      <w:marRight w:val="0"/>
      <w:marTop w:val="0"/>
      <w:marBottom w:val="0"/>
      <w:divBdr>
        <w:top w:val="none" w:sz="0" w:space="0" w:color="auto"/>
        <w:left w:val="none" w:sz="0" w:space="0" w:color="auto"/>
        <w:bottom w:val="none" w:sz="0" w:space="0" w:color="auto"/>
        <w:right w:val="none" w:sz="0" w:space="0" w:color="auto"/>
      </w:divBdr>
      <w:divsChild>
        <w:div w:id="1436559685">
          <w:marLeft w:val="0"/>
          <w:marRight w:val="0"/>
          <w:marTop w:val="0"/>
          <w:marBottom w:val="0"/>
          <w:divBdr>
            <w:top w:val="none" w:sz="0" w:space="0" w:color="auto"/>
            <w:left w:val="none" w:sz="0" w:space="0" w:color="auto"/>
            <w:bottom w:val="none" w:sz="0" w:space="0" w:color="auto"/>
            <w:right w:val="none" w:sz="0" w:space="0" w:color="auto"/>
          </w:divBdr>
        </w:div>
        <w:div w:id="1207061645">
          <w:marLeft w:val="0"/>
          <w:marRight w:val="0"/>
          <w:marTop w:val="0"/>
          <w:marBottom w:val="0"/>
          <w:divBdr>
            <w:top w:val="none" w:sz="0" w:space="0" w:color="auto"/>
            <w:left w:val="none" w:sz="0" w:space="0" w:color="auto"/>
            <w:bottom w:val="none" w:sz="0" w:space="0" w:color="auto"/>
            <w:right w:val="none" w:sz="0" w:space="0" w:color="auto"/>
          </w:divBdr>
        </w:div>
        <w:div w:id="1849439907">
          <w:marLeft w:val="0"/>
          <w:marRight w:val="0"/>
          <w:marTop w:val="0"/>
          <w:marBottom w:val="0"/>
          <w:divBdr>
            <w:top w:val="none" w:sz="0" w:space="0" w:color="auto"/>
            <w:left w:val="none" w:sz="0" w:space="0" w:color="auto"/>
            <w:bottom w:val="none" w:sz="0" w:space="0" w:color="auto"/>
            <w:right w:val="none" w:sz="0" w:space="0" w:color="auto"/>
          </w:divBdr>
        </w:div>
      </w:divsChild>
    </w:div>
    <w:div w:id="500314454">
      <w:bodyDiv w:val="1"/>
      <w:marLeft w:val="0"/>
      <w:marRight w:val="0"/>
      <w:marTop w:val="0"/>
      <w:marBottom w:val="0"/>
      <w:divBdr>
        <w:top w:val="none" w:sz="0" w:space="0" w:color="auto"/>
        <w:left w:val="none" w:sz="0" w:space="0" w:color="auto"/>
        <w:bottom w:val="none" w:sz="0" w:space="0" w:color="auto"/>
        <w:right w:val="none" w:sz="0" w:space="0" w:color="auto"/>
      </w:divBdr>
    </w:div>
    <w:div w:id="523325180">
      <w:bodyDiv w:val="1"/>
      <w:marLeft w:val="0"/>
      <w:marRight w:val="0"/>
      <w:marTop w:val="0"/>
      <w:marBottom w:val="0"/>
      <w:divBdr>
        <w:top w:val="none" w:sz="0" w:space="0" w:color="auto"/>
        <w:left w:val="none" w:sz="0" w:space="0" w:color="auto"/>
        <w:bottom w:val="none" w:sz="0" w:space="0" w:color="auto"/>
        <w:right w:val="none" w:sz="0" w:space="0" w:color="auto"/>
      </w:divBdr>
    </w:div>
    <w:div w:id="540871941">
      <w:bodyDiv w:val="1"/>
      <w:marLeft w:val="0"/>
      <w:marRight w:val="0"/>
      <w:marTop w:val="0"/>
      <w:marBottom w:val="0"/>
      <w:divBdr>
        <w:top w:val="none" w:sz="0" w:space="0" w:color="auto"/>
        <w:left w:val="none" w:sz="0" w:space="0" w:color="auto"/>
        <w:bottom w:val="none" w:sz="0" w:space="0" w:color="auto"/>
        <w:right w:val="none" w:sz="0" w:space="0" w:color="auto"/>
      </w:divBdr>
    </w:div>
    <w:div w:id="565341984">
      <w:bodyDiv w:val="1"/>
      <w:marLeft w:val="0"/>
      <w:marRight w:val="0"/>
      <w:marTop w:val="0"/>
      <w:marBottom w:val="0"/>
      <w:divBdr>
        <w:top w:val="none" w:sz="0" w:space="0" w:color="auto"/>
        <w:left w:val="none" w:sz="0" w:space="0" w:color="auto"/>
        <w:bottom w:val="none" w:sz="0" w:space="0" w:color="auto"/>
        <w:right w:val="none" w:sz="0" w:space="0" w:color="auto"/>
      </w:divBdr>
    </w:div>
    <w:div w:id="565535524">
      <w:bodyDiv w:val="1"/>
      <w:marLeft w:val="0"/>
      <w:marRight w:val="0"/>
      <w:marTop w:val="0"/>
      <w:marBottom w:val="0"/>
      <w:divBdr>
        <w:top w:val="none" w:sz="0" w:space="0" w:color="auto"/>
        <w:left w:val="none" w:sz="0" w:space="0" w:color="auto"/>
        <w:bottom w:val="none" w:sz="0" w:space="0" w:color="auto"/>
        <w:right w:val="none" w:sz="0" w:space="0" w:color="auto"/>
      </w:divBdr>
    </w:div>
    <w:div w:id="568347565">
      <w:bodyDiv w:val="1"/>
      <w:marLeft w:val="0"/>
      <w:marRight w:val="0"/>
      <w:marTop w:val="0"/>
      <w:marBottom w:val="0"/>
      <w:divBdr>
        <w:top w:val="none" w:sz="0" w:space="0" w:color="auto"/>
        <w:left w:val="none" w:sz="0" w:space="0" w:color="auto"/>
        <w:bottom w:val="none" w:sz="0" w:space="0" w:color="auto"/>
        <w:right w:val="none" w:sz="0" w:space="0" w:color="auto"/>
      </w:divBdr>
    </w:div>
    <w:div w:id="582104819">
      <w:bodyDiv w:val="1"/>
      <w:marLeft w:val="0"/>
      <w:marRight w:val="0"/>
      <w:marTop w:val="0"/>
      <w:marBottom w:val="0"/>
      <w:divBdr>
        <w:top w:val="none" w:sz="0" w:space="0" w:color="auto"/>
        <w:left w:val="none" w:sz="0" w:space="0" w:color="auto"/>
        <w:bottom w:val="none" w:sz="0" w:space="0" w:color="auto"/>
        <w:right w:val="none" w:sz="0" w:space="0" w:color="auto"/>
      </w:divBdr>
    </w:div>
    <w:div w:id="604995065">
      <w:bodyDiv w:val="1"/>
      <w:marLeft w:val="0"/>
      <w:marRight w:val="0"/>
      <w:marTop w:val="0"/>
      <w:marBottom w:val="0"/>
      <w:divBdr>
        <w:top w:val="none" w:sz="0" w:space="0" w:color="auto"/>
        <w:left w:val="none" w:sz="0" w:space="0" w:color="auto"/>
        <w:bottom w:val="none" w:sz="0" w:space="0" w:color="auto"/>
        <w:right w:val="none" w:sz="0" w:space="0" w:color="auto"/>
      </w:divBdr>
    </w:div>
    <w:div w:id="611788655">
      <w:bodyDiv w:val="1"/>
      <w:marLeft w:val="0"/>
      <w:marRight w:val="0"/>
      <w:marTop w:val="0"/>
      <w:marBottom w:val="0"/>
      <w:divBdr>
        <w:top w:val="none" w:sz="0" w:space="0" w:color="auto"/>
        <w:left w:val="none" w:sz="0" w:space="0" w:color="auto"/>
        <w:bottom w:val="none" w:sz="0" w:space="0" w:color="auto"/>
        <w:right w:val="none" w:sz="0" w:space="0" w:color="auto"/>
      </w:divBdr>
    </w:div>
    <w:div w:id="620498968">
      <w:bodyDiv w:val="1"/>
      <w:marLeft w:val="0"/>
      <w:marRight w:val="0"/>
      <w:marTop w:val="0"/>
      <w:marBottom w:val="0"/>
      <w:divBdr>
        <w:top w:val="none" w:sz="0" w:space="0" w:color="auto"/>
        <w:left w:val="none" w:sz="0" w:space="0" w:color="auto"/>
        <w:bottom w:val="none" w:sz="0" w:space="0" w:color="auto"/>
        <w:right w:val="none" w:sz="0" w:space="0" w:color="auto"/>
      </w:divBdr>
    </w:div>
    <w:div w:id="674187181">
      <w:bodyDiv w:val="1"/>
      <w:marLeft w:val="0"/>
      <w:marRight w:val="0"/>
      <w:marTop w:val="0"/>
      <w:marBottom w:val="0"/>
      <w:divBdr>
        <w:top w:val="none" w:sz="0" w:space="0" w:color="auto"/>
        <w:left w:val="none" w:sz="0" w:space="0" w:color="auto"/>
        <w:bottom w:val="none" w:sz="0" w:space="0" w:color="auto"/>
        <w:right w:val="none" w:sz="0" w:space="0" w:color="auto"/>
      </w:divBdr>
    </w:div>
    <w:div w:id="675619276">
      <w:bodyDiv w:val="1"/>
      <w:marLeft w:val="0"/>
      <w:marRight w:val="0"/>
      <w:marTop w:val="0"/>
      <w:marBottom w:val="0"/>
      <w:divBdr>
        <w:top w:val="none" w:sz="0" w:space="0" w:color="auto"/>
        <w:left w:val="none" w:sz="0" w:space="0" w:color="auto"/>
        <w:bottom w:val="none" w:sz="0" w:space="0" w:color="auto"/>
        <w:right w:val="none" w:sz="0" w:space="0" w:color="auto"/>
      </w:divBdr>
    </w:div>
    <w:div w:id="680474032">
      <w:bodyDiv w:val="1"/>
      <w:marLeft w:val="0"/>
      <w:marRight w:val="0"/>
      <w:marTop w:val="0"/>
      <w:marBottom w:val="0"/>
      <w:divBdr>
        <w:top w:val="none" w:sz="0" w:space="0" w:color="auto"/>
        <w:left w:val="none" w:sz="0" w:space="0" w:color="auto"/>
        <w:bottom w:val="none" w:sz="0" w:space="0" w:color="auto"/>
        <w:right w:val="none" w:sz="0" w:space="0" w:color="auto"/>
      </w:divBdr>
    </w:div>
    <w:div w:id="696665835">
      <w:bodyDiv w:val="1"/>
      <w:marLeft w:val="0"/>
      <w:marRight w:val="0"/>
      <w:marTop w:val="0"/>
      <w:marBottom w:val="0"/>
      <w:divBdr>
        <w:top w:val="none" w:sz="0" w:space="0" w:color="auto"/>
        <w:left w:val="none" w:sz="0" w:space="0" w:color="auto"/>
        <w:bottom w:val="none" w:sz="0" w:space="0" w:color="auto"/>
        <w:right w:val="none" w:sz="0" w:space="0" w:color="auto"/>
      </w:divBdr>
      <w:divsChild>
        <w:div w:id="295987636">
          <w:marLeft w:val="0"/>
          <w:marRight w:val="0"/>
          <w:marTop w:val="0"/>
          <w:marBottom w:val="0"/>
          <w:divBdr>
            <w:top w:val="none" w:sz="0" w:space="0" w:color="auto"/>
            <w:left w:val="none" w:sz="0" w:space="0" w:color="auto"/>
            <w:bottom w:val="none" w:sz="0" w:space="0" w:color="auto"/>
            <w:right w:val="none" w:sz="0" w:space="0" w:color="auto"/>
          </w:divBdr>
        </w:div>
        <w:div w:id="1603226323">
          <w:marLeft w:val="0"/>
          <w:marRight w:val="0"/>
          <w:marTop w:val="0"/>
          <w:marBottom w:val="0"/>
          <w:divBdr>
            <w:top w:val="none" w:sz="0" w:space="0" w:color="auto"/>
            <w:left w:val="none" w:sz="0" w:space="0" w:color="auto"/>
            <w:bottom w:val="none" w:sz="0" w:space="0" w:color="auto"/>
            <w:right w:val="none" w:sz="0" w:space="0" w:color="auto"/>
          </w:divBdr>
        </w:div>
      </w:divsChild>
    </w:div>
    <w:div w:id="697899858">
      <w:bodyDiv w:val="1"/>
      <w:marLeft w:val="0"/>
      <w:marRight w:val="0"/>
      <w:marTop w:val="0"/>
      <w:marBottom w:val="0"/>
      <w:divBdr>
        <w:top w:val="none" w:sz="0" w:space="0" w:color="auto"/>
        <w:left w:val="none" w:sz="0" w:space="0" w:color="auto"/>
        <w:bottom w:val="none" w:sz="0" w:space="0" w:color="auto"/>
        <w:right w:val="none" w:sz="0" w:space="0" w:color="auto"/>
      </w:divBdr>
    </w:div>
    <w:div w:id="704675308">
      <w:bodyDiv w:val="1"/>
      <w:marLeft w:val="0"/>
      <w:marRight w:val="0"/>
      <w:marTop w:val="0"/>
      <w:marBottom w:val="0"/>
      <w:divBdr>
        <w:top w:val="none" w:sz="0" w:space="0" w:color="auto"/>
        <w:left w:val="none" w:sz="0" w:space="0" w:color="auto"/>
        <w:bottom w:val="none" w:sz="0" w:space="0" w:color="auto"/>
        <w:right w:val="none" w:sz="0" w:space="0" w:color="auto"/>
      </w:divBdr>
    </w:div>
    <w:div w:id="712271149">
      <w:bodyDiv w:val="1"/>
      <w:marLeft w:val="0"/>
      <w:marRight w:val="0"/>
      <w:marTop w:val="0"/>
      <w:marBottom w:val="0"/>
      <w:divBdr>
        <w:top w:val="none" w:sz="0" w:space="0" w:color="auto"/>
        <w:left w:val="none" w:sz="0" w:space="0" w:color="auto"/>
        <w:bottom w:val="none" w:sz="0" w:space="0" w:color="auto"/>
        <w:right w:val="none" w:sz="0" w:space="0" w:color="auto"/>
      </w:divBdr>
    </w:div>
    <w:div w:id="716204486">
      <w:bodyDiv w:val="1"/>
      <w:marLeft w:val="0"/>
      <w:marRight w:val="0"/>
      <w:marTop w:val="0"/>
      <w:marBottom w:val="0"/>
      <w:divBdr>
        <w:top w:val="none" w:sz="0" w:space="0" w:color="auto"/>
        <w:left w:val="none" w:sz="0" w:space="0" w:color="auto"/>
        <w:bottom w:val="none" w:sz="0" w:space="0" w:color="auto"/>
        <w:right w:val="none" w:sz="0" w:space="0" w:color="auto"/>
      </w:divBdr>
    </w:div>
    <w:div w:id="716272027">
      <w:bodyDiv w:val="1"/>
      <w:marLeft w:val="0"/>
      <w:marRight w:val="0"/>
      <w:marTop w:val="0"/>
      <w:marBottom w:val="0"/>
      <w:divBdr>
        <w:top w:val="none" w:sz="0" w:space="0" w:color="auto"/>
        <w:left w:val="none" w:sz="0" w:space="0" w:color="auto"/>
        <w:bottom w:val="none" w:sz="0" w:space="0" w:color="auto"/>
        <w:right w:val="none" w:sz="0" w:space="0" w:color="auto"/>
      </w:divBdr>
      <w:divsChild>
        <w:div w:id="1690832271">
          <w:marLeft w:val="0"/>
          <w:marRight w:val="0"/>
          <w:marTop w:val="0"/>
          <w:marBottom w:val="0"/>
          <w:divBdr>
            <w:top w:val="none" w:sz="0" w:space="0" w:color="auto"/>
            <w:left w:val="none" w:sz="0" w:space="0" w:color="auto"/>
            <w:bottom w:val="none" w:sz="0" w:space="0" w:color="auto"/>
            <w:right w:val="none" w:sz="0" w:space="0" w:color="auto"/>
          </w:divBdr>
        </w:div>
        <w:div w:id="977304476">
          <w:marLeft w:val="0"/>
          <w:marRight w:val="0"/>
          <w:marTop w:val="0"/>
          <w:marBottom w:val="0"/>
          <w:divBdr>
            <w:top w:val="none" w:sz="0" w:space="0" w:color="auto"/>
            <w:left w:val="none" w:sz="0" w:space="0" w:color="auto"/>
            <w:bottom w:val="none" w:sz="0" w:space="0" w:color="auto"/>
            <w:right w:val="none" w:sz="0" w:space="0" w:color="auto"/>
          </w:divBdr>
        </w:div>
      </w:divsChild>
    </w:div>
    <w:div w:id="719280246">
      <w:bodyDiv w:val="1"/>
      <w:marLeft w:val="0"/>
      <w:marRight w:val="0"/>
      <w:marTop w:val="0"/>
      <w:marBottom w:val="0"/>
      <w:divBdr>
        <w:top w:val="none" w:sz="0" w:space="0" w:color="auto"/>
        <w:left w:val="none" w:sz="0" w:space="0" w:color="auto"/>
        <w:bottom w:val="none" w:sz="0" w:space="0" w:color="auto"/>
        <w:right w:val="none" w:sz="0" w:space="0" w:color="auto"/>
      </w:divBdr>
    </w:div>
    <w:div w:id="719406330">
      <w:bodyDiv w:val="1"/>
      <w:marLeft w:val="0"/>
      <w:marRight w:val="0"/>
      <w:marTop w:val="0"/>
      <w:marBottom w:val="0"/>
      <w:divBdr>
        <w:top w:val="none" w:sz="0" w:space="0" w:color="auto"/>
        <w:left w:val="none" w:sz="0" w:space="0" w:color="auto"/>
        <w:bottom w:val="none" w:sz="0" w:space="0" w:color="auto"/>
        <w:right w:val="none" w:sz="0" w:space="0" w:color="auto"/>
      </w:divBdr>
    </w:div>
    <w:div w:id="759761327">
      <w:bodyDiv w:val="1"/>
      <w:marLeft w:val="0"/>
      <w:marRight w:val="0"/>
      <w:marTop w:val="0"/>
      <w:marBottom w:val="0"/>
      <w:divBdr>
        <w:top w:val="none" w:sz="0" w:space="0" w:color="auto"/>
        <w:left w:val="none" w:sz="0" w:space="0" w:color="auto"/>
        <w:bottom w:val="none" w:sz="0" w:space="0" w:color="auto"/>
        <w:right w:val="none" w:sz="0" w:space="0" w:color="auto"/>
      </w:divBdr>
    </w:div>
    <w:div w:id="760028632">
      <w:bodyDiv w:val="1"/>
      <w:marLeft w:val="0"/>
      <w:marRight w:val="0"/>
      <w:marTop w:val="0"/>
      <w:marBottom w:val="0"/>
      <w:divBdr>
        <w:top w:val="none" w:sz="0" w:space="0" w:color="auto"/>
        <w:left w:val="none" w:sz="0" w:space="0" w:color="auto"/>
        <w:bottom w:val="none" w:sz="0" w:space="0" w:color="auto"/>
        <w:right w:val="none" w:sz="0" w:space="0" w:color="auto"/>
      </w:divBdr>
    </w:div>
    <w:div w:id="765462299">
      <w:bodyDiv w:val="1"/>
      <w:marLeft w:val="0"/>
      <w:marRight w:val="0"/>
      <w:marTop w:val="0"/>
      <w:marBottom w:val="0"/>
      <w:divBdr>
        <w:top w:val="none" w:sz="0" w:space="0" w:color="auto"/>
        <w:left w:val="none" w:sz="0" w:space="0" w:color="auto"/>
        <w:bottom w:val="none" w:sz="0" w:space="0" w:color="auto"/>
        <w:right w:val="none" w:sz="0" w:space="0" w:color="auto"/>
      </w:divBdr>
    </w:div>
    <w:div w:id="779682326">
      <w:bodyDiv w:val="1"/>
      <w:marLeft w:val="0"/>
      <w:marRight w:val="0"/>
      <w:marTop w:val="0"/>
      <w:marBottom w:val="0"/>
      <w:divBdr>
        <w:top w:val="none" w:sz="0" w:space="0" w:color="auto"/>
        <w:left w:val="none" w:sz="0" w:space="0" w:color="auto"/>
        <w:bottom w:val="none" w:sz="0" w:space="0" w:color="auto"/>
        <w:right w:val="none" w:sz="0" w:space="0" w:color="auto"/>
      </w:divBdr>
    </w:div>
    <w:div w:id="800423728">
      <w:bodyDiv w:val="1"/>
      <w:marLeft w:val="0"/>
      <w:marRight w:val="0"/>
      <w:marTop w:val="0"/>
      <w:marBottom w:val="0"/>
      <w:divBdr>
        <w:top w:val="none" w:sz="0" w:space="0" w:color="auto"/>
        <w:left w:val="none" w:sz="0" w:space="0" w:color="auto"/>
        <w:bottom w:val="none" w:sz="0" w:space="0" w:color="auto"/>
        <w:right w:val="none" w:sz="0" w:space="0" w:color="auto"/>
      </w:divBdr>
    </w:div>
    <w:div w:id="801927507">
      <w:bodyDiv w:val="1"/>
      <w:marLeft w:val="0"/>
      <w:marRight w:val="0"/>
      <w:marTop w:val="0"/>
      <w:marBottom w:val="0"/>
      <w:divBdr>
        <w:top w:val="none" w:sz="0" w:space="0" w:color="auto"/>
        <w:left w:val="none" w:sz="0" w:space="0" w:color="auto"/>
        <w:bottom w:val="none" w:sz="0" w:space="0" w:color="auto"/>
        <w:right w:val="none" w:sz="0" w:space="0" w:color="auto"/>
      </w:divBdr>
    </w:div>
    <w:div w:id="816336213">
      <w:bodyDiv w:val="1"/>
      <w:marLeft w:val="0"/>
      <w:marRight w:val="0"/>
      <w:marTop w:val="0"/>
      <w:marBottom w:val="0"/>
      <w:divBdr>
        <w:top w:val="none" w:sz="0" w:space="0" w:color="auto"/>
        <w:left w:val="none" w:sz="0" w:space="0" w:color="auto"/>
        <w:bottom w:val="none" w:sz="0" w:space="0" w:color="auto"/>
        <w:right w:val="none" w:sz="0" w:space="0" w:color="auto"/>
      </w:divBdr>
    </w:div>
    <w:div w:id="836502462">
      <w:bodyDiv w:val="1"/>
      <w:marLeft w:val="0"/>
      <w:marRight w:val="0"/>
      <w:marTop w:val="0"/>
      <w:marBottom w:val="0"/>
      <w:divBdr>
        <w:top w:val="none" w:sz="0" w:space="0" w:color="auto"/>
        <w:left w:val="none" w:sz="0" w:space="0" w:color="auto"/>
        <w:bottom w:val="none" w:sz="0" w:space="0" w:color="auto"/>
        <w:right w:val="none" w:sz="0" w:space="0" w:color="auto"/>
      </w:divBdr>
    </w:div>
    <w:div w:id="849176592">
      <w:bodyDiv w:val="1"/>
      <w:marLeft w:val="0"/>
      <w:marRight w:val="0"/>
      <w:marTop w:val="0"/>
      <w:marBottom w:val="0"/>
      <w:divBdr>
        <w:top w:val="none" w:sz="0" w:space="0" w:color="auto"/>
        <w:left w:val="none" w:sz="0" w:space="0" w:color="auto"/>
        <w:bottom w:val="none" w:sz="0" w:space="0" w:color="auto"/>
        <w:right w:val="none" w:sz="0" w:space="0" w:color="auto"/>
      </w:divBdr>
    </w:div>
    <w:div w:id="863979349">
      <w:bodyDiv w:val="1"/>
      <w:marLeft w:val="0"/>
      <w:marRight w:val="0"/>
      <w:marTop w:val="0"/>
      <w:marBottom w:val="0"/>
      <w:divBdr>
        <w:top w:val="none" w:sz="0" w:space="0" w:color="auto"/>
        <w:left w:val="none" w:sz="0" w:space="0" w:color="auto"/>
        <w:bottom w:val="none" w:sz="0" w:space="0" w:color="auto"/>
        <w:right w:val="none" w:sz="0" w:space="0" w:color="auto"/>
      </w:divBdr>
    </w:div>
    <w:div w:id="865752686">
      <w:bodyDiv w:val="1"/>
      <w:marLeft w:val="0"/>
      <w:marRight w:val="0"/>
      <w:marTop w:val="0"/>
      <w:marBottom w:val="0"/>
      <w:divBdr>
        <w:top w:val="none" w:sz="0" w:space="0" w:color="auto"/>
        <w:left w:val="none" w:sz="0" w:space="0" w:color="auto"/>
        <w:bottom w:val="none" w:sz="0" w:space="0" w:color="auto"/>
        <w:right w:val="none" w:sz="0" w:space="0" w:color="auto"/>
      </w:divBdr>
    </w:div>
    <w:div w:id="896404490">
      <w:bodyDiv w:val="1"/>
      <w:marLeft w:val="0"/>
      <w:marRight w:val="0"/>
      <w:marTop w:val="0"/>
      <w:marBottom w:val="0"/>
      <w:divBdr>
        <w:top w:val="none" w:sz="0" w:space="0" w:color="auto"/>
        <w:left w:val="none" w:sz="0" w:space="0" w:color="auto"/>
        <w:bottom w:val="none" w:sz="0" w:space="0" w:color="auto"/>
        <w:right w:val="none" w:sz="0" w:space="0" w:color="auto"/>
      </w:divBdr>
    </w:div>
    <w:div w:id="899285552">
      <w:bodyDiv w:val="1"/>
      <w:marLeft w:val="0"/>
      <w:marRight w:val="0"/>
      <w:marTop w:val="0"/>
      <w:marBottom w:val="0"/>
      <w:divBdr>
        <w:top w:val="none" w:sz="0" w:space="0" w:color="auto"/>
        <w:left w:val="none" w:sz="0" w:space="0" w:color="auto"/>
        <w:bottom w:val="none" w:sz="0" w:space="0" w:color="auto"/>
        <w:right w:val="none" w:sz="0" w:space="0" w:color="auto"/>
      </w:divBdr>
    </w:div>
    <w:div w:id="90669404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3519060">
      <w:bodyDiv w:val="1"/>
      <w:marLeft w:val="0"/>
      <w:marRight w:val="0"/>
      <w:marTop w:val="0"/>
      <w:marBottom w:val="0"/>
      <w:divBdr>
        <w:top w:val="none" w:sz="0" w:space="0" w:color="auto"/>
        <w:left w:val="none" w:sz="0" w:space="0" w:color="auto"/>
        <w:bottom w:val="none" w:sz="0" w:space="0" w:color="auto"/>
        <w:right w:val="none" w:sz="0" w:space="0" w:color="auto"/>
      </w:divBdr>
    </w:div>
    <w:div w:id="942298510">
      <w:bodyDiv w:val="1"/>
      <w:marLeft w:val="0"/>
      <w:marRight w:val="0"/>
      <w:marTop w:val="0"/>
      <w:marBottom w:val="0"/>
      <w:divBdr>
        <w:top w:val="none" w:sz="0" w:space="0" w:color="auto"/>
        <w:left w:val="none" w:sz="0" w:space="0" w:color="auto"/>
        <w:bottom w:val="none" w:sz="0" w:space="0" w:color="auto"/>
        <w:right w:val="none" w:sz="0" w:space="0" w:color="auto"/>
      </w:divBdr>
    </w:div>
    <w:div w:id="964653579">
      <w:bodyDiv w:val="1"/>
      <w:marLeft w:val="0"/>
      <w:marRight w:val="0"/>
      <w:marTop w:val="0"/>
      <w:marBottom w:val="0"/>
      <w:divBdr>
        <w:top w:val="none" w:sz="0" w:space="0" w:color="auto"/>
        <w:left w:val="none" w:sz="0" w:space="0" w:color="auto"/>
        <w:bottom w:val="none" w:sz="0" w:space="0" w:color="auto"/>
        <w:right w:val="none" w:sz="0" w:space="0" w:color="auto"/>
      </w:divBdr>
    </w:div>
    <w:div w:id="982538123">
      <w:bodyDiv w:val="1"/>
      <w:marLeft w:val="0"/>
      <w:marRight w:val="0"/>
      <w:marTop w:val="0"/>
      <w:marBottom w:val="0"/>
      <w:divBdr>
        <w:top w:val="none" w:sz="0" w:space="0" w:color="auto"/>
        <w:left w:val="none" w:sz="0" w:space="0" w:color="auto"/>
        <w:bottom w:val="none" w:sz="0" w:space="0" w:color="auto"/>
        <w:right w:val="none" w:sz="0" w:space="0" w:color="auto"/>
      </w:divBdr>
    </w:div>
    <w:div w:id="1003162508">
      <w:bodyDiv w:val="1"/>
      <w:marLeft w:val="0"/>
      <w:marRight w:val="0"/>
      <w:marTop w:val="0"/>
      <w:marBottom w:val="0"/>
      <w:divBdr>
        <w:top w:val="none" w:sz="0" w:space="0" w:color="auto"/>
        <w:left w:val="none" w:sz="0" w:space="0" w:color="auto"/>
        <w:bottom w:val="none" w:sz="0" w:space="0" w:color="auto"/>
        <w:right w:val="none" w:sz="0" w:space="0" w:color="auto"/>
      </w:divBdr>
    </w:div>
    <w:div w:id="1013073231">
      <w:bodyDiv w:val="1"/>
      <w:marLeft w:val="0"/>
      <w:marRight w:val="0"/>
      <w:marTop w:val="0"/>
      <w:marBottom w:val="0"/>
      <w:divBdr>
        <w:top w:val="none" w:sz="0" w:space="0" w:color="auto"/>
        <w:left w:val="none" w:sz="0" w:space="0" w:color="auto"/>
        <w:bottom w:val="none" w:sz="0" w:space="0" w:color="auto"/>
        <w:right w:val="none" w:sz="0" w:space="0" w:color="auto"/>
      </w:divBdr>
    </w:div>
    <w:div w:id="1022973537">
      <w:bodyDiv w:val="1"/>
      <w:marLeft w:val="0"/>
      <w:marRight w:val="0"/>
      <w:marTop w:val="0"/>
      <w:marBottom w:val="0"/>
      <w:divBdr>
        <w:top w:val="none" w:sz="0" w:space="0" w:color="auto"/>
        <w:left w:val="none" w:sz="0" w:space="0" w:color="auto"/>
        <w:bottom w:val="none" w:sz="0" w:space="0" w:color="auto"/>
        <w:right w:val="none" w:sz="0" w:space="0" w:color="auto"/>
      </w:divBdr>
    </w:div>
    <w:div w:id="1043872680">
      <w:bodyDiv w:val="1"/>
      <w:marLeft w:val="0"/>
      <w:marRight w:val="0"/>
      <w:marTop w:val="0"/>
      <w:marBottom w:val="0"/>
      <w:divBdr>
        <w:top w:val="none" w:sz="0" w:space="0" w:color="auto"/>
        <w:left w:val="none" w:sz="0" w:space="0" w:color="auto"/>
        <w:bottom w:val="none" w:sz="0" w:space="0" w:color="auto"/>
        <w:right w:val="none" w:sz="0" w:space="0" w:color="auto"/>
      </w:divBdr>
    </w:div>
    <w:div w:id="1044715576">
      <w:bodyDiv w:val="1"/>
      <w:marLeft w:val="0"/>
      <w:marRight w:val="0"/>
      <w:marTop w:val="0"/>
      <w:marBottom w:val="0"/>
      <w:divBdr>
        <w:top w:val="none" w:sz="0" w:space="0" w:color="auto"/>
        <w:left w:val="none" w:sz="0" w:space="0" w:color="auto"/>
        <w:bottom w:val="none" w:sz="0" w:space="0" w:color="auto"/>
        <w:right w:val="none" w:sz="0" w:space="0" w:color="auto"/>
      </w:divBdr>
    </w:div>
    <w:div w:id="1046300475">
      <w:bodyDiv w:val="1"/>
      <w:marLeft w:val="0"/>
      <w:marRight w:val="0"/>
      <w:marTop w:val="0"/>
      <w:marBottom w:val="0"/>
      <w:divBdr>
        <w:top w:val="none" w:sz="0" w:space="0" w:color="auto"/>
        <w:left w:val="none" w:sz="0" w:space="0" w:color="auto"/>
        <w:bottom w:val="none" w:sz="0" w:space="0" w:color="auto"/>
        <w:right w:val="none" w:sz="0" w:space="0" w:color="auto"/>
      </w:divBdr>
    </w:div>
    <w:div w:id="1061440447">
      <w:bodyDiv w:val="1"/>
      <w:marLeft w:val="0"/>
      <w:marRight w:val="0"/>
      <w:marTop w:val="0"/>
      <w:marBottom w:val="0"/>
      <w:divBdr>
        <w:top w:val="none" w:sz="0" w:space="0" w:color="auto"/>
        <w:left w:val="none" w:sz="0" w:space="0" w:color="auto"/>
        <w:bottom w:val="none" w:sz="0" w:space="0" w:color="auto"/>
        <w:right w:val="none" w:sz="0" w:space="0" w:color="auto"/>
      </w:divBdr>
    </w:div>
    <w:div w:id="1088772675">
      <w:bodyDiv w:val="1"/>
      <w:marLeft w:val="0"/>
      <w:marRight w:val="0"/>
      <w:marTop w:val="0"/>
      <w:marBottom w:val="0"/>
      <w:divBdr>
        <w:top w:val="none" w:sz="0" w:space="0" w:color="auto"/>
        <w:left w:val="none" w:sz="0" w:space="0" w:color="auto"/>
        <w:bottom w:val="none" w:sz="0" w:space="0" w:color="auto"/>
        <w:right w:val="none" w:sz="0" w:space="0" w:color="auto"/>
      </w:divBdr>
    </w:div>
    <w:div w:id="1091781581">
      <w:bodyDiv w:val="1"/>
      <w:marLeft w:val="0"/>
      <w:marRight w:val="0"/>
      <w:marTop w:val="0"/>
      <w:marBottom w:val="0"/>
      <w:divBdr>
        <w:top w:val="none" w:sz="0" w:space="0" w:color="auto"/>
        <w:left w:val="none" w:sz="0" w:space="0" w:color="auto"/>
        <w:bottom w:val="none" w:sz="0" w:space="0" w:color="auto"/>
        <w:right w:val="none" w:sz="0" w:space="0" w:color="auto"/>
      </w:divBdr>
    </w:div>
    <w:div w:id="1099914736">
      <w:bodyDiv w:val="1"/>
      <w:marLeft w:val="0"/>
      <w:marRight w:val="0"/>
      <w:marTop w:val="0"/>
      <w:marBottom w:val="0"/>
      <w:divBdr>
        <w:top w:val="none" w:sz="0" w:space="0" w:color="auto"/>
        <w:left w:val="none" w:sz="0" w:space="0" w:color="auto"/>
        <w:bottom w:val="none" w:sz="0" w:space="0" w:color="auto"/>
        <w:right w:val="none" w:sz="0" w:space="0" w:color="auto"/>
      </w:divBdr>
    </w:div>
    <w:div w:id="1102721390">
      <w:bodyDiv w:val="1"/>
      <w:marLeft w:val="0"/>
      <w:marRight w:val="0"/>
      <w:marTop w:val="0"/>
      <w:marBottom w:val="0"/>
      <w:divBdr>
        <w:top w:val="none" w:sz="0" w:space="0" w:color="auto"/>
        <w:left w:val="none" w:sz="0" w:space="0" w:color="auto"/>
        <w:bottom w:val="none" w:sz="0" w:space="0" w:color="auto"/>
        <w:right w:val="none" w:sz="0" w:space="0" w:color="auto"/>
      </w:divBdr>
    </w:div>
    <w:div w:id="1125074479">
      <w:bodyDiv w:val="1"/>
      <w:marLeft w:val="0"/>
      <w:marRight w:val="0"/>
      <w:marTop w:val="0"/>
      <w:marBottom w:val="0"/>
      <w:divBdr>
        <w:top w:val="none" w:sz="0" w:space="0" w:color="auto"/>
        <w:left w:val="none" w:sz="0" w:space="0" w:color="auto"/>
        <w:bottom w:val="none" w:sz="0" w:space="0" w:color="auto"/>
        <w:right w:val="none" w:sz="0" w:space="0" w:color="auto"/>
      </w:divBdr>
    </w:div>
    <w:div w:id="1138689977">
      <w:bodyDiv w:val="1"/>
      <w:marLeft w:val="0"/>
      <w:marRight w:val="0"/>
      <w:marTop w:val="0"/>
      <w:marBottom w:val="0"/>
      <w:divBdr>
        <w:top w:val="none" w:sz="0" w:space="0" w:color="auto"/>
        <w:left w:val="none" w:sz="0" w:space="0" w:color="auto"/>
        <w:bottom w:val="none" w:sz="0" w:space="0" w:color="auto"/>
        <w:right w:val="none" w:sz="0" w:space="0" w:color="auto"/>
      </w:divBdr>
    </w:div>
    <w:div w:id="1144616645">
      <w:bodyDiv w:val="1"/>
      <w:marLeft w:val="0"/>
      <w:marRight w:val="0"/>
      <w:marTop w:val="0"/>
      <w:marBottom w:val="0"/>
      <w:divBdr>
        <w:top w:val="none" w:sz="0" w:space="0" w:color="auto"/>
        <w:left w:val="none" w:sz="0" w:space="0" w:color="auto"/>
        <w:bottom w:val="none" w:sz="0" w:space="0" w:color="auto"/>
        <w:right w:val="none" w:sz="0" w:space="0" w:color="auto"/>
      </w:divBdr>
    </w:div>
    <w:div w:id="1156142915">
      <w:bodyDiv w:val="1"/>
      <w:marLeft w:val="0"/>
      <w:marRight w:val="0"/>
      <w:marTop w:val="0"/>
      <w:marBottom w:val="0"/>
      <w:divBdr>
        <w:top w:val="none" w:sz="0" w:space="0" w:color="auto"/>
        <w:left w:val="none" w:sz="0" w:space="0" w:color="auto"/>
        <w:bottom w:val="none" w:sz="0" w:space="0" w:color="auto"/>
        <w:right w:val="none" w:sz="0" w:space="0" w:color="auto"/>
      </w:divBdr>
    </w:div>
    <w:div w:id="1182008331">
      <w:bodyDiv w:val="1"/>
      <w:marLeft w:val="0"/>
      <w:marRight w:val="0"/>
      <w:marTop w:val="0"/>
      <w:marBottom w:val="0"/>
      <w:divBdr>
        <w:top w:val="none" w:sz="0" w:space="0" w:color="auto"/>
        <w:left w:val="none" w:sz="0" w:space="0" w:color="auto"/>
        <w:bottom w:val="none" w:sz="0" w:space="0" w:color="auto"/>
        <w:right w:val="none" w:sz="0" w:space="0" w:color="auto"/>
      </w:divBdr>
    </w:div>
    <w:div w:id="1191802255">
      <w:bodyDiv w:val="1"/>
      <w:marLeft w:val="0"/>
      <w:marRight w:val="0"/>
      <w:marTop w:val="0"/>
      <w:marBottom w:val="0"/>
      <w:divBdr>
        <w:top w:val="none" w:sz="0" w:space="0" w:color="auto"/>
        <w:left w:val="none" w:sz="0" w:space="0" w:color="auto"/>
        <w:bottom w:val="none" w:sz="0" w:space="0" w:color="auto"/>
        <w:right w:val="none" w:sz="0" w:space="0" w:color="auto"/>
      </w:divBdr>
    </w:div>
    <w:div w:id="1253974745">
      <w:bodyDiv w:val="1"/>
      <w:marLeft w:val="0"/>
      <w:marRight w:val="0"/>
      <w:marTop w:val="0"/>
      <w:marBottom w:val="0"/>
      <w:divBdr>
        <w:top w:val="none" w:sz="0" w:space="0" w:color="auto"/>
        <w:left w:val="none" w:sz="0" w:space="0" w:color="auto"/>
        <w:bottom w:val="none" w:sz="0" w:space="0" w:color="auto"/>
        <w:right w:val="none" w:sz="0" w:space="0" w:color="auto"/>
      </w:divBdr>
    </w:div>
    <w:div w:id="1263302413">
      <w:bodyDiv w:val="1"/>
      <w:marLeft w:val="0"/>
      <w:marRight w:val="0"/>
      <w:marTop w:val="0"/>
      <w:marBottom w:val="0"/>
      <w:divBdr>
        <w:top w:val="none" w:sz="0" w:space="0" w:color="auto"/>
        <w:left w:val="none" w:sz="0" w:space="0" w:color="auto"/>
        <w:bottom w:val="none" w:sz="0" w:space="0" w:color="auto"/>
        <w:right w:val="none" w:sz="0" w:space="0" w:color="auto"/>
      </w:divBdr>
    </w:div>
    <w:div w:id="1265726704">
      <w:bodyDiv w:val="1"/>
      <w:marLeft w:val="0"/>
      <w:marRight w:val="0"/>
      <w:marTop w:val="0"/>
      <w:marBottom w:val="0"/>
      <w:divBdr>
        <w:top w:val="none" w:sz="0" w:space="0" w:color="auto"/>
        <w:left w:val="none" w:sz="0" w:space="0" w:color="auto"/>
        <w:bottom w:val="none" w:sz="0" w:space="0" w:color="auto"/>
        <w:right w:val="none" w:sz="0" w:space="0" w:color="auto"/>
      </w:divBdr>
    </w:div>
    <w:div w:id="1282567772">
      <w:bodyDiv w:val="1"/>
      <w:marLeft w:val="0"/>
      <w:marRight w:val="0"/>
      <w:marTop w:val="0"/>
      <w:marBottom w:val="0"/>
      <w:divBdr>
        <w:top w:val="none" w:sz="0" w:space="0" w:color="auto"/>
        <w:left w:val="none" w:sz="0" w:space="0" w:color="auto"/>
        <w:bottom w:val="none" w:sz="0" w:space="0" w:color="auto"/>
        <w:right w:val="none" w:sz="0" w:space="0" w:color="auto"/>
      </w:divBdr>
    </w:div>
    <w:div w:id="1299455010">
      <w:bodyDiv w:val="1"/>
      <w:marLeft w:val="0"/>
      <w:marRight w:val="0"/>
      <w:marTop w:val="0"/>
      <w:marBottom w:val="0"/>
      <w:divBdr>
        <w:top w:val="none" w:sz="0" w:space="0" w:color="auto"/>
        <w:left w:val="none" w:sz="0" w:space="0" w:color="auto"/>
        <w:bottom w:val="none" w:sz="0" w:space="0" w:color="auto"/>
        <w:right w:val="none" w:sz="0" w:space="0" w:color="auto"/>
      </w:divBdr>
    </w:div>
    <w:div w:id="1327829435">
      <w:bodyDiv w:val="1"/>
      <w:marLeft w:val="0"/>
      <w:marRight w:val="0"/>
      <w:marTop w:val="0"/>
      <w:marBottom w:val="0"/>
      <w:divBdr>
        <w:top w:val="none" w:sz="0" w:space="0" w:color="auto"/>
        <w:left w:val="none" w:sz="0" w:space="0" w:color="auto"/>
        <w:bottom w:val="none" w:sz="0" w:space="0" w:color="auto"/>
        <w:right w:val="none" w:sz="0" w:space="0" w:color="auto"/>
      </w:divBdr>
    </w:div>
    <w:div w:id="1328288544">
      <w:bodyDiv w:val="1"/>
      <w:marLeft w:val="0"/>
      <w:marRight w:val="0"/>
      <w:marTop w:val="0"/>
      <w:marBottom w:val="0"/>
      <w:divBdr>
        <w:top w:val="none" w:sz="0" w:space="0" w:color="auto"/>
        <w:left w:val="none" w:sz="0" w:space="0" w:color="auto"/>
        <w:bottom w:val="none" w:sz="0" w:space="0" w:color="auto"/>
        <w:right w:val="none" w:sz="0" w:space="0" w:color="auto"/>
      </w:divBdr>
    </w:div>
    <w:div w:id="1346176011">
      <w:bodyDiv w:val="1"/>
      <w:marLeft w:val="0"/>
      <w:marRight w:val="0"/>
      <w:marTop w:val="0"/>
      <w:marBottom w:val="0"/>
      <w:divBdr>
        <w:top w:val="none" w:sz="0" w:space="0" w:color="auto"/>
        <w:left w:val="none" w:sz="0" w:space="0" w:color="auto"/>
        <w:bottom w:val="none" w:sz="0" w:space="0" w:color="auto"/>
        <w:right w:val="none" w:sz="0" w:space="0" w:color="auto"/>
      </w:divBdr>
    </w:div>
    <w:div w:id="1353187542">
      <w:bodyDiv w:val="1"/>
      <w:marLeft w:val="0"/>
      <w:marRight w:val="0"/>
      <w:marTop w:val="0"/>
      <w:marBottom w:val="0"/>
      <w:divBdr>
        <w:top w:val="none" w:sz="0" w:space="0" w:color="auto"/>
        <w:left w:val="none" w:sz="0" w:space="0" w:color="auto"/>
        <w:bottom w:val="none" w:sz="0" w:space="0" w:color="auto"/>
        <w:right w:val="none" w:sz="0" w:space="0" w:color="auto"/>
      </w:divBdr>
    </w:div>
    <w:div w:id="1363894670">
      <w:bodyDiv w:val="1"/>
      <w:marLeft w:val="0"/>
      <w:marRight w:val="0"/>
      <w:marTop w:val="0"/>
      <w:marBottom w:val="0"/>
      <w:divBdr>
        <w:top w:val="none" w:sz="0" w:space="0" w:color="auto"/>
        <w:left w:val="none" w:sz="0" w:space="0" w:color="auto"/>
        <w:bottom w:val="none" w:sz="0" w:space="0" w:color="auto"/>
        <w:right w:val="none" w:sz="0" w:space="0" w:color="auto"/>
      </w:divBdr>
    </w:div>
    <w:div w:id="1364480514">
      <w:bodyDiv w:val="1"/>
      <w:marLeft w:val="0"/>
      <w:marRight w:val="0"/>
      <w:marTop w:val="0"/>
      <w:marBottom w:val="0"/>
      <w:divBdr>
        <w:top w:val="none" w:sz="0" w:space="0" w:color="auto"/>
        <w:left w:val="none" w:sz="0" w:space="0" w:color="auto"/>
        <w:bottom w:val="none" w:sz="0" w:space="0" w:color="auto"/>
        <w:right w:val="none" w:sz="0" w:space="0" w:color="auto"/>
      </w:divBdr>
    </w:div>
    <w:div w:id="1382166300">
      <w:bodyDiv w:val="1"/>
      <w:marLeft w:val="0"/>
      <w:marRight w:val="0"/>
      <w:marTop w:val="0"/>
      <w:marBottom w:val="0"/>
      <w:divBdr>
        <w:top w:val="none" w:sz="0" w:space="0" w:color="auto"/>
        <w:left w:val="none" w:sz="0" w:space="0" w:color="auto"/>
        <w:bottom w:val="none" w:sz="0" w:space="0" w:color="auto"/>
        <w:right w:val="none" w:sz="0" w:space="0" w:color="auto"/>
      </w:divBdr>
    </w:div>
    <w:div w:id="1389450994">
      <w:bodyDiv w:val="1"/>
      <w:marLeft w:val="0"/>
      <w:marRight w:val="0"/>
      <w:marTop w:val="0"/>
      <w:marBottom w:val="0"/>
      <w:divBdr>
        <w:top w:val="none" w:sz="0" w:space="0" w:color="auto"/>
        <w:left w:val="none" w:sz="0" w:space="0" w:color="auto"/>
        <w:bottom w:val="none" w:sz="0" w:space="0" w:color="auto"/>
        <w:right w:val="none" w:sz="0" w:space="0" w:color="auto"/>
      </w:divBdr>
    </w:div>
    <w:div w:id="1401292702">
      <w:bodyDiv w:val="1"/>
      <w:marLeft w:val="0"/>
      <w:marRight w:val="0"/>
      <w:marTop w:val="0"/>
      <w:marBottom w:val="0"/>
      <w:divBdr>
        <w:top w:val="none" w:sz="0" w:space="0" w:color="auto"/>
        <w:left w:val="none" w:sz="0" w:space="0" w:color="auto"/>
        <w:bottom w:val="none" w:sz="0" w:space="0" w:color="auto"/>
        <w:right w:val="none" w:sz="0" w:space="0" w:color="auto"/>
      </w:divBdr>
      <w:divsChild>
        <w:div w:id="577442944">
          <w:marLeft w:val="0"/>
          <w:marRight w:val="0"/>
          <w:marTop w:val="0"/>
          <w:marBottom w:val="0"/>
          <w:divBdr>
            <w:top w:val="none" w:sz="0" w:space="0" w:color="auto"/>
            <w:left w:val="none" w:sz="0" w:space="0" w:color="auto"/>
            <w:bottom w:val="none" w:sz="0" w:space="0" w:color="auto"/>
            <w:right w:val="none" w:sz="0" w:space="0" w:color="auto"/>
          </w:divBdr>
        </w:div>
        <w:div w:id="1940865764">
          <w:marLeft w:val="0"/>
          <w:marRight w:val="0"/>
          <w:marTop w:val="0"/>
          <w:marBottom w:val="0"/>
          <w:divBdr>
            <w:top w:val="none" w:sz="0" w:space="0" w:color="auto"/>
            <w:left w:val="none" w:sz="0" w:space="0" w:color="auto"/>
            <w:bottom w:val="none" w:sz="0" w:space="0" w:color="auto"/>
            <w:right w:val="none" w:sz="0" w:space="0" w:color="auto"/>
          </w:divBdr>
        </w:div>
      </w:divsChild>
    </w:div>
    <w:div w:id="1405177046">
      <w:bodyDiv w:val="1"/>
      <w:marLeft w:val="0"/>
      <w:marRight w:val="0"/>
      <w:marTop w:val="0"/>
      <w:marBottom w:val="0"/>
      <w:divBdr>
        <w:top w:val="none" w:sz="0" w:space="0" w:color="auto"/>
        <w:left w:val="none" w:sz="0" w:space="0" w:color="auto"/>
        <w:bottom w:val="none" w:sz="0" w:space="0" w:color="auto"/>
        <w:right w:val="none" w:sz="0" w:space="0" w:color="auto"/>
      </w:divBdr>
    </w:div>
    <w:div w:id="1423258630">
      <w:bodyDiv w:val="1"/>
      <w:marLeft w:val="0"/>
      <w:marRight w:val="0"/>
      <w:marTop w:val="0"/>
      <w:marBottom w:val="0"/>
      <w:divBdr>
        <w:top w:val="none" w:sz="0" w:space="0" w:color="auto"/>
        <w:left w:val="none" w:sz="0" w:space="0" w:color="auto"/>
        <w:bottom w:val="none" w:sz="0" w:space="0" w:color="auto"/>
        <w:right w:val="none" w:sz="0" w:space="0" w:color="auto"/>
      </w:divBdr>
    </w:div>
    <w:div w:id="1435130515">
      <w:bodyDiv w:val="1"/>
      <w:marLeft w:val="0"/>
      <w:marRight w:val="0"/>
      <w:marTop w:val="0"/>
      <w:marBottom w:val="0"/>
      <w:divBdr>
        <w:top w:val="none" w:sz="0" w:space="0" w:color="auto"/>
        <w:left w:val="none" w:sz="0" w:space="0" w:color="auto"/>
        <w:bottom w:val="none" w:sz="0" w:space="0" w:color="auto"/>
        <w:right w:val="none" w:sz="0" w:space="0" w:color="auto"/>
      </w:divBdr>
    </w:div>
    <w:div w:id="1451587172">
      <w:bodyDiv w:val="1"/>
      <w:marLeft w:val="0"/>
      <w:marRight w:val="0"/>
      <w:marTop w:val="0"/>
      <w:marBottom w:val="0"/>
      <w:divBdr>
        <w:top w:val="none" w:sz="0" w:space="0" w:color="auto"/>
        <w:left w:val="none" w:sz="0" w:space="0" w:color="auto"/>
        <w:bottom w:val="none" w:sz="0" w:space="0" w:color="auto"/>
        <w:right w:val="none" w:sz="0" w:space="0" w:color="auto"/>
      </w:divBdr>
      <w:divsChild>
        <w:div w:id="1460145710">
          <w:marLeft w:val="0"/>
          <w:marRight w:val="0"/>
          <w:marTop w:val="0"/>
          <w:marBottom w:val="0"/>
          <w:divBdr>
            <w:top w:val="none" w:sz="0" w:space="0" w:color="auto"/>
            <w:left w:val="none" w:sz="0" w:space="0" w:color="auto"/>
            <w:bottom w:val="none" w:sz="0" w:space="0" w:color="auto"/>
            <w:right w:val="none" w:sz="0" w:space="0" w:color="auto"/>
          </w:divBdr>
        </w:div>
        <w:div w:id="211574042">
          <w:marLeft w:val="0"/>
          <w:marRight w:val="0"/>
          <w:marTop w:val="0"/>
          <w:marBottom w:val="0"/>
          <w:divBdr>
            <w:top w:val="none" w:sz="0" w:space="0" w:color="auto"/>
            <w:left w:val="none" w:sz="0" w:space="0" w:color="auto"/>
            <w:bottom w:val="none" w:sz="0" w:space="0" w:color="auto"/>
            <w:right w:val="none" w:sz="0" w:space="0" w:color="auto"/>
          </w:divBdr>
        </w:div>
        <w:div w:id="1637032194">
          <w:marLeft w:val="0"/>
          <w:marRight w:val="0"/>
          <w:marTop w:val="0"/>
          <w:marBottom w:val="0"/>
          <w:divBdr>
            <w:top w:val="none" w:sz="0" w:space="0" w:color="auto"/>
            <w:left w:val="none" w:sz="0" w:space="0" w:color="auto"/>
            <w:bottom w:val="none" w:sz="0" w:space="0" w:color="auto"/>
            <w:right w:val="none" w:sz="0" w:space="0" w:color="auto"/>
          </w:divBdr>
        </w:div>
      </w:divsChild>
    </w:div>
    <w:div w:id="1510868350">
      <w:bodyDiv w:val="1"/>
      <w:marLeft w:val="0"/>
      <w:marRight w:val="0"/>
      <w:marTop w:val="0"/>
      <w:marBottom w:val="0"/>
      <w:divBdr>
        <w:top w:val="none" w:sz="0" w:space="0" w:color="auto"/>
        <w:left w:val="none" w:sz="0" w:space="0" w:color="auto"/>
        <w:bottom w:val="none" w:sz="0" w:space="0" w:color="auto"/>
        <w:right w:val="none" w:sz="0" w:space="0" w:color="auto"/>
      </w:divBdr>
    </w:div>
    <w:div w:id="1518157186">
      <w:bodyDiv w:val="1"/>
      <w:marLeft w:val="0"/>
      <w:marRight w:val="0"/>
      <w:marTop w:val="0"/>
      <w:marBottom w:val="0"/>
      <w:divBdr>
        <w:top w:val="none" w:sz="0" w:space="0" w:color="auto"/>
        <w:left w:val="none" w:sz="0" w:space="0" w:color="auto"/>
        <w:bottom w:val="none" w:sz="0" w:space="0" w:color="auto"/>
        <w:right w:val="none" w:sz="0" w:space="0" w:color="auto"/>
      </w:divBdr>
    </w:div>
    <w:div w:id="1545561670">
      <w:bodyDiv w:val="1"/>
      <w:marLeft w:val="0"/>
      <w:marRight w:val="0"/>
      <w:marTop w:val="0"/>
      <w:marBottom w:val="0"/>
      <w:divBdr>
        <w:top w:val="none" w:sz="0" w:space="0" w:color="auto"/>
        <w:left w:val="none" w:sz="0" w:space="0" w:color="auto"/>
        <w:bottom w:val="none" w:sz="0" w:space="0" w:color="auto"/>
        <w:right w:val="none" w:sz="0" w:space="0" w:color="auto"/>
      </w:divBdr>
    </w:div>
    <w:div w:id="1567914352">
      <w:bodyDiv w:val="1"/>
      <w:marLeft w:val="0"/>
      <w:marRight w:val="0"/>
      <w:marTop w:val="0"/>
      <w:marBottom w:val="0"/>
      <w:divBdr>
        <w:top w:val="none" w:sz="0" w:space="0" w:color="auto"/>
        <w:left w:val="none" w:sz="0" w:space="0" w:color="auto"/>
        <w:bottom w:val="none" w:sz="0" w:space="0" w:color="auto"/>
        <w:right w:val="none" w:sz="0" w:space="0" w:color="auto"/>
      </w:divBdr>
    </w:div>
    <w:div w:id="1607040759">
      <w:bodyDiv w:val="1"/>
      <w:marLeft w:val="0"/>
      <w:marRight w:val="0"/>
      <w:marTop w:val="0"/>
      <w:marBottom w:val="0"/>
      <w:divBdr>
        <w:top w:val="none" w:sz="0" w:space="0" w:color="auto"/>
        <w:left w:val="none" w:sz="0" w:space="0" w:color="auto"/>
        <w:bottom w:val="none" w:sz="0" w:space="0" w:color="auto"/>
        <w:right w:val="none" w:sz="0" w:space="0" w:color="auto"/>
      </w:divBdr>
    </w:div>
    <w:div w:id="1612932854">
      <w:bodyDiv w:val="1"/>
      <w:marLeft w:val="0"/>
      <w:marRight w:val="0"/>
      <w:marTop w:val="0"/>
      <w:marBottom w:val="0"/>
      <w:divBdr>
        <w:top w:val="none" w:sz="0" w:space="0" w:color="auto"/>
        <w:left w:val="none" w:sz="0" w:space="0" w:color="auto"/>
        <w:bottom w:val="none" w:sz="0" w:space="0" w:color="auto"/>
        <w:right w:val="none" w:sz="0" w:space="0" w:color="auto"/>
      </w:divBdr>
      <w:divsChild>
        <w:div w:id="1905138661">
          <w:marLeft w:val="0"/>
          <w:marRight w:val="0"/>
          <w:marTop w:val="0"/>
          <w:marBottom w:val="0"/>
          <w:divBdr>
            <w:top w:val="none" w:sz="0" w:space="0" w:color="auto"/>
            <w:left w:val="none" w:sz="0" w:space="0" w:color="auto"/>
            <w:bottom w:val="none" w:sz="0" w:space="0" w:color="auto"/>
            <w:right w:val="none" w:sz="0" w:space="0" w:color="auto"/>
          </w:divBdr>
        </w:div>
        <w:div w:id="634409352">
          <w:marLeft w:val="0"/>
          <w:marRight w:val="0"/>
          <w:marTop w:val="0"/>
          <w:marBottom w:val="0"/>
          <w:divBdr>
            <w:top w:val="none" w:sz="0" w:space="0" w:color="auto"/>
            <w:left w:val="none" w:sz="0" w:space="0" w:color="auto"/>
            <w:bottom w:val="none" w:sz="0" w:space="0" w:color="auto"/>
            <w:right w:val="none" w:sz="0" w:space="0" w:color="auto"/>
          </w:divBdr>
        </w:div>
      </w:divsChild>
    </w:div>
    <w:div w:id="1613322477">
      <w:bodyDiv w:val="1"/>
      <w:marLeft w:val="0"/>
      <w:marRight w:val="0"/>
      <w:marTop w:val="0"/>
      <w:marBottom w:val="0"/>
      <w:divBdr>
        <w:top w:val="none" w:sz="0" w:space="0" w:color="auto"/>
        <w:left w:val="none" w:sz="0" w:space="0" w:color="auto"/>
        <w:bottom w:val="none" w:sz="0" w:space="0" w:color="auto"/>
        <w:right w:val="none" w:sz="0" w:space="0" w:color="auto"/>
      </w:divBdr>
    </w:div>
    <w:div w:id="1654141095">
      <w:bodyDiv w:val="1"/>
      <w:marLeft w:val="0"/>
      <w:marRight w:val="0"/>
      <w:marTop w:val="0"/>
      <w:marBottom w:val="0"/>
      <w:divBdr>
        <w:top w:val="none" w:sz="0" w:space="0" w:color="auto"/>
        <w:left w:val="none" w:sz="0" w:space="0" w:color="auto"/>
        <w:bottom w:val="none" w:sz="0" w:space="0" w:color="auto"/>
        <w:right w:val="none" w:sz="0" w:space="0" w:color="auto"/>
      </w:divBdr>
    </w:div>
    <w:div w:id="1685210798">
      <w:bodyDiv w:val="1"/>
      <w:marLeft w:val="0"/>
      <w:marRight w:val="0"/>
      <w:marTop w:val="0"/>
      <w:marBottom w:val="0"/>
      <w:divBdr>
        <w:top w:val="none" w:sz="0" w:space="0" w:color="auto"/>
        <w:left w:val="none" w:sz="0" w:space="0" w:color="auto"/>
        <w:bottom w:val="none" w:sz="0" w:space="0" w:color="auto"/>
        <w:right w:val="none" w:sz="0" w:space="0" w:color="auto"/>
      </w:divBdr>
    </w:div>
    <w:div w:id="1724258758">
      <w:bodyDiv w:val="1"/>
      <w:marLeft w:val="0"/>
      <w:marRight w:val="0"/>
      <w:marTop w:val="0"/>
      <w:marBottom w:val="0"/>
      <w:divBdr>
        <w:top w:val="none" w:sz="0" w:space="0" w:color="auto"/>
        <w:left w:val="none" w:sz="0" w:space="0" w:color="auto"/>
        <w:bottom w:val="none" w:sz="0" w:space="0" w:color="auto"/>
        <w:right w:val="none" w:sz="0" w:space="0" w:color="auto"/>
      </w:divBdr>
    </w:div>
    <w:div w:id="1745637672">
      <w:bodyDiv w:val="1"/>
      <w:marLeft w:val="0"/>
      <w:marRight w:val="0"/>
      <w:marTop w:val="0"/>
      <w:marBottom w:val="0"/>
      <w:divBdr>
        <w:top w:val="none" w:sz="0" w:space="0" w:color="auto"/>
        <w:left w:val="none" w:sz="0" w:space="0" w:color="auto"/>
        <w:bottom w:val="none" w:sz="0" w:space="0" w:color="auto"/>
        <w:right w:val="none" w:sz="0" w:space="0" w:color="auto"/>
      </w:divBdr>
    </w:div>
    <w:div w:id="1747805532">
      <w:bodyDiv w:val="1"/>
      <w:marLeft w:val="0"/>
      <w:marRight w:val="0"/>
      <w:marTop w:val="0"/>
      <w:marBottom w:val="0"/>
      <w:divBdr>
        <w:top w:val="none" w:sz="0" w:space="0" w:color="auto"/>
        <w:left w:val="none" w:sz="0" w:space="0" w:color="auto"/>
        <w:bottom w:val="none" w:sz="0" w:space="0" w:color="auto"/>
        <w:right w:val="none" w:sz="0" w:space="0" w:color="auto"/>
      </w:divBdr>
    </w:div>
    <w:div w:id="1773210315">
      <w:bodyDiv w:val="1"/>
      <w:marLeft w:val="0"/>
      <w:marRight w:val="0"/>
      <w:marTop w:val="0"/>
      <w:marBottom w:val="0"/>
      <w:divBdr>
        <w:top w:val="none" w:sz="0" w:space="0" w:color="auto"/>
        <w:left w:val="none" w:sz="0" w:space="0" w:color="auto"/>
        <w:bottom w:val="none" w:sz="0" w:space="0" w:color="auto"/>
        <w:right w:val="none" w:sz="0" w:space="0" w:color="auto"/>
      </w:divBdr>
    </w:div>
    <w:div w:id="1780371988">
      <w:bodyDiv w:val="1"/>
      <w:marLeft w:val="0"/>
      <w:marRight w:val="0"/>
      <w:marTop w:val="0"/>
      <w:marBottom w:val="0"/>
      <w:divBdr>
        <w:top w:val="none" w:sz="0" w:space="0" w:color="auto"/>
        <w:left w:val="none" w:sz="0" w:space="0" w:color="auto"/>
        <w:bottom w:val="none" w:sz="0" w:space="0" w:color="auto"/>
        <w:right w:val="none" w:sz="0" w:space="0" w:color="auto"/>
      </w:divBdr>
      <w:divsChild>
        <w:div w:id="153375488">
          <w:marLeft w:val="0"/>
          <w:marRight w:val="0"/>
          <w:marTop w:val="0"/>
          <w:marBottom w:val="0"/>
          <w:divBdr>
            <w:top w:val="none" w:sz="0" w:space="0" w:color="auto"/>
            <w:left w:val="none" w:sz="0" w:space="0" w:color="auto"/>
            <w:bottom w:val="none" w:sz="0" w:space="0" w:color="auto"/>
            <w:right w:val="none" w:sz="0" w:space="0" w:color="auto"/>
          </w:divBdr>
        </w:div>
        <w:div w:id="1226181179">
          <w:marLeft w:val="0"/>
          <w:marRight w:val="0"/>
          <w:marTop w:val="0"/>
          <w:marBottom w:val="0"/>
          <w:divBdr>
            <w:top w:val="none" w:sz="0" w:space="0" w:color="auto"/>
            <w:left w:val="none" w:sz="0" w:space="0" w:color="auto"/>
            <w:bottom w:val="none" w:sz="0" w:space="0" w:color="auto"/>
            <w:right w:val="none" w:sz="0" w:space="0" w:color="auto"/>
          </w:divBdr>
        </w:div>
        <w:div w:id="254944148">
          <w:marLeft w:val="0"/>
          <w:marRight w:val="0"/>
          <w:marTop w:val="0"/>
          <w:marBottom w:val="0"/>
          <w:divBdr>
            <w:top w:val="none" w:sz="0" w:space="0" w:color="auto"/>
            <w:left w:val="none" w:sz="0" w:space="0" w:color="auto"/>
            <w:bottom w:val="none" w:sz="0" w:space="0" w:color="auto"/>
            <w:right w:val="none" w:sz="0" w:space="0" w:color="auto"/>
          </w:divBdr>
        </w:div>
      </w:divsChild>
    </w:div>
    <w:div w:id="1810200143">
      <w:bodyDiv w:val="1"/>
      <w:marLeft w:val="0"/>
      <w:marRight w:val="0"/>
      <w:marTop w:val="0"/>
      <w:marBottom w:val="0"/>
      <w:divBdr>
        <w:top w:val="none" w:sz="0" w:space="0" w:color="auto"/>
        <w:left w:val="none" w:sz="0" w:space="0" w:color="auto"/>
        <w:bottom w:val="none" w:sz="0" w:space="0" w:color="auto"/>
        <w:right w:val="none" w:sz="0" w:space="0" w:color="auto"/>
      </w:divBdr>
    </w:div>
    <w:div w:id="1825969319">
      <w:bodyDiv w:val="1"/>
      <w:marLeft w:val="0"/>
      <w:marRight w:val="0"/>
      <w:marTop w:val="0"/>
      <w:marBottom w:val="0"/>
      <w:divBdr>
        <w:top w:val="none" w:sz="0" w:space="0" w:color="auto"/>
        <w:left w:val="none" w:sz="0" w:space="0" w:color="auto"/>
        <w:bottom w:val="none" w:sz="0" w:space="0" w:color="auto"/>
        <w:right w:val="none" w:sz="0" w:space="0" w:color="auto"/>
      </w:divBdr>
    </w:div>
    <w:div w:id="1842156884">
      <w:bodyDiv w:val="1"/>
      <w:marLeft w:val="0"/>
      <w:marRight w:val="0"/>
      <w:marTop w:val="0"/>
      <w:marBottom w:val="0"/>
      <w:divBdr>
        <w:top w:val="none" w:sz="0" w:space="0" w:color="auto"/>
        <w:left w:val="none" w:sz="0" w:space="0" w:color="auto"/>
        <w:bottom w:val="none" w:sz="0" w:space="0" w:color="auto"/>
        <w:right w:val="none" w:sz="0" w:space="0" w:color="auto"/>
      </w:divBdr>
    </w:div>
    <w:div w:id="1845048731">
      <w:bodyDiv w:val="1"/>
      <w:marLeft w:val="0"/>
      <w:marRight w:val="0"/>
      <w:marTop w:val="0"/>
      <w:marBottom w:val="0"/>
      <w:divBdr>
        <w:top w:val="none" w:sz="0" w:space="0" w:color="auto"/>
        <w:left w:val="none" w:sz="0" w:space="0" w:color="auto"/>
        <w:bottom w:val="none" w:sz="0" w:space="0" w:color="auto"/>
        <w:right w:val="none" w:sz="0" w:space="0" w:color="auto"/>
      </w:divBdr>
    </w:div>
    <w:div w:id="1846823675">
      <w:bodyDiv w:val="1"/>
      <w:marLeft w:val="0"/>
      <w:marRight w:val="0"/>
      <w:marTop w:val="0"/>
      <w:marBottom w:val="0"/>
      <w:divBdr>
        <w:top w:val="none" w:sz="0" w:space="0" w:color="auto"/>
        <w:left w:val="none" w:sz="0" w:space="0" w:color="auto"/>
        <w:bottom w:val="none" w:sz="0" w:space="0" w:color="auto"/>
        <w:right w:val="none" w:sz="0" w:space="0" w:color="auto"/>
      </w:divBdr>
    </w:div>
    <w:div w:id="1849713867">
      <w:bodyDiv w:val="1"/>
      <w:marLeft w:val="0"/>
      <w:marRight w:val="0"/>
      <w:marTop w:val="0"/>
      <w:marBottom w:val="0"/>
      <w:divBdr>
        <w:top w:val="none" w:sz="0" w:space="0" w:color="auto"/>
        <w:left w:val="none" w:sz="0" w:space="0" w:color="auto"/>
        <w:bottom w:val="none" w:sz="0" w:space="0" w:color="auto"/>
        <w:right w:val="none" w:sz="0" w:space="0" w:color="auto"/>
      </w:divBdr>
    </w:div>
    <w:div w:id="1867324793">
      <w:bodyDiv w:val="1"/>
      <w:marLeft w:val="0"/>
      <w:marRight w:val="0"/>
      <w:marTop w:val="0"/>
      <w:marBottom w:val="0"/>
      <w:divBdr>
        <w:top w:val="none" w:sz="0" w:space="0" w:color="auto"/>
        <w:left w:val="none" w:sz="0" w:space="0" w:color="auto"/>
        <w:bottom w:val="none" w:sz="0" w:space="0" w:color="auto"/>
        <w:right w:val="none" w:sz="0" w:space="0" w:color="auto"/>
      </w:divBdr>
    </w:div>
    <w:div w:id="1875540278">
      <w:bodyDiv w:val="1"/>
      <w:marLeft w:val="0"/>
      <w:marRight w:val="0"/>
      <w:marTop w:val="0"/>
      <w:marBottom w:val="0"/>
      <w:divBdr>
        <w:top w:val="none" w:sz="0" w:space="0" w:color="auto"/>
        <w:left w:val="none" w:sz="0" w:space="0" w:color="auto"/>
        <w:bottom w:val="none" w:sz="0" w:space="0" w:color="auto"/>
        <w:right w:val="none" w:sz="0" w:space="0" w:color="auto"/>
      </w:divBdr>
    </w:div>
    <w:div w:id="1892226878">
      <w:bodyDiv w:val="1"/>
      <w:marLeft w:val="0"/>
      <w:marRight w:val="0"/>
      <w:marTop w:val="0"/>
      <w:marBottom w:val="0"/>
      <w:divBdr>
        <w:top w:val="none" w:sz="0" w:space="0" w:color="auto"/>
        <w:left w:val="none" w:sz="0" w:space="0" w:color="auto"/>
        <w:bottom w:val="none" w:sz="0" w:space="0" w:color="auto"/>
        <w:right w:val="none" w:sz="0" w:space="0" w:color="auto"/>
      </w:divBdr>
    </w:div>
    <w:div w:id="1895310103">
      <w:bodyDiv w:val="1"/>
      <w:marLeft w:val="0"/>
      <w:marRight w:val="0"/>
      <w:marTop w:val="0"/>
      <w:marBottom w:val="0"/>
      <w:divBdr>
        <w:top w:val="none" w:sz="0" w:space="0" w:color="auto"/>
        <w:left w:val="none" w:sz="0" w:space="0" w:color="auto"/>
        <w:bottom w:val="none" w:sz="0" w:space="0" w:color="auto"/>
        <w:right w:val="none" w:sz="0" w:space="0" w:color="auto"/>
      </w:divBdr>
    </w:div>
    <w:div w:id="1902642062">
      <w:bodyDiv w:val="1"/>
      <w:marLeft w:val="0"/>
      <w:marRight w:val="0"/>
      <w:marTop w:val="0"/>
      <w:marBottom w:val="0"/>
      <w:divBdr>
        <w:top w:val="none" w:sz="0" w:space="0" w:color="auto"/>
        <w:left w:val="none" w:sz="0" w:space="0" w:color="auto"/>
        <w:bottom w:val="none" w:sz="0" w:space="0" w:color="auto"/>
        <w:right w:val="none" w:sz="0" w:space="0" w:color="auto"/>
      </w:divBdr>
    </w:div>
    <w:div w:id="1928031027">
      <w:bodyDiv w:val="1"/>
      <w:marLeft w:val="0"/>
      <w:marRight w:val="0"/>
      <w:marTop w:val="0"/>
      <w:marBottom w:val="0"/>
      <w:divBdr>
        <w:top w:val="none" w:sz="0" w:space="0" w:color="auto"/>
        <w:left w:val="none" w:sz="0" w:space="0" w:color="auto"/>
        <w:bottom w:val="none" w:sz="0" w:space="0" w:color="auto"/>
        <w:right w:val="none" w:sz="0" w:space="0" w:color="auto"/>
      </w:divBdr>
    </w:div>
    <w:div w:id="1931428139">
      <w:bodyDiv w:val="1"/>
      <w:marLeft w:val="0"/>
      <w:marRight w:val="0"/>
      <w:marTop w:val="0"/>
      <w:marBottom w:val="0"/>
      <w:divBdr>
        <w:top w:val="none" w:sz="0" w:space="0" w:color="auto"/>
        <w:left w:val="none" w:sz="0" w:space="0" w:color="auto"/>
        <w:bottom w:val="none" w:sz="0" w:space="0" w:color="auto"/>
        <w:right w:val="none" w:sz="0" w:space="0" w:color="auto"/>
      </w:divBdr>
    </w:div>
    <w:div w:id="1943879340">
      <w:bodyDiv w:val="1"/>
      <w:marLeft w:val="0"/>
      <w:marRight w:val="0"/>
      <w:marTop w:val="0"/>
      <w:marBottom w:val="0"/>
      <w:divBdr>
        <w:top w:val="none" w:sz="0" w:space="0" w:color="auto"/>
        <w:left w:val="none" w:sz="0" w:space="0" w:color="auto"/>
        <w:bottom w:val="none" w:sz="0" w:space="0" w:color="auto"/>
        <w:right w:val="none" w:sz="0" w:space="0" w:color="auto"/>
      </w:divBdr>
    </w:div>
    <w:div w:id="1963657393">
      <w:bodyDiv w:val="1"/>
      <w:marLeft w:val="0"/>
      <w:marRight w:val="0"/>
      <w:marTop w:val="0"/>
      <w:marBottom w:val="0"/>
      <w:divBdr>
        <w:top w:val="none" w:sz="0" w:space="0" w:color="auto"/>
        <w:left w:val="none" w:sz="0" w:space="0" w:color="auto"/>
        <w:bottom w:val="none" w:sz="0" w:space="0" w:color="auto"/>
        <w:right w:val="none" w:sz="0" w:space="0" w:color="auto"/>
      </w:divBdr>
    </w:div>
    <w:div w:id="1985742271">
      <w:bodyDiv w:val="1"/>
      <w:marLeft w:val="0"/>
      <w:marRight w:val="0"/>
      <w:marTop w:val="0"/>
      <w:marBottom w:val="0"/>
      <w:divBdr>
        <w:top w:val="none" w:sz="0" w:space="0" w:color="auto"/>
        <w:left w:val="none" w:sz="0" w:space="0" w:color="auto"/>
        <w:bottom w:val="none" w:sz="0" w:space="0" w:color="auto"/>
        <w:right w:val="none" w:sz="0" w:space="0" w:color="auto"/>
      </w:divBdr>
    </w:div>
    <w:div w:id="1986010157">
      <w:bodyDiv w:val="1"/>
      <w:marLeft w:val="0"/>
      <w:marRight w:val="0"/>
      <w:marTop w:val="0"/>
      <w:marBottom w:val="0"/>
      <w:divBdr>
        <w:top w:val="none" w:sz="0" w:space="0" w:color="auto"/>
        <w:left w:val="none" w:sz="0" w:space="0" w:color="auto"/>
        <w:bottom w:val="none" w:sz="0" w:space="0" w:color="auto"/>
        <w:right w:val="none" w:sz="0" w:space="0" w:color="auto"/>
      </w:divBdr>
    </w:div>
    <w:div w:id="1994403896">
      <w:bodyDiv w:val="1"/>
      <w:marLeft w:val="0"/>
      <w:marRight w:val="0"/>
      <w:marTop w:val="0"/>
      <w:marBottom w:val="0"/>
      <w:divBdr>
        <w:top w:val="none" w:sz="0" w:space="0" w:color="auto"/>
        <w:left w:val="none" w:sz="0" w:space="0" w:color="auto"/>
        <w:bottom w:val="none" w:sz="0" w:space="0" w:color="auto"/>
        <w:right w:val="none" w:sz="0" w:space="0" w:color="auto"/>
      </w:divBdr>
    </w:div>
    <w:div w:id="2011131686">
      <w:bodyDiv w:val="1"/>
      <w:marLeft w:val="0"/>
      <w:marRight w:val="0"/>
      <w:marTop w:val="0"/>
      <w:marBottom w:val="0"/>
      <w:divBdr>
        <w:top w:val="none" w:sz="0" w:space="0" w:color="auto"/>
        <w:left w:val="none" w:sz="0" w:space="0" w:color="auto"/>
        <w:bottom w:val="none" w:sz="0" w:space="0" w:color="auto"/>
        <w:right w:val="none" w:sz="0" w:space="0" w:color="auto"/>
      </w:divBdr>
    </w:div>
    <w:div w:id="2012638214">
      <w:bodyDiv w:val="1"/>
      <w:marLeft w:val="0"/>
      <w:marRight w:val="0"/>
      <w:marTop w:val="0"/>
      <w:marBottom w:val="0"/>
      <w:divBdr>
        <w:top w:val="none" w:sz="0" w:space="0" w:color="auto"/>
        <w:left w:val="none" w:sz="0" w:space="0" w:color="auto"/>
        <w:bottom w:val="none" w:sz="0" w:space="0" w:color="auto"/>
        <w:right w:val="none" w:sz="0" w:space="0" w:color="auto"/>
      </w:divBdr>
    </w:div>
    <w:div w:id="2021621121">
      <w:bodyDiv w:val="1"/>
      <w:marLeft w:val="0"/>
      <w:marRight w:val="0"/>
      <w:marTop w:val="0"/>
      <w:marBottom w:val="0"/>
      <w:divBdr>
        <w:top w:val="none" w:sz="0" w:space="0" w:color="auto"/>
        <w:left w:val="none" w:sz="0" w:space="0" w:color="auto"/>
        <w:bottom w:val="none" w:sz="0" w:space="0" w:color="auto"/>
        <w:right w:val="none" w:sz="0" w:space="0" w:color="auto"/>
      </w:divBdr>
    </w:div>
    <w:div w:id="2060201947">
      <w:bodyDiv w:val="1"/>
      <w:marLeft w:val="0"/>
      <w:marRight w:val="0"/>
      <w:marTop w:val="0"/>
      <w:marBottom w:val="0"/>
      <w:divBdr>
        <w:top w:val="none" w:sz="0" w:space="0" w:color="auto"/>
        <w:left w:val="none" w:sz="0" w:space="0" w:color="auto"/>
        <w:bottom w:val="none" w:sz="0" w:space="0" w:color="auto"/>
        <w:right w:val="none" w:sz="0" w:space="0" w:color="auto"/>
      </w:divBdr>
    </w:div>
    <w:div w:id="2062122218">
      <w:bodyDiv w:val="1"/>
      <w:marLeft w:val="0"/>
      <w:marRight w:val="0"/>
      <w:marTop w:val="0"/>
      <w:marBottom w:val="0"/>
      <w:divBdr>
        <w:top w:val="none" w:sz="0" w:space="0" w:color="auto"/>
        <w:left w:val="none" w:sz="0" w:space="0" w:color="auto"/>
        <w:bottom w:val="none" w:sz="0" w:space="0" w:color="auto"/>
        <w:right w:val="none" w:sz="0" w:space="0" w:color="auto"/>
      </w:divBdr>
    </w:div>
    <w:div w:id="2064134559">
      <w:bodyDiv w:val="1"/>
      <w:marLeft w:val="0"/>
      <w:marRight w:val="0"/>
      <w:marTop w:val="0"/>
      <w:marBottom w:val="0"/>
      <w:divBdr>
        <w:top w:val="none" w:sz="0" w:space="0" w:color="auto"/>
        <w:left w:val="none" w:sz="0" w:space="0" w:color="auto"/>
        <w:bottom w:val="none" w:sz="0" w:space="0" w:color="auto"/>
        <w:right w:val="none" w:sz="0" w:space="0" w:color="auto"/>
      </w:divBdr>
    </w:div>
    <w:div w:id="2067022462">
      <w:bodyDiv w:val="1"/>
      <w:marLeft w:val="0"/>
      <w:marRight w:val="0"/>
      <w:marTop w:val="0"/>
      <w:marBottom w:val="0"/>
      <w:divBdr>
        <w:top w:val="none" w:sz="0" w:space="0" w:color="auto"/>
        <w:left w:val="none" w:sz="0" w:space="0" w:color="auto"/>
        <w:bottom w:val="none" w:sz="0" w:space="0" w:color="auto"/>
        <w:right w:val="none" w:sz="0" w:space="0" w:color="auto"/>
      </w:divBdr>
    </w:div>
    <w:div w:id="2067298516">
      <w:bodyDiv w:val="1"/>
      <w:marLeft w:val="0"/>
      <w:marRight w:val="0"/>
      <w:marTop w:val="0"/>
      <w:marBottom w:val="0"/>
      <w:divBdr>
        <w:top w:val="none" w:sz="0" w:space="0" w:color="auto"/>
        <w:left w:val="none" w:sz="0" w:space="0" w:color="auto"/>
        <w:bottom w:val="none" w:sz="0" w:space="0" w:color="auto"/>
        <w:right w:val="none" w:sz="0" w:space="0" w:color="auto"/>
      </w:divBdr>
    </w:div>
    <w:div w:id="2068601418">
      <w:bodyDiv w:val="1"/>
      <w:marLeft w:val="0"/>
      <w:marRight w:val="0"/>
      <w:marTop w:val="0"/>
      <w:marBottom w:val="0"/>
      <w:divBdr>
        <w:top w:val="none" w:sz="0" w:space="0" w:color="auto"/>
        <w:left w:val="none" w:sz="0" w:space="0" w:color="auto"/>
        <w:bottom w:val="none" w:sz="0" w:space="0" w:color="auto"/>
        <w:right w:val="none" w:sz="0" w:space="0" w:color="auto"/>
      </w:divBdr>
    </w:div>
    <w:div w:id="2085569049">
      <w:bodyDiv w:val="1"/>
      <w:marLeft w:val="0"/>
      <w:marRight w:val="0"/>
      <w:marTop w:val="0"/>
      <w:marBottom w:val="0"/>
      <w:divBdr>
        <w:top w:val="none" w:sz="0" w:space="0" w:color="auto"/>
        <w:left w:val="none" w:sz="0" w:space="0" w:color="auto"/>
        <w:bottom w:val="none" w:sz="0" w:space="0" w:color="auto"/>
        <w:right w:val="none" w:sz="0" w:space="0" w:color="auto"/>
      </w:divBdr>
    </w:div>
    <w:div w:id="21185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rc.org.uk/auditors/audit-assurance/auditor-s-responsibilities-for-the-audit-of-the-fi/description-of-the-auditor%e2%80%99s-responsibilities-fo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5.jpe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2022/23 Budgeted RAS Partner Contributions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9FA-43BA-A253-104E3EEC8DC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9FA-43BA-A253-104E3EEC8DC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9FA-43BA-A253-104E3EEC8DC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9FA-43BA-A253-104E3EEC8DC1}"/>
              </c:ext>
            </c:extLst>
          </c:dPt>
          <c:dLbls>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Sheet1!$A$4:$A$7</c:f>
              <c:strCache>
                <c:ptCount val="4"/>
                <c:pt idx="0">
                  <c:v>City and County of Cardiff</c:v>
                </c:pt>
                <c:pt idx="1">
                  <c:v>Vale of Glamorgan Council</c:v>
                </c:pt>
                <c:pt idx="2">
                  <c:v>Merthyr Tydfil Council</c:v>
                </c:pt>
                <c:pt idx="3">
                  <c:v>Rhondda Cynon Taff Council</c:v>
                </c:pt>
              </c:strCache>
            </c:strRef>
          </c:cat>
          <c:val>
            <c:numRef>
              <c:f>Sheet1!$B$4:$B$7</c:f>
              <c:numCache>
                <c:formatCode>General</c:formatCode>
                <c:ptCount val="4"/>
                <c:pt idx="0">
                  <c:v>778149</c:v>
                </c:pt>
                <c:pt idx="1">
                  <c:v>296922</c:v>
                </c:pt>
                <c:pt idx="2">
                  <c:v>242737</c:v>
                </c:pt>
                <c:pt idx="3">
                  <c:v>603274</c:v>
                </c:pt>
              </c:numCache>
            </c:numRef>
          </c:val>
          <c:extLst>
            <c:ext xmlns:c16="http://schemas.microsoft.com/office/drawing/2014/chart" uri="{C3380CC4-5D6E-409C-BE32-E72D297353CC}">
              <c16:uniqueId val="{00000008-09FA-43BA-A253-104E3EEC8DC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14130d02122d6b46a83a05e55f1bd5fe">
  <xsd:schema xmlns:xsd="http://www.w3.org/2001/XMLSchema" xmlns:xs="http://www.w3.org/2001/XMLSchema" xmlns:p="http://schemas.microsoft.com/office/2006/metadata/properties" xmlns:ns2="4530b401-02f1-4e72-a7f4-254a04188f7c" targetNamespace="http://schemas.microsoft.com/office/2006/metadata/properties" ma:root="true" ma:fieldsID="e4a00b346ba57da7c17253353e2f272f"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8BC70-DD31-46A8-9D90-F1DC92E91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68FFD-F6AF-4AF1-AB3F-D82B47269402}">
  <ds:schemaRefs>
    <ds:schemaRef ds:uri="http://schemas.openxmlformats.org/officeDocument/2006/bibliography"/>
  </ds:schemaRefs>
</ds:datastoreItem>
</file>

<file path=customXml/itemProps3.xml><?xml version="1.0" encoding="utf-8"?>
<ds:datastoreItem xmlns:ds="http://schemas.openxmlformats.org/officeDocument/2006/customXml" ds:itemID="{E5541B82-CD82-4DBB-8D1C-31922D712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918105-CF06-4A3D-BE14-BD499D158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16057</Words>
  <Characters>91528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Vale Valleys and Cardiff Adoption Collaborative</vt:lpstr>
    </vt:vector>
  </TitlesOfParts>
  <Company>Vale of Glamorgan Council</Company>
  <LinksUpToDate>false</LinksUpToDate>
  <CharactersWithSpaces>107371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 Statement of Accounts 2022-23 AUDITED FINAL SIGNED</dc:title>
  <dc:subject>
  </dc:subject>
  <dc:creator>James, Claire</dc:creator>
  <cp:lastModifiedBy>Jade Saif</cp:lastModifiedBy>
  <cp:revision>3</cp:revision>
  <cp:lastPrinted>2023-02-28T16:15:00Z</cp:lastPrinted>
  <dcterms:created xsi:type="dcterms:W3CDTF">2024-02-09T13:30:00Z</dcterms:created>
  <dcterms:modified xsi:type="dcterms:W3CDTF">2024-03-14T12:39:32Z</dcterms:modified>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ies>
</file>