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6603"/>
      </w:tblGrid>
      <w:tr w:rsidRPr="006659AD" w:rsidR="00132CF9" w:rsidTr="006659AD">
        <w:tc>
          <w:tcPr>
            <w:tcW w:w="2413" w:type="dxa"/>
          </w:tcPr>
          <w:p w:rsidRPr="006659AD" w:rsidR="00132CF9" w:rsidP="00401CA5" w:rsidRDefault="006659AD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Term/ Abbreviation</w:t>
            </w:r>
          </w:p>
        </w:tc>
        <w:tc>
          <w:tcPr>
            <w:tcW w:w="6603" w:type="dxa"/>
          </w:tcPr>
          <w:p w:rsidRPr="006659AD" w:rsidR="00132CF9" w:rsidP="00401CA5" w:rsidRDefault="006659AD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Definition</w:t>
            </w:r>
          </w:p>
        </w:tc>
        <w:bookmarkStart w:name="_GoBack" w:id="0"/>
        <w:bookmarkEnd w:id="0"/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AI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 xml:space="preserve">Artificial Intelligence - </w:t>
            </w:r>
            <w:r w:rsidRPr="006659AD">
              <w:rPr>
                <w:rFonts w:cs="Arial" w:asciiTheme="minorHAnsi" w:hAnsiTheme="minorHAnsi"/>
                <w:color w:val="222222"/>
                <w:shd w:val="clear" w:color="auto" w:fill="FFFFFF"/>
              </w:rPr>
              <w:t>intelligence exhibited by machines</w:t>
            </w: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Bandwidth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The amount of data that can be transferred in a fixed amount of time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BCR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Benefit to cost ratio – the value of the benefits of a policy relative to its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costs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BDUK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Broadband Delivery UK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Describes those impacts that can be understood as a social benefit under</w:t>
            </w:r>
            <w:r w:rsidR="00BD73D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the guidelines of the Green Book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Black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postcodes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Postcodes expected to receive superfast coverage from multiple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commercial suppliers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Crowding-out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The extent to which public spending reduces levels of private investment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Digital Divide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Difference in connectivity between areas, with some areas having access</w:t>
            </w:r>
            <w:r w:rsidRPr="006659AD" w:rsidR="006659A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to much faster speeds than others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Displacement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Describes effects in product markets where the growth of one firm will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results in the loss of market share for its competitors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FTTC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Fibre to the cabinet</w:t>
            </w: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FTTH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Fibre to the home</w:t>
            </w: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FTTP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Fibre to the premises</w:t>
            </w: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Gb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proofErr w:type="spellStart"/>
            <w:r w:rsidRPr="006659AD">
              <w:rPr>
                <w:rFonts w:asciiTheme="minorHAnsi" w:hAnsiTheme="minorHAnsi"/>
              </w:rPr>
              <w:t>Gigabite</w:t>
            </w:r>
            <w:proofErr w:type="spellEnd"/>
            <w:r w:rsidRPr="006659AD">
              <w:rPr>
                <w:rFonts w:asciiTheme="minorHAnsi" w:hAnsiTheme="minorHAnsi"/>
              </w:rPr>
              <w:t xml:space="preserve"> (1 Gb = 1,000 Mb = 1,000,000 Kb)</w:t>
            </w:r>
          </w:p>
        </w:tc>
      </w:tr>
      <w:tr w:rsidRPr="006659AD" w:rsidR="00352A1B" w:rsidTr="006659AD">
        <w:tc>
          <w:tcPr>
            <w:tcW w:w="2413" w:type="dxa"/>
          </w:tcPr>
          <w:p w:rsidRPr="006659AD" w:rsidR="00352A1B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GB</w:t>
            </w:r>
          </w:p>
        </w:tc>
        <w:tc>
          <w:tcPr>
            <w:tcW w:w="6603" w:type="dxa"/>
          </w:tcPr>
          <w:p w:rsidRPr="006659AD" w:rsidR="00352A1B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Gigabit (1 GB = 8 Gb)</w:t>
            </w:r>
          </w:p>
        </w:tc>
      </w:tr>
      <w:tr w:rsidRPr="006659AD" w:rsidR="00132CF9" w:rsidTr="006659AD">
        <w:tc>
          <w:tcPr>
            <w:tcW w:w="2413" w:type="dxa"/>
          </w:tcPr>
          <w:p w:rsidRPr="006659AD" w:rsidR="00132CF9" w:rsidP="00401CA5" w:rsidRDefault="00132CF9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GB</w:t>
            </w:r>
            <w:r w:rsidRPr="006659AD" w:rsidR="00C02305">
              <w:rPr>
                <w:rFonts w:asciiTheme="minorHAnsi" w:hAnsiTheme="minorHAnsi"/>
                <w:b/>
              </w:rPr>
              <w:t>P</w:t>
            </w:r>
            <w:r w:rsidRPr="006659AD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6603" w:type="dxa"/>
          </w:tcPr>
          <w:p w:rsidRPr="006659AD" w:rsidR="00132CF9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Gigabit per second</w:t>
            </w: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GVA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Gross Value Added – the value added in the production process, and</w:t>
            </w:r>
            <w:r w:rsidRPr="006659AD" w:rsidR="00C02305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measured as the sum of wages and profits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Grey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postcodes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Postcodes expected to receive superfast coverage from a single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commercial supplier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proofErr w:type="spellStart"/>
            <w:r w:rsidRPr="006659AD">
              <w:rPr>
                <w:rFonts w:asciiTheme="minorHAnsi" w:hAnsiTheme="minorHAnsi"/>
                <w:b/>
              </w:rPr>
              <w:t>Hyperfast</w:t>
            </w:r>
            <w:proofErr w:type="spellEnd"/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proofErr w:type="spellStart"/>
            <w:r w:rsidRPr="006659AD">
              <w:rPr>
                <w:rFonts w:asciiTheme="minorHAnsi" w:hAnsiTheme="minorHAnsi"/>
              </w:rPr>
              <w:t>Hyperfast</w:t>
            </w:r>
            <w:proofErr w:type="spellEnd"/>
            <w:r w:rsidRPr="006659AD">
              <w:rPr>
                <w:rFonts w:asciiTheme="minorHAnsi" w:hAnsiTheme="minorHAnsi"/>
              </w:rPr>
              <w:t xml:space="preserve"> loosely refers to download speeds in excess of 500Mbit/s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proofErr w:type="spellStart"/>
            <w:r w:rsidRPr="006659AD">
              <w:rPr>
                <w:rFonts w:asciiTheme="minorHAnsi" w:hAnsiTheme="minorHAnsi"/>
                <w:b/>
              </w:rPr>
              <w:t>IoT</w:t>
            </w:r>
            <w:proofErr w:type="spellEnd"/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 xml:space="preserve">Internet of </w:t>
            </w:r>
            <w:r w:rsidRPr="006659AD">
              <w:rPr>
                <w:rFonts w:cs="Arial" w:asciiTheme="minorHAnsi" w:hAnsiTheme="minorHAnsi"/>
              </w:rPr>
              <w:t xml:space="preserve">things - </w:t>
            </w:r>
            <w:proofErr w:type="spellStart"/>
            <w:r w:rsidRPr="006659AD">
              <w:rPr>
                <w:rFonts w:cs="Arial" w:asciiTheme="minorHAnsi" w:hAnsiTheme="minorHAnsi"/>
                <w:color w:val="000000"/>
              </w:rPr>
              <w:t>IoT</w:t>
            </w:r>
            <w:proofErr w:type="spellEnd"/>
            <w:r w:rsidRPr="006659AD">
              <w:rPr>
                <w:rFonts w:cs="Arial" w:asciiTheme="minorHAnsi" w:hAnsiTheme="minorHAnsi"/>
                <w:color w:val="000000"/>
              </w:rPr>
              <w:t xml:space="preserve"> encompasses everything connected to the internet, but it is increasingly being used to define objects that "talk" to each other. "Simply, the Internet of Things is made up of devices – from simple sensors to smartphones and wearables – connected together</w:t>
            </w:r>
          </w:p>
        </w:tc>
      </w:tr>
      <w:tr w:rsidRPr="006659AD" w:rsidR="00C02305" w:rsidTr="006659AD">
        <w:tc>
          <w:tcPr>
            <w:tcW w:w="2413" w:type="dxa"/>
          </w:tcPr>
          <w:p w:rsidRPr="006659AD" w:rsidR="00C02305" w:rsidP="00401CA5" w:rsidRDefault="00C0230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Low latency</w:t>
            </w:r>
          </w:p>
        </w:tc>
        <w:tc>
          <w:tcPr>
            <w:tcW w:w="6603" w:type="dxa"/>
          </w:tcPr>
          <w:p w:rsidRPr="006659AD" w:rsidR="00C02305" w:rsidP="00401CA5" w:rsidRDefault="00C0230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 xml:space="preserve">Latency indicates how much time it takes for a packet of data to get from one designated point to another and is typically measured in seconds or milliseconds. When low, there is negligible time taken. </w:t>
            </w:r>
          </w:p>
        </w:tc>
      </w:tr>
      <w:tr w:rsidRPr="006659AD" w:rsidR="00132CF9" w:rsidTr="006659AD">
        <w:tc>
          <w:tcPr>
            <w:tcW w:w="2413" w:type="dxa"/>
          </w:tcPr>
          <w:p w:rsidRPr="006659AD" w:rsidR="00132CF9" w:rsidP="00401CA5" w:rsidRDefault="00132CF9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LFFN</w:t>
            </w:r>
          </w:p>
        </w:tc>
        <w:tc>
          <w:tcPr>
            <w:tcW w:w="6603" w:type="dxa"/>
          </w:tcPr>
          <w:p w:rsidRPr="006659AD" w:rsidR="00132CF9" w:rsidP="00401CA5" w:rsidRDefault="00132CF9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Local Full Fibre Networks</w:t>
            </w:r>
          </w:p>
        </w:tc>
      </w:tr>
      <w:tr w:rsidRPr="006659AD" w:rsidR="006659AD" w:rsidTr="006659AD">
        <w:tc>
          <w:tcPr>
            <w:tcW w:w="2413" w:type="dxa"/>
          </w:tcPr>
          <w:p w:rsidRPr="006659AD" w:rsidR="006659AD" w:rsidP="00401CA5" w:rsidRDefault="006659AD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Mb</w:t>
            </w:r>
          </w:p>
        </w:tc>
        <w:tc>
          <w:tcPr>
            <w:tcW w:w="6603" w:type="dxa"/>
          </w:tcPr>
          <w:p w:rsidRPr="006659AD" w:rsidR="006659AD" w:rsidP="006659AD" w:rsidRDefault="006659AD">
            <w:pPr>
              <w:rPr>
                <w:rFonts w:asciiTheme="minorHAnsi" w:hAnsiTheme="minorHAnsi"/>
              </w:rPr>
            </w:pPr>
            <w:proofErr w:type="spellStart"/>
            <w:r w:rsidRPr="006659AD">
              <w:rPr>
                <w:rFonts w:asciiTheme="minorHAnsi" w:hAnsiTheme="minorHAnsi"/>
              </w:rPr>
              <w:t>Megabite</w:t>
            </w:r>
            <w:proofErr w:type="spellEnd"/>
            <w:r w:rsidRPr="006659AD">
              <w:rPr>
                <w:rFonts w:asciiTheme="minorHAnsi" w:hAnsiTheme="minorHAnsi"/>
              </w:rPr>
              <w:t xml:space="preserve"> (1 Mb = 1,000 Kb)</w:t>
            </w: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6659AD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MB</w:t>
            </w:r>
          </w:p>
        </w:tc>
        <w:tc>
          <w:tcPr>
            <w:tcW w:w="6603" w:type="dxa"/>
          </w:tcPr>
          <w:p w:rsidRPr="006659AD" w:rsidR="00401CA5" w:rsidP="00401CA5" w:rsidRDefault="006659AD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Megabyte (1 MB = 8 Mb)</w:t>
            </w:r>
          </w:p>
        </w:tc>
      </w:tr>
      <w:tr w:rsidRPr="006659AD" w:rsidR="006659AD" w:rsidTr="006659AD">
        <w:tc>
          <w:tcPr>
            <w:tcW w:w="2413" w:type="dxa"/>
          </w:tcPr>
          <w:p w:rsidRPr="006659AD" w:rsidR="006659AD" w:rsidP="00401CA5" w:rsidRDefault="006659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MOOC</w:t>
            </w:r>
          </w:p>
        </w:tc>
        <w:tc>
          <w:tcPr>
            <w:tcW w:w="6603" w:type="dxa"/>
          </w:tcPr>
          <w:p w:rsidRPr="006659AD" w:rsidR="006659AD" w:rsidP="006659AD" w:rsidRDefault="006659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Massive open online course – where thousands of people stream online courses</w:t>
            </w: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lastRenderedPageBreak/>
              <w:t>NGA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Next generation access, describing technologies that can deliver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proofErr w:type="gramStart"/>
            <w:r w:rsidRPr="006659AD">
              <w:rPr>
                <w:rFonts w:asciiTheme="minorHAnsi" w:hAnsiTheme="minorHAnsi"/>
              </w:rPr>
              <w:t>superfast</w:t>
            </w:r>
            <w:proofErr w:type="gramEnd"/>
            <w:r w:rsidRPr="006659AD">
              <w:rPr>
                <w:rFonts w:asciiTheme="minorHAnsi" w:hAnsiTheme="minorHAnsi"/>
              </w:rPr>
              <w:t xml:space="preserve"> speeds including Fibre to the Cabinet (FTTC) or Fibre to the</w:t>
            </w:r>
            <w:r w:rsidRPr="006659AD" w:rsidR="006659A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Premises (FTTP).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OMR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Open Market Review – consultation process used by BDUK and local</w:t>
            </w:r>
            <w:r w:rsidRPr="006659AD" w:rsidR="006659A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authorities to establish the superfast roll-out plans of suppliers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 xml:space="preserve">Superfast 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Superfast speeds refer to download speeds of at least 24Mbit/s (as</w:t>
            </w:r>
            <w:r w:rsidRPr="006659AD" w:rsidR="006659A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applied by BDUK) or 30Mbit/s (as applied by Ofcom)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Take-up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The share of premises receiving subsidised superfast coverage taking up</w:t>
            </w:r>
            <w:r w:rsidRPr="006659AD" w:rsidR="006659AD">
              <w:rPr>
                <w:rFonts w:asciiTheme="minorHAnsi" w:hAnsiTheme="minorHAnsi"/>
              </w:rPr>
              <w:t xml:space="preserve"> </w:t>
            </w:r>
            <w:r w:rsidRPr="006659AD">
              <w:rPr>
                <w:rFonts w:asciiTheme="minorHAnsi" w:hAnsiTheme="minorHAnsi"/>
              </w:rPr>
              <w:t>superfast broadband services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6659AD" w:rsidTr="006659AD">
        <w:tc>
          <w:tcPr>
            <w:tcW w:w="2413" w:type="dxa"/>
          </w:tcPr>
          <w:p w:rsidRPr="006659AD" w:rsidR="006659AD" w:rsidP="00401CA5" w:rsidRDefault="006659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</w:t>
            </w:r>
          </w:p>
        </w:tc>
        <w:tc>
          <w:tcPr>
            <w:tcW w:w="6603" w:type="dxa"/>
          </w:tcPr>
          <w:p w:rsidRPr="006659AD" w:rsidR="006659AD" w:rsidP="00401CA5" w:rsidRDefault="006659AD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Terabit (1 Tb = 1,000 Gb = 1,000,000 Mb)</w:t>
            </w:r>
          </w:p>
        </w:tc>
      </w:tr>
      <w:tr w:rsidRPr="006659AD" w:rsidR="006659AD" w:rsidTr="006659AD">
        <w:tc>
          <w:tcPr>
            <w:tcW w:w="2413" w:type="dxa"/>
          </w:tcPr>
          <w:p w:rsidRPr="006659AD" w:rsidR="006659AD" w:rsidP="00401CA5" w:rsidRDefault="006659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</w:t>
            </w:r>
          </w:p>
        </w:tc>
        <w:tc>
          <w:tcPr>
            <w:tcW w:w="6603" w:type="dxa"/>
          </w:tcPr>
          <w:p w:rsidRPr="006659AD" w:rsidR="006659AD" w:rsidP="00401CA5" w:rsidRDefault="006659AD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Terabyte (1 TB = 8 Gb)</w:t>
            </w: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Ultrafast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Ultrafast speeds refer to speeds in excess of 300Mbit/s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</w:p>
        </w:tc>
      </w:tr>
      <w:tr w:rsidRPr="006659AD" w:rsidR="00401CA5" w:rsidTr="006659AD">
        <w:tc>
          <w:tcPr>
            <w:tcW w:w="2413" w:type="dxa"/>
          </w:tcPr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White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  <w:b/>
              </w:rPr>
            </w:pPr>
            <w:r w:rsidRPr="006659AD">
              <w:rPr>
                <w:rFonts w:asciiTheme="minorHAnsi" w:hAnsiTheme="minorHAnsi"/>
                <w:b/>
              </w:rPr>
              <w:t>postcodes</w:t>
            </w:r>
          </w:p>
        </w:tc>
        <w:tc>
          <w:tcPr>
            <w:tcW w:w="6603" w:type="dxa"/>
          </w:tcPr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Postcodes not expected to receive superfast coverage under the</w:t>
            </w:r>
          </w:p>
          <w:p w:rsidRPr="006659AD" w:rsidR="00401CA5" w:rsidP="00401CA5" w:rsidRDefault="00401CA5">
            <w:pPr>
              <w:rPr>
                <w:rFonts w:asciiTheme="minorHAnsi" w:hAnsiTheme="minorHAnsi"/>
              </w:rPr>
            </w:pPr>
            <w:r w:rsidRPr="006659AD">
              <w:rPr>
                <w:rFonts w:asciiTheme="minorHAnsi" w:hAnsiTheme="minorHAnsi"/>
              </w:rPr>
              <w:t>commercial plans of suppliers</w:t>
            </w:r>
          </w:p>
        </w:tc>
      </w:tr>
    </w:tbl>
    <w:p w:rsidR="00401CA5" w:rsidP="00401CA5" w:rsidRDefault="00401CA5"/>
    <w:p w:rsidR="00BD73DD" w:rsidP="00401CA5" w:rsidRDefault="00BD73DD"/>
    <w:p w:rsidR="00BD73DD" w:rsidP="00401CA5" w:rsidRDefault="00BD73DD"/>
    <w:sectPr w:rsidR="00BD73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D" w:rsidRDefault="00BD73DD" w:rsidP="00BD73DD">
      <w:pPr>
        <w:spacing w:after="0" w:line="240" w:lineRule="auto"/>
      </w:pPr>
      <w:r>
        <w:separator/>
      </w:r>
    </w:p>
  </w:endnote>
  <w:endnote w:type="continuationSeparator" w:id="0">
    <w:p w:rsidR="00BD73DD" w:rsidRDefault="00BD73DD" w:rsidP="00B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D" w:rsidRDefault="00BD73DD" w:rsidP="00BD73DD">
      <w:pPr>
        <w:spacing w:after="0" w:line="240" w:lineRule="auto"/>
      </w:pPr>
      <w:r>
        <w:separator/>
      </w:r>
    </w:p>
  </w:footnote>
  <w:footnote w:type="continuationSeparator" w:id="0">
    <w:p w:rsidR="00BD73DD" w:rsidRDefault="00BD73DD" w:rsidP="00B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DD" w:rsidRDefault="00BD73DD">
    <w:pPr>
      <w:pStyle w:val="Header"/>
    </w:pPr>
    <w:r>
      <w:t>Glossary of digital and broadband terms</w:t>
    </w:r>
  </w:p>
  <w:p w:rsidR="00BD73DD" w:rsidRDefault="00BD7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A5"/>
    <w:rsid w:val="00132CF9"/>
    <w:rsid w:val="00254633"/>
    <w:rsid w:val="00352A1B"/>
    <w:rsid w:val="00401CA5"/>
    <w:rsid w:val="006659AD"/>
    <w:rsid w:val="008563BF"/>
    <w:rsid w:val="00935EBF"/>
    <w:rsid w:val="009A3D52"/>
    <w:rsid w:val="00BD73DD"/>
    <w:rsid w:val="00C02305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2556"/>
  <w15:chartTrackingRefBased/>
  <w15:docId w15:val="{A460187F-7296-4ABF-9E2E-07F53D4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DD"/>
  </w:style>
  <w:style w:type="paragraph" w:styleId="Footer">
    <w:name w:val="footer"/>
    <w:basedOn w:val="Normal"/>
    <w:link w:val="FooterChar"/>
    <w:uiPriority w:val="99"/>
    <w:unhideWhenUsed/>
    <w:rsid w:val="00BD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9C86-228A-4A0B-B8BD-EE4D877A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digital terms</dc:title>
  <dc:subject>
  </dc:subject>
  <dc:creator>Van Den Berg, Kaz</dc:creator>
  <cp:keywords>
  </cp:keywords>
  <dc:description>
  </dc:description>
  <cp:lastModifiedBy>Clair Bonter</cp:lastModifiedBy>
  <cp:revision>4</cp:revision>
  <dcterms:created xsi:type="dcterms:W3CDTF">2018-09-18T15:54:00Z</dcterms:created>
  <dcterms:modified xsi:type="dcterms:W3CDTF">2018-11-21T11:32:13Z</dcterms:modified>
</cp:coreProperties>
</file>